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8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90" w:lineRule="exact"/>
        <w:rPr>
          <w:sz w:val="24"/>
          <w:szCs w:val="24"/>
          <w:color w:val="auto"/>
        </w:rPr>
      </w:pPr>
    </w:p>
    <w:p>
      <w:pPr>
        <w:ind w:left="660" w:hanging="436"/>
        <w:spacing w:after="0"/>
        <w:tabs>
          <w:tab w:leader="none" w:pos="660" w:val="left"/>
        </w:tabs>
        <w:numPr>
          <w:ilvl w:val="0"/>
          <w:numId w:val="1"/>
        </w:numPr>
        <w:rPr>
          <w:rFonts w:ascii="MS PGothic" w:cs="MS PGothic" w:eastAsia="MS PGothic" w:hAnsi="MS PGothic"/>
          <w:sz w:val="25"/>
          <w:szCs w:val="25"/>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0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26, 2020</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OR</w:t>
      </w:r>
    </w:p>
    <w:p>
      <w:pPr>
        <w:spacing w:after="0" w:line="167" w:lineRule="exact"/>
        <w:rPr>
          <w:sz w:val="24"/>
          <w:szCs w:val="24"/>
          <w:color w:val="auto"/>
        </w:rPr>
      </w:pPr>
    </w:p>
    <w:p>
      <w:pPr>
        <w:ind w:left="4200" w:right="1420" w:hanging="3956"/>
        <w:spacing w:after="0" w:line="523" w:lineRule="auto"/>
        <w:tabs>
          <w:tab w:leader="none" w:pos="663" w:val="left"/>
        </w:tabs>
        <w:numPr>
          <w:ilvl w:val="0"/>
          <w:numId w:val="2"/>
        </w:numPr>
        <w:rPr>
          <w:rFonts w:ascii="MS PGothic" w:cs="MS PGothic" w:eastAsia="MS PGothic" w:hAnsi="MS PGothic"/>
          <w:sz w:val="22"/>
          <w:szCs w:val="22"/>
          <w:color w:val="auto"/>
        </w:rPr>
      </w:pPr>
      <w:r>
        <w:rPr>
          <w:rFonts w:ascii="Arial" w:cs="Arial" w:eastAsia="Arial" w:hAnsi="Arial"/>
          <w:sz w:val="18"/>
          <w:szCs w:val="18"/>
          <w:b w:val="1"/>
          <w:bCs w:val="1"/>
          <w:color w:val="auto"/>
        </w:rPr>
        <w:t>TRANSITION REPORT PURSUANT TO SECTION 13 OR 15(d) OF THE SECURITIES EXCHANGE ACT OF 1934 Commission File Number: 001-14041</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HAEMONETICS CORPORATION</w:t>
      </w:r>
    </w:p>
    <w:p>
      <w:pPr>
        <w:spacing w:after="0" w:line="50" w:lineRule="exact"/>
        <w:rPr>
          <w:sz w:val="24"/>
          <w:szCs w:val="24"/>
          <w:color w:val="auto"/>
        </w:rPr>
      </w:pPr>
    </w:p>
    <w:tbl>
      <w:tblPr>
        <w:tblLayout w:type="fixed"/>
        <w:tblInd w:w="1260" w:type="dxa"/>
        <w:tblCellMar>
          <w:top w:w="0" w:type="dxa"/>
          <w:left w:w="0" w:type="dxa"/>
          <w:bottom w:w="0" w:type="dxa"/>
          <w:right w:w="0" w:type="dxa"/>
        </w:tblCellMar>
      </w:tblPr>
      <w:tr>
        <w:trPr>
          <w:trHeight w:val="230"/>
        </w:trPr>
        <w:tc>
          <w:tcPr>
            <w:tcW w:w="6380" w:type="dxa"/>
            <w:vAlign w:val="bottom"/>
          </w:tcPr>
          <w:p>
            <w:pPr>
              <w:jc w:val="center"/>
              <w:ind w:left="2251"/>
              <w:spacing w:after="0"/>
              <w:rPr>
                <w:sz w:val="20"/>
                <w:szCs w:val="20"/>
                <w:color w:val="auto"/>
              </w:rPr>
            </w:pPr>
            <w:r>
              <w:rPr>
                <w:rFonts w:ascii="Arial" w:cs="Arial" w:eastAsia="Arial" w:hAnsi="Arial"/>
                <w:sz w:val="18"/>
                <w:szCs w:val="18"/>
                <w:color w:val="auto"/>
                <w:w w:val="90"/>
              </w:rPr>
              <w:t>(Exact name of registrant as specified in its charter)</w:t>
            </w:r>
          </w:p>
        </w:tc>
        <w:tc>
          <w:tcPr>
            <w:tcW w:w="1500" w:type="dxa"/>
            <w:vAlign w:val="bottom"/>
          </w:tcPr>
          <w:p>
            <w:pPr>
              <w:spacing w:after="0"/>
              <w:rPr>
                <w:sz w:val="20"/>
                <w:szCs w:val="20"/>
                <w:color w:val="auto"/>
              </w:rPr>
            </w:pPr>
          </w:p>
        </w:tc>
      </w:tr>
      <w:tr>
        <w:trPr>
          <w:trHeight w:val="321"/>
        </w:trPr>
        <w:tc>
          <w:tcPr>
            <w:tcW w:w="6380" w:type="dxa"/>
            <w:vAlign w:val="bottom"/>
          </w:tcPr>
          <w:p>
            <w:pPr>
              <w:jc w:val="center"/>
              <w:ind w:right="3431"/>
              <w:spacing w:after="0"/>
              <w:rPr>
                <w:sz w:val="20"/>
                <w:szCs w:val="20"/>
                <w:color w:val="auto"/>
              </w:rPr>
            </w:pPr>
            <w:r>
              <w:rPr>
                <w:rFonts w:ascii="Arial" w:cs="Arial" w:eastAsia="Arial" w:hAnsi="Arial"/>
                <w:sz w:val="18"/>
                <w:szCs w:val="18"/>
                <w:b w:val="1"/>
                <w:bCs w:val="1"/>
                <w:color w:val="auto"/>
                <w:w w:val="85"/>
              </w:rPr>
              <w:t>Massachusetts</w:t>
            </w:r>
          </w:p>
        </w:tc>
        <w:tc>
          <w:tcPr>
            <w:tcW w:w="1500" w:type="dxa"/>
            <w:vAlign w:val="bottom"/>
          </w:tcPr>
          <w:p>
            <w:pPr>
              <w:jc w:val="right"/>
              <w:ind w:right="130"/>
              <w:spacing w:after="0"/>
              <w:rPr>
                <w:sz w:val="20"/>
                <w:szCs w:val="20"/>
                <w:color w:val="auto"/>
              </w:rPr>
            </w:pPr>
            <w:r>
              <w:rPr>
                <w:rFonts w:ascii="Arial" w:cs="Arial" w:eastAsia="Arial" w:hAnsi="Arial"/>
                <w:sz w:val="18"/>
                <w:szCs w:val="18"/>
                <w:b w:val="1"/>
                <w:bCs w:val="1"/>
                <w:color w:val="auto"/>
              </w:rPr>
              <w:t>04-2882273</w:t>
            </w:r>
          </w:p>
        </w:tc>
      </w:tr>
      <w:tr>
        <w:trPr>
          <w:trHeight w:val="176"/>
        </w:trPr>
        <w:tc>
          <w:tcPr>
            <w:tcW w:w="6380" w:type="dxa"/>
            <w:vAlign w:val="bottom"/>
          </w:tcPr>
          <w:p>
            <w:pPr>
              <w:jc w:val="center"/>
              <w:ind w:right="3431"/>
              <w:spacing w:after="0" w:line="176" w:lineRule="exact"/>
              <w:rPr>
                <w:sz w:val="20"/>
                <w:szCs w:val="20"/>
                <w:color w:val="auto"/>
              </w:rPr>
            </w:pPr>
            <w:r>
              <w:rPr>
                <w:rFonts w:ascii="Arial" w:cs="Arial" w:eastAsia="Arial" w:hAnsi="Arial"/>
                <w:sz w:val="18"/>
                <w:szCs w:val="18"/>
                <w:color w:val="auto"/>
                <w:w w:val="93"/>
              </w:rPr>
              <w:t>(State or other jurisdiction of</w:t>
            </w:r>
          </w:p>
        </w:tc>
        <w:tc>
          <w:tcPr>
            <w:tcW w:w="1500" w:type="dxa"/>
            <w:vAlign w:val="bottom"/>
          </w:tcPr>
          <w:p>
            <w:pPr>
              <w:jc w:val="center"/>
              <w:ind w:left="90"/>
              <w:spacing w:after="0" w:line="176" w:lineRule="exact"/>
              <w:rPr>
                <w:sz w:val="20"/>
                <w:szCs w:val="20"/>
                <w:color w:val="auto"/>
              </w:rPr>
            </w:pPr>
            <w:r>
              <w:rPr>
                <w:rFonts w:ascii="Arial" w:cs="Arial" w:eastAsia="Arial" w:hAnsi="Arial"/>
                <w:sz w:val="18"/>
                <w:szCs w:val="18"/>
                <w:color w:val="auto"/>
                <w:w w:val="93"/>
              </w:rPr>
              <w:t>(I.R.S. Employer</w:t>
            </w:r>
          </w:p>
        </w:tc>
      </w:tr>
      <w:tr>
        <w:trPr>
          <w:trHeight w:val="230"/>
        </w:trPr>
        <w:tc>
          <w:tcPr>
            <w:tcW w:w="6380" w:type="dxa"/>
            <w:vAlign w:val="bottom"/>
          </w:tcPr>
          <w:p>
            <w:pPr>
              <w:jc w:val="center"/>
              <w:ind w:right="3431"/>
              <w:spacing w:after="0"/>
              <w:rPr>
                <w:sz w:val="20"/>
                <w:szCs w:val="20"/>
                <w:color w:val="auto"/>
              </w:rPr>
            </w:pPr>
            <w:r>
              <w:rPr>
                <w:rFonts w:ascii="Arial" w:cs="Arial" w:eastAsia="Arial" w:hAnsi="Arial"/>
                <w:sz w:val="18"/>
                <w:szCs w:val="18"/>
                <w:color w:val="auto"/>
                <w:w w:val="93"/>
              </w:rPr>
              <w:t>incorporation or organization)</w:t>
            </w:r>
          </w:p>
        </w:tc>
        <w:tc>
          <w:tcPr>
            <w:tcW w:w="1500" w:type="dxa"/>
            <w:vAlign w:val="bottom"/>
          </w:tcPr>
          <w:p>
            <w:pPr>
              <w:jc w:val="center"/>
              <w:ind w:left="70"/>
              <w:spacing w:after="0"/>
              <w:rPr>
                <w:sz w:val="20"/>
                <w:szCs w:val="20"/>
                <w:color w:val="auto"/>
              </w:rPr>
            </w:pPr>
            <w:r>
              <w:rPr>
                <w:rFonts w:ascii="Arial" w:cs="Arial" w:eastAsia="Arial" w:hAnsi="Arial"/>
                <w:sz w:val="18"/>
                <w:szCs w:val="18"/>
                <w:color w:val="auto"/>
                <w:w w:val="95"/>
              </w:rPr>
              <w:t>Identification No.)</w:t>
            </w:r>
          </w:p>
        </w:tc>
      </w:tr>
      <w:tr>
        <w:trPr>
          <w:trHeight w:val="332"/>
        </w:trPr>
        <w:tc>
          <w:tcPr>
            <w:tcW w:w="6380" w:type="dxa"/>
            <w:vAlign w:val="bottom"/>
          </w:tcPr>
          <w:p>
            <w:pPr>
              <w:jc w:val="center"/>
              <w:ind w:right="3451"/>
              <w:spacing w:after="0"/>
              <w:rPr>
                <w:sz w:val="20"/>
                <w:szCs w:val="20"/>
                <w:color w:val="auto"/>
              </w:rPr>
            </w:pPr>
            <w:r>
              <w:rPr>
                <w:rFonts w:ascii="Arial" w:cs="Arial" w:eastAsia="Arial" w:hAnsi="Arial"/>
                <w:sz w:val="18"/>
                <w:szCs w:val="18"/>
                <w:b w:val="1"/>
                <w:bCs w:val="1"/>
                <w:color w:val="auto"/>
                <w:w w:val="90"/>
              </w:rPr>
              <w:t>125 Summer Street</w:t>
            </w:r>
          </w:p>
        </w:tc>
        <w:tc>
          <w:tcPr>
            <w:tcW w:w="1500" w:type="dxa"/>
            <w:vAlign w:val="bottom"/>
          </w:tcPr>
          <w:p>
            <w:pPr>
              <w:spacing w:after="0"/>
              <w:rPr>
                <w:sz w:val="24"/>
                <w:szCs w:val="24"/>
                <w:color w:val="auto"/>
              </w:rPr>
            </w:pPr>
          </w:p>
        </w:tc>
      </w:tr>
      <w:tr>
        <w:trPr>
          <w:trHeight w:val="233"/>
        </w:trPr>
        <w:tc>
          <w:tcPr>
            <w:tcW w:w="6380" w:type="dxa"/>
            <w:vAlign w:val="bottom"/>
          </w:tcPr>
          <w:p>
            <w:pPr>
              <w:ind w:left="700"/>
              <w:spacing w:after="0"/>
              <w:rPr>
                <w:sz w:val="20"/>
                <w:szCs w:val="20"/>
                <w:color w:val="auto"/>
              </w:rPr>
            </w:pPr>
            <w:r>
              <w:rPr>
                <w:rFonts w:ascii="Arial" w:cs="Arial" w:eastAsia="Arial" w:hAnsi="Arial"/>
                <w:sz w:val="18"/>
                <w:szCs w:val="18"/>
                <w:b w:val="1"/>
                <w:bCs w:val="1"/>
                <w:color w:val="auto"/>
              </w:rPr>
              <w:t>Boston, Massachusetts</w:t>
            </w:r>
          </w:p>
        </w:tc>
        <w:tc>
          <w:tcPr>
            <w:tcW w:w="1500" w:type="dxa"/>
            <w:vAlign w:val="bottom"/>
          </w:tcPr>
          <w:p>
            <w:pPr>
              <w:jc w:val="right"/>
              <w:ind w:right="350"/>
              <w:spacing w:after="0"/>
              <w:rPr>
                <w:sz w:val="20"/>
                <w:szCs w:val="20"/>
                <w:color w:val="auto"/>
              </w:rPr>
            </w:pPr>
            <w:r>
              <w:rPr>
                <w:rFonts w:ascii="Arial" w:cs="Arial" w:eastAsia="Arial" w:hAnsi="Arial"/>
                <w:sz w:val="18"/>
                <w:szCs w:val="18"/>
                <w:b w:val="1"/>
                <w:bCs w:val="1"/>
                <w:color w:val="auto"/>
              </w:rPr>
              <w:t>02110</w:t>
            </w:r>
          </w:p>
        </w:tc>
      </w:tr>
      <w:tr>
        <w:trPr>
          <w:trHeight w:val="230"/>
        </w:trPr>
        <w:tc>
          <w:tcPr>
            <w:tcW w:w="6380" w:type="dxa"/>
            <w:vAlign w:val="bottom"/>
          </w:tcPr>
          <w:p>
            <w:pPr>
              <w:jc w:val="center"/>
              <w:ind w:right="3431"/>
              <w:spacing w:after="0"/>
              <w:rPr>
                <w:sz w:val="20"/>
                <w:szCs w:val="20"/>
                <w:color w:val="auto"/>
              </w:rPr>
            </w:pPr>
            <w:r>
              <w:rPr>
                <w:rFonts w:ascii="Arial" w:cs="Arial" w:eastAsia="Arial" w:hAnsi="Arial"/>
                <w:sz w:val="18"/>
                <w:szCs w:val="18"/>
                <w:color w:val="auto"/>
                <w:w w:val="92"/>
              </w:rPr>
              <w:t>(Address of principal executive offices)</w:t>
            </w:r>
          </w:p>
        </w:tc>
        <w:tc>
          <w:tcPr>
            <w:tcW w:w="1500" w:type="dxa"/>
            <w:vAlign w:val="bottom"/>
          </w:tcPr>
          <w:p>
            <w:pPr>
              <w:jc w:val="center"/>
              <w:ind w:left="90"/>
              <w:spacing w:after="0"/>
              <w:rPr>
                <w:sz w:val="20"/>
                <w:szCs w:val="20"/>
                <w:color w:val="auto"/>
              </w:rPr>
            </w:pPr>
            <w:r>
              <w:rPr>
                <w:rFonts w:ascii="Arial" w:cs="Arial" w:eastAsia="Arial" w:hAnsi="Arial"/>
                <w:sz w:val="18"/>
                <w:szCs w:val="18"/>
                <w:color w:val="auto"/>
                <w:w w:val="94"/>
              </w:rPr>
              <w:t>(Zip Code)</w:t>
            </w:r>
          </w:p>
        </w:tc>
      </w:tr>
      <w:tr>
        <w:trPr>
          <w:trHeight w:val="301"/>
        </w:trPr>
        <w:tc>
          <w:tcPr>
            <w:tcW w:w="6380" w:type="dxa"/>
            <w:vAlign w:val="bottom"/>
          </w:tcPr>
          <w:p>
            <w:pPr>
              <w:jc w:val="center"/>
              <w:ind w:left="2251"/>
              <w:spacing w:after="0"/>
              <w:rPr>
                <w:sz w:val="20"/>
                <w:szCs w:val="20"/>
                <w:color w:val="auto"/>
              </w:rPr>
            </w:pPr>
            <w:r>
              <w:rPr>
                <w:rFonts w:ascii="Arial" w:cs="Arial" w:eastAsia="Arial" w:hAnsi="Arial"/>
                <w:sz w:val="18"/>
                <w:szCs w:val="18"/>
                <w:b w:val="1"/>
                <w:bCs w:val="1"/>
                <w:color w:val="auto"/>
                <w:w w:val="90"/>
              </w:rPr>
              <w:t>(781) 848-7100</w:t>
            </w:r>
          </w:p>
        </w:tc>
        <w:tc>
          <w:tcPr>
            <w:tcW w:w="1500" w:type="dxa"/>
            <w:vAlign w:val="bottom"/>
          </w:tcPr>
          <w:p>
            <w:pPr>
              <w:spacing w:after="0"/>
              <w:rPr>
                <w:sz w:val="24"/>
                <w:szCs w:val="24"/>
                <w:color w:val="auto"/>
              </w:rPr>
            </w:pPr>
          </w:p>
        </w:tc>
      </w:tr>
      <w:tr>
        <w:trPr>
          <w:trHeight w:val="206"/>
        </w:trPr>
        <w:tc>
          <w:tcPr>
            <w:tcW w:w="6380" w:type="dxa"/>
            <w:vAlign w:val="bottom"/>
          </w:tcPr>
          <w:p>
            <w:pPr>
              <w:jc w:val="center"/>
              <w:ind w:left="2251"/>
              <w:spacing w:after="0"/>
              <w:rPr>
                <w:sz w:val="20"/>
                <w:szCs w:val="20"/>
                <w:color w:val="auto"/>
              </w:rPr>
            </w:pPr>
            <w:r>
              <w:rPr>
                <w:rFonts w:ascii="Arial" w:cs="Arial" w:eastAsia="Arial" w:hAnsi="Arial"/>
                <w:sz w:val="16"/>
                <w:szCs w:val="16"/>
                <w:color w:val="auto"/>
                <w:w w:val="91"/>
              </w:rPr>
              <w:t>(Registrant’s telephone number, including area code)</w:t>
            </w:r>
          </w:p>
        </w:tc>
        <w:tc>
          <w:tcPr>
            <w:tcW w:w="1500" w:type="dxa"/>
            <w:vAlign w:val="bottom"/>
          </w:tcPr>
          <w:p>
            <w:pPr>
              <w:spacing w:after="0"/>
              <w:rPr>
                <w:sz w:val="17"/>
                <w:szCs w:val="17"/>
                <w:color w:val="auto"/>
              </w:rPr>
            </w:pPr>
          </w:p>
        </w:tc>
      </w:tr>
    </w:tbl>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94" w:lineRule="exact"/>
        <w:rPr>
          <w:sz w:val="24"/>
          <w:szCs w:val="24"/>
          <w:color w:val="auto"/>
        </w:rPr>
      </w:pPr>
    </w:p>
    <w:tbl>
      <w:tblPr>
        <w:tblLayout w:type="fixed"/>
        <w:tblInd w:w="80" w:type="dxa"/>
        <w:tblCellMar>
          <w:top w:w="0" w:type="dxa"/>
          <w:left w:w="0" w:type="dxa"/>
          <w:bottom w:w="0" w:type="dxa"/>
          <w:right w:w="0" w:type="dxa"/>
        </w:tblCellMar>
      </w:tblPr>
      <w:tr>
        <w:trPr>
          <w:trHeight w:val="192"/>
        </w:trPr>
        <w:tc>
          <w:tcPr>
            <w:tcW w:w="4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Title of Each Class</w:t>
            </w:r>
          </w:p>
        </w:tc>
        <w:tc>
          <w:tcPr>
            <w:tcW w:w="2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Trading Symbol</w:t>
            </w:r>
          </w:p>
        </w:tc>
        <w:tc>
          <w:tcPr>
            <w:tcW w:w="4540" w:type="dxa"/>
            <w:vAlign w:val="bottom"/>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r>
      <w:tr>
        <w:trPr>
          <w:trHeight w:val="230"/>
        </w:trPr>
        <w:tc>
          <w:tcPr>
            <w:tcW w:w="4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$.01 par value per share</w:t>
            </w:r>
          </w:p>
        </w:tc>
        <w:tc>
          <w:tcPr>
            <w:tcW w:w="340" w:type="dxa"/>
            <w:vAlign w:val="bottom"/>
          </w:tcPr>
          <w:p>
            <w:pPr>
              <w:spacing w:after="0"/>
              <w:rPr>
                <w:sz w:val="19"/>
                <w:szCs w:val="19"/>
                <w:color w:val="auto"/>
              </w:rPr>
            </w:pPr>
          </w:p>
        </w:tc>
        <w:tc>
          <w:tcPr>
            <w:tcW w:w="17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HAE</w:t>
            </w:r>
          </w:p>
        </w:tc>
        <w:tc>
          <w:tcPr>
            <w:tcW w:w="340" w:type="dxa"/>
            <w:vAlign w:val="bottom"/>
          </w:tcPr>
          <w:p>
            <w:pPr>
              <w:spacing w:after="0"/>
              <w:rPr>
                <w:sz w:val="19"/>
                <w:szCs w:val="19"/>
                <w:color w:val="auto"/>
              </w:rPr>
            </w:pPr>
          </w:p>
        </w:tc>
        <w:tc>
          <w:tcPr>
            <w:tcW w:w="4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47" w:lineRule="exact"/>
        <w:rPr>
          <w:sz w:val="24"/>
          <w:szCs w:val="24"/>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3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w:t>
      </w:r>
    </w:p>
    <w:p>
      <w:pPr>
        <w:spacing w:after="0" w:line="23" w:lineRule="exact"/>
        <w:rPr>
          <w:sz w:val="24"/>
          <w:szCs w:val="24"/>
          <w:color w:val="auto"/>
        </w:rPr>
      </w:pPr>
    </w:p>
    <w:p>
      <w:pPr>
        <w:jc w:val="both"/>
        <w:ind w:right="60"/>
        <w:spacing w:after="0" w:line="260" w:lineRule="auto"/>
        <w:rPr>
          <w:sz w:val="20"/>
          <w:szCs w:val="20"/>
          <w:color w:val="auto"/>
        </w:rPr>
      </w:pPr>
      <w:r>
        <w:rPr>
          <w:rFonts w:ascii="Arial" w:cs="Arial" w:eastAsia="Arial" w:hAnsi="Arial"/>
          <w:sz w:val="18"/>
          <w:szCs w:val="18"/>
          <w:color w:val="auto"/>
        </w:rPr>
        <w:t>Rule 405 of Regulation S-T (§232.405 of this chapter) during the preceding 12 months (or for such shorter period that the registrant was required to submit such files). Yes x No o</w:t>
      </w:r>
    </w:p>
    <w:p>
      <w:pPr>
        <w:spacing w:after="0" w:line="131" w:lineRule="exact"/>
        <w:rPr>
          <w:sz w:val="24"/>
          <w:szCs w:val="24"/>
          <w:color w:val="auto"/>
        </w:rPr>
      </w:pPr>
    </w:p>
    <w:p>
      <w:pPr>
        <w:ind w:firstLine="648"/>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04" w:lineRule="exact"/>
        <w:rPr>
          <w:sz w:val="24"/>
          <w:szCs w:val="24"/>
          <w:color w:val="auto"/>
        </w:rPr>
      </w:pPr>
    </w:p>
    <w:tbl>
      <w:tblPr>
        <w:tblLayout w:type="fixed"/>
        <w:tblInd w:w="20" w:type="dxa"/>
        <w:tblCellMar>
          <w:top w:w="0" w:type="dxa"/>
          <w:left w:w="0" w:type="dxa"/>
          <w:bottom w:w="0" w:type="dxa"/>
          <w:right w:w="0" w:type="dxa"/>
        </w:tblCellMar>
      </w:tblPr>
      <w:tr>
        <w:trPr>
          <w:trHeight w:val="270"/>
        </w:trPr>
        <w:tc>
          <w:tcPr>
            <w:tcW w:w="24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40" w:type="dxa"/>
            <w:vAlign w:val="bottom"/>
          </w:tcPr>
          <w:p>
            <w:pPr>
              <w:jc w:val="center"/>
              <w:ind w:right="1372"/>
              <w:spacing w:after="0"/>
              <w:rPr>
                <w:sz w:val="20"/>
                <w:szCs w:val="20"/>
                <w:color w:val="auto"/>
              </w:rPr>
            </w:pPr>
            <w:r>
              <w:rPr>
                <w:rFonts w:ascii="Arial" w:cs="Arial" w:eastAsia="Arial" w:hAnsi="Arial"/>
                <w:sz w:val="22"/>
                <w:szCs w:val="22"/>
                <w:color w:val="auto"/>
              </w:rPr>
              <w:t>x</w:t>
            </w:r>
          </w:p>
        </w:tc>
        <w:tc>
          <w:tcPr>
            <w:tcW w:w="4740" w:type="dxa"/>
            <w:vAlign w:val="bottom"/>
          </w:tcPr>
          <w:p>
            <w:pPr>
              <w:ind w:left="2260"/>
              <w:spacing w:after="0"/>
              <w:rPr>
                <w:sz w:val="20"/>
                <w:szCs w:val="20"/>
                <w:color w:val="auto"/>
              </w:rPr>
            </w:pPr>
            <w:r>
              <w:rPr>
                <w:rFonts w:ascii="Arial" w:cs="Arial" w:eastAsia="Arial" w:hAnsi="Arial"/>
                <w:sz w:val="18"/>
                <w:szCs w:val="18"/>
                <w:color w:val="auto"/>
              </w:rPr>
              <w:t>Accelerated filer</w:t>
            </w:r>
          </w:p>
        </w:tc>
        <w:tc>
          <w:tcPr>
            <w:tcW w:w="700" w:type="dxa"/>
            <w:vAlign w:val="bottom"/>
          </w:tcPr>
          <w:p>
            <w:pPr>
              <w:ind w:left="520"/>
              <w:spacing w:after="0" w:line="221" w:lineRule="exact"/>
              <w:rPr>
                <w:sz w:val="20"/>
                <w:szCs w:val="20"/>
                <w:color w:val="auto"/>
              </w:rPr>
            </w:pPr>
            <w:r>
              <w:rPr>
                <w:rFonts w:ascii="MS PGothic" w:cs="MS PGothic" w:eastAsia="MS PGothic" w:hAnsi="MS PGothic"/>
                <w:sz w:val="22"/>
                <w:szCs w:val="22"/>
                <w:color w:val="auto"/>
                <w:w w:val="72"/>
              </w:rPr>
              <w:t>☐</w:t>
            </w:r>
          </w:p>
        </w:tc>
      </w:tr>
      <w:tr>
        <w:trPr>
          <w:trHeight w:val="270"/>
        </w:trPr>
        <w:tc>
          <w:tcPr>
            <w:tcW w:w="2400" w:type="dxa"/>
            <w:vAlign w:val="bottom"/>
          </w:tcPr>
          <w:p>
            <w:pPr>
              <w:spacing w:after="0"/>
              <w:rPr>
                <w:sz w:val="20"/>
                <w:szCs w:val="20"/>
                <w:color w:val="auto"/>
              </w:rPr>
            </w:pPr>
            <w:r>
              <w:rPr>
                <w:rFonts w:ascii="Arial" w:cs="Arial" w:eastAsia="Arial" w:hAnsi="Arial"/>
                <w:sz w:val="18"/>
                <w:szCs w:val="18"/>
                <w:color w:val="auto"/>
              </w:rPr>
              <w:t>Non-accelerated filer</w:t>
            </w:r>
          </w:p>
        </w:tc>
        <w:tc>
          <w:tcPr>
            <w:tcW w:w="3240" w:type="dxa"/>
            <w:vAlign w:val="bottom"/>
          </w:tcPr>
          <w:p>
            <w:pPr>
              <w:jc w:val="center"/>
              <w:ind w:right="1372"/>
              <w:spacing w:after="0" w:line="221" w:lineRule="exact"/>
              <w:rPr>
                <w:sz w:val="20"/>
                <w:szCs w:val="20"/>
                <w:color w:val="auto"/>
              </w:rPr>
            </w:pPr>
            <w:r>
              <w:rPr>
                <w:rFonts w:ascii="MS PGothic" w:cs="MS PGothic" w:eastAsia="MS PGothic" w:hAnsi="MS PGothic"/>
                <w:sz w:val="22"/>
                <w:szCs w:val="22"/>
                <w:color w:val="auto"/>
                <w:w w:val="90"/>
              </w:rPr>
              <w:t>☐</w:t>
            </w:r>
          </w:p>
        </w:tc>
        <w:tc>
          <w:tcPr>
            <w:tcW w:w="4740" w:type="dxa"/>
            <w:vAlign w:val="bottom"/>
          </w:tcPr>
          <w:p>
            <w:pPr>
              <w:ind w:left="2260"/>
              <w:spacing w:after="0"/>
              <w:rPr>
                <w:sz w:val="20"/>
                <w:szCs w:val="20"/>
                <w:color w:val="auto"/>
              </w:rPr>
            </w:pPr>
            <w:r>
              <w:rPr>
                <w:rFonts w:ascii="Arial" w:cs="Arial" w:eastAsia="Arial" w:hAnsi="Arial"/>
                <w:sz w:val="18"/>
                <w:szCs w:val="18"/>
                <w:color w:val="auto"/>
              </w:rPr>
              <w:t>Smaller reporting company</w:t>
            </w:r>
          </w:p>
        </w:tc>
        <w:tc>
          <w:tcPr>
            <w:tcW w:w="700" w:type="dxa"/>
            <w:vAlign w:val="bottom"/>
          </w:tcPr>
          <w:p>
            <w:pPr>
              <w:ind w:left="520"/>
              <w:spacing w:after="0" w:line="221" w:lineRule="exact"/>
              <w:rPr>
                <w:sz w:val="20"/>
                <w:szCs w:val="20"/>
                <w:color w:val="auto"/>
              </w:rPr>
            </w:pPr>
            <w:r>
              <w:rPr>
                <w:rFonts w:ascii="MS PGothic" w:cs="MS PGothic" w:eastAsia="MS PGothic" w:hAnsi="MS PGothic"/>
                <w:sz w:val="22"/>
                <w:szCs w:val="22"/>
                <w:color w:val="auto"/>
                <w:w w:val="72"/>
              </w:rPr>
              <w:t>☐</w:t>
            </w:r>
          </w:p>
        </w:tc>
      </w:tr>
      <w:tr>
        <w:trPr>
          <w:trHeight w:val="338"/>
        </w:trPr>
        <w:tc>
          <w:tcPr>
            <w:tcW w:w="24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740" w:type="dxa"/>
            <w:vAlign w:val="bottom"/>
          </w:tcPr>
          <w:p>
            <w:pPr>
              <w:ind w:left="2260"/>
              <w:spacing w:after="0"/>
              <w:rPr>
                <w:sz w:val="20"/>
                <w:szCs w:val="20"/>
                <w:color w:val="auto"/>
              </w:rPr>
            </w:pPr>
            <w:r>
              <w:rPr>
                <w:rFonts w:ascii="Arial" w:cs="Arial" w:eastAsia="Arial" w:hAnsi="Arial"/>
                <w:sz w:val="18"/>
                <w:szCs w:val="18"/>
                <w:color w:val="auto"/>
              </w:rPr>
              <w:t>Emerging growth company</w:t>
            </w:r>
          </w:p>
        </w:tc>
        <w:tc>
          <w:tcPr>
            <w:tcW w:w="700" w:type="dxa"/>
            <w:vAlign w:val="bottom"/>
          </w:tcPr>
          <w:p>
            <w:pPr>
              <w:ind w:left="520"/>
              <w:spacing w:after="0" w:line="221" w:lineRule="exact"/>
              <w:rPr>
                <w:sz w:val="20"/>
                <w:szCs w:val="20"/>
                <w:color w:val="auto"/>
              </w:rPr>
            </w:pPr>
            <w:r>
              <w:rPr>
                <w:rFonts w:ascii="MS PGothic" w:cs="MS PGothic" w:eastAsia="MS PGothic" w:hAnsi="MS PGothic"/>
                <w:sz w:val="22"/>
                <w:szCs w:val="22"/>
                <w:color w:val="auto"/>
                <w:w w:val="72"/>
              </w:rPr>
              <w:t>☐</w:t>
            </w:r>
          </w:p>
        </w:tc>
      </w:tr>
    </w:tbl>
    <w:p>
      <w:pPr>
        <w:spacing w:after="0" w:line="127"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6"/>
          <w:szCs w:val="16"/>
          <w:color w:val="auto"/>
        </w:rPr>
        <w:t>o</w:t>
      </w:r>
    </w:p>
    <w:p>
      <w:pPr>
        <w:spacing w:after="0" w:line="83" w:lineRule="exact"/>
        <w:rPr>
          <w:sz w:val="24"/>
          <w:szCs w:val="24"/>
          <w:color w:val="auto"/>
        </w:rPr>
      </w:pPr>
    </w:p>
    <w:p>
      <w:pPr>
        <w:spacing w:after="0" w:line="242"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21"/>
          <w:szCs w:val="21"/>
          <w:color w:val="auto"/>
        </w:rPr>
        <w:t>☐</w:t>
      </w:r>
      <w:r>
        <w:rPr>
          <w:rFonts w:ascii="Arial" w:cs="Arial" w:eastAsia="Arial" w:hAnsi="Arial"/>
          <w:sz w:val="18"/>
          <w:szCs w:val="18"/>
          <w:color w:val="auto"/>
        </w:rPr>
        <w:t>No x</w:t>
      </w:r>
    </w:p>
    <w:p>
      <w:pPr>
        <w:spacing w:after="0" w:line="211" w:lineRule="exact"/>
        <w:rPr>
          <w:sz w:val="24"/>
          <w:szCs w:val="24"/>
          <w:color w:val="auto"/>
        </w:rPr>
      </w:pPr>
    </w:p>
    <w:p>
      <w:pPr>
        <w:ind w:left="1840"/>
        <w:spacing w:after="0"/>
        <w:rPr>
          <w:sz w:val="20"/>
          <w:szCs w:val="20"/>
          <w:color w:val="auto"/>
        </w:rPr>
      </w:pPr>
      <w:r>
        <w:rPr>
          <w:rFonts w:ascii="Arial" w:cs="Arial" w:eastAsia="Arial" w:hAnsi="Arial"/>
          <w:sz w:val="18"/>
          <w:szCs w:val="18"/>
          <w:color w:val="auto"/>
        </w:rPr>
        <w:t>The number of shares of $0.01 par value common stock outstanding as of November 2, 2020: 50,777,298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597535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HAEMONETICS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gridSpan w:val="2"/>
          </w:tcPr>
          <w:p>
            <w:pPr>
              <w:ind w:left="300"/>
              <w:spacing w:after="0"/>
              <w:rPr>
                <w:sz w:val="20"/>
                <w:szCs w:val="20"/>
                <w:color w:val="auto"/>
              </w:rPr>
            </w:pPr>
            <w:r>
              <w:rPr>
                <w:rFonts w:ascii="Arial" w:cs="Arial" w:eastAsia="Arial" w:hAnsi="Arial"/>
                <w:sz w:val="14"/>
                <w:szCs w:val="14"/>
                <w:b w:val="1"/>
                <w:bCs w:val="1"/>
                <w:color w:val="auto"/>
              </w:rPr>
              <w:t>PAGE</w:t>
            </w:r>
          </w:p>
        </w:tc>
      </w:tr>
      <w:tr>
        <w:trPr>
          <w:trHeight w:val="230"/>
        </w:trPr>
        <w:tc>
          <w:tcPr>
            <w:tcW w:w="10220" w:type="dxa"/>
            <w:vAlign w:val="bottom"/>
            <w:gridSpan w:val="6"/>
          </w:tcPr>
          <w:p>
            <w:pPr>
              <w:ind w:left="2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PART I. FINANCIAL INFORMATION</w:t>
              </w:r>
            </w:hyperlink>
          </w:p>
        </w:tc>
        <w:tc>
          <w:tcPr>
            <w:tcW w:w="10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499"/>
        </w:trPr>
        <w:tc>
          <w:tcPr>
            <w:tcW w:w="10220" w:type="dxa"/>
            <w:vAlign w:val="bottom"/>
            <w:gridSpan w:val="6"/>
          </w:tcPr>
          <w:p>
            <w:pPr>
              <w:ind w:left="20"/>
              <w:spacing w:after="0"/>
              <w:rPr>
                <w:rFonts w:ascii="Arial" w:cs="Arial" w:eastAsia="Arial" w:hAnsi="Arial"/>
                <w:sz w:val="18"/>
                <w:szCs w:val="18"/>
                <w:b w:val="1"/>
                <w:bCs w:val="1"/>
                <w:u w:val="single" w:color="auto"/>
                <w:color w:val="0000FF"/>
              </w:rPr>
            </w:pPr>
            <w:hyperlink w:anchor="page3">
              <w:r>
                <w:rPr>
                  <w:rFonts w:ascii="Arial" w:cs="Arial" w:eastAsia="Arial" w:hAnsi="Arial"/>
                  <w:sz w:val="18"/>
                  <w:szCs w:val="18"/>
                  <w:b w:val="1"/>
                  <w:bCs w:val="1"/>
                  <w:u w:val="single" w:color="auto"/>
                  <w:color w:val="0000FF"/>
                </w:rPr>
                <w:t>ITEM 1. Financial Statements</w:t>
              </w:r>
            </w:hyperlink>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8"/>
        </w:trPr>
        <w:tc>
          <w:tcPr>
            <w:tcW w:w="140" w:type="dxa"/>
            <w:vAlign w:val="bottom"/>
          </w:tcPr>
          <w:p>
            <w:pPr>
              <w:spacing w:after="0"/>
              <w:rPr>
                <w:sz w:val="24"/>
                <w:szCs w:val="24"/>
                <w:color w:val="auto"/>
              </w:rPr>
            </w:pPr>
          </w:p>
        </w:tc>
        <w:tc>
          <w:tcPr>
            <w:tcW w:w="10080" w:type="dxa"/>
            <w:vAlign w:val="bottom"/>
            <w:gridSpan w:val="5"/>
          </w:tcPr>
          <w:p>
            <w:pPr>
              <w:spacing w:after="0"/>
              <w:rPr>
                <w:rFonts w:ascii="Arial" w:cs="Arial" w:eastAsia="Arial" w:hAnsi="Arial"/>
                <w:sz w:val="18"/>
                <w:szCs w:val="18"/>
                <w:color w:val="0000FF"/>
                <w:w w:val="90"/>
              </w:rPr>
            </w:pPr>
            <w:hyperlink w:anchor="page3">
              <w:r>
                <w:rPr>
                  <w:rFonts w:ascii="Arial" w:cs="Arial" w:eastAsia="Arial" w:hAnsi="Arial"/>
                  <w:sz w:val="18"/>
                  <w:szCs w:val="18"/>
                  <w:color w:val="0000FF"/>
                  <w:w w:val="90"/>
                </w:rPr>
                <w:t>Unaudited Condensed Consolidated Statements of Income and Comprehensive Income - Three and Six Months Ended September 26, 2020</w:t>
              </w:r>
            </w:hyperlink>
          </w:p>
        </w:tc>
        <w:tc>
          <w:tcPr>
            <w:tcW w:w="1000" w:type="dxa"/>
            <w:vAlign w:val="bottom"/>
          </w:tcPr>
          <w:p>
            <w:pPr>
              <w:jc w:val="center"/>
              <w:spacing w:after="0"/>
              <w:rPr>
                <w:rFonts w:ascii="Arial" w:cs="Arial" w:eastAsia="Arial" w:hAnsi="Arial"/>
                <w:sz w:val="18"/>
                <w:szCs w:val="18"/>
                <w:u w:val="single" w:color="auto"/>
                <w:color w:val="0000FF"/>
                <w:w w:val="79"/>
              </w:rPr>
            </w:pPr>
            <w:hyperlink w:anchor="page3">
              <w:r>
                <w:rPr>
                  <w:rFonts w:ascii="Arial" w:cs="Arial" w:eastAsia="Arial" w:hAnsi="Arial"/>
                  <w:sz w:val="18"/>
                  <w:szCs w:val="18"/>
                  <w:u w:val="single" w:color="auto"/>
                  <w:color w:val="0000FF"/>
                  <w:w w:val="79"/>
                </w:rPr>
                <w:t>3</w:t>
              </w:r>
            </w:hyperlink>
          </w:p>
        </w:tc>
        <w:tc>
          <w:tcPr>
            <w:tcW w:w="20" w:type="dxa"/>
            <w:vAlign w:val="bottom"/>
          </w:tcPr>
          <w:p>
            <w:pPr>
              <w:spacing w:after="0"/>
              <w:rPr>
                <w:sz w:val="24"/>
                <w:szCs w:val="24"/>
                <w:color w:val="auto"/>
              </w:rPr>
            </w:pPr>
          </w:p>
        </w:tc>
      </w:tr>
      <w:tr>
        <w:trPr>
          <w:trHeight w:val="156"/>
        </w:trPr>
        <w:tc>
          <w:tcPr>
            <w:tcW w:w="140" w:type="dxa"/>
            <w:vAlign w:val="bottom"/>
          </w:tcPr>
          <w:p>
            <w:pPr>
              <w:spacing w:after="0"/>
              <w:rPr>
                <w:sz w:val="13"/>
                <w:szCs w:val="13"/>
                <w:color w:val="auto"/>
              </w:rPr>
            </w:pPr>
          </w:p>
        </w:tc>
        <w:tc>
          <w:tcPr>
            <w:tcW w:w="176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7"/>
              </w:rPr>
            </w:pPr>
            <w:hyperlink w:anchor="page3">
              <w:r>
                <w:rPr>
                  <w:rFonts w:ascii="Arial" w:cs="Arial" w:eastAsia="Arial" w:hAnsi="Arial"/>
                  <w:sz w:val="18"/>
                  <w:szCs w:val="18"/>
                  <w:color w:val="0000FF"/>
                  <w:w w:val="87"/>
                </w:rPr>
                <w:t>and September 28, 2019</w:t>
              </w:r>
            </w:hyperlink>
          </w:p>
        </w:tc>
        <w:tc>
          <w:tcPr>
            <w:tcW w:w="826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49"/>
        </w:trPr>
        <w:tc>
          <w:tcPr>
            <w:tcW w:w="140" w:type="dxa"/>
            <w:vAlign w:val="bottom"/>
          </w:tcPr>
          <w:p>
            <w:pPr>
              <w:spacing w:after="0"/>
              <w:rPr>
                <w:sz w:val="21"/>
                <w:szCs w:val="21"/>
                <w:color w:val="auto"/>
              </w:rPr>
            </w:pPr>
          </w:p>
        </w:tc>
        <w:tc>
          <w:tcPr>
            <w:tcW w:w="10080" w:type="dxa"/>
            <w:vAlign w:val="bottom"/>
            <w:gridSpan w:val="5"/>
          </w:tcPr>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Unaudited Condensed Consolidated Balance Sheet - September 26, 2020 and Consolidated Balance Sheet - March 28, 2020</w:t>
              </w:r>
            </w:hyperlink>
          </w:p>
        </w:tc>
        <w:tc>
          <w:tcPr>
            <w:tcW w:w="1000" w:type="dxa"/>
            <w:vAlign w:val="bottom"/>
          </w:tcPr>
          <w:p>
            <w:pPr>
              <w:jc w:val="center"/>
              <w:spacing w:after="0"/>
              <w:rPr>
                <w:rFonts w:ascii="Arial" w:cs="Arial" w:eastAsia="Arial" w:hAnsi="Arial"/>
                <w:sz w:val="18"/>
                <w:szCs w:val="18"/>
                <w:u w:val="single" w:color="auto"/>
                <w:color w:val="0000FF"/>
                <w:w w:val="79"/>
              </w:rPr>
            </w:pPr>
            <w:hyperlink w:anchor="page3">
              <w:r>
                <w:rPr>
                  <w:rFonts w:ascii="Arial" w:cs="Arial" w:eastAsia="Arial" w:hAnsi="Arial"/>
                  <w:sz w:val="18"/>
                  <w:szCs w:val="18"/>
                  <w:u w:val="single" w:color="auto"/>
                  <w:color w:val="0000FF"/>
                  <w:w w:val="79"/>
                </w:rPr>
                <w:t>4</w:t>
              </w:r>
            </w:hyperlink>
          </w:p>
        </w:tc>
        <w:tc>
          <w:tcPr>
            <w:tcW w:w="20" w:type="dxa"/>
            <w:vAlign w:val="bottom"/>
          </w:tcPr>
          <w:p>
            <w:pPr>
              <w:spacing w:after="0"/>
              <w:rPr>
                <w:sz w:val="21"/>
                <w:szCs w:val="21"/>
                <w:color w:val="auto"/>
              </w:rPr>
            </w:pPr>
          </w:p>
        </w:tc>
      </w:tr>
      <w:tr>
        <w:trPr>
          <w:trHeight w:val="190"/>
        </w:trPr>
        <w:tc>
          <w:tcPr>
            <w:tcW w:w="140" w:type="dxa"/>
            <w:vAlign w:val="bottom"/>
          </w:tcPr>
          <w:p>
            <w:pPr>
              <w:spacing w:after="0"/>
              <w:rPr>
                <w:sz w:val="16"/>
                <w:szCs w:val="16"/>
                <w:color w:val="auto"/>
              </w:rPr>
            </w:pPr>
          </w:p>
        </w:tc>
        <w:tc>
          <w:tcPr>
            <w:tcW w:w="10080" w:type="dxa"/>
            <w:vAlign w:val="bottom"/>
            <w:gridSpan w:val="5"/>
          </w:tcPr>
          <w:p>
            <w:pPr>
              <w:spacing w:after="0" w:line="190" w:lineRule="exact"/>
              <w:rPr>
                <w:rFonts w:ascii="Arial" w:cs="Arial" w:eastAsia="Arial" w:hAnsi="Arial"/>
                <w:sz w:val="18"/>
                <w:szCs w:val="18"/>
                <w:color w:val="0000FF"/>
                <w:w w:val="89"/>
              </w:rPr>
            </w:pPr>
            <w:hyperlink w:anchor="page4">
              <w:r>
                <w:rPr>
                  <w:rFonts w:ascii="Arial" w:cs="Arial" w:eastAsia="Arial" w:hAnsi="Arial"/>
                  <w:sz w:val="18"/>
                  <w:szCs w:val="18"/>
                  <w:color w:val="0000FF"/>
                  <w:w w:val="89"/>
                </w:rPr>
                <w:t>Unaudited Condensed Consolidated Statements of Stockholders' Equity - Three and Six Months Ended September 26, 2020 and September</w:t>
              </w:r>
            </w:hyperlink>
          </w:p>
        </w:tc>
        <w:tc>
          <w:tcPr>
            <w:tcW w:w="1000" w:type="dxa"/>
            <w:vAlign w:val="bottom"/>
          </w:tcPr>
          <w:p>
            <w:pPr>
              <w:jc w:val="center"/>
              <w:spacing w:after="0" w:line="190" w:lineRule="exact"/>
              <w:rPr>
                <w:rFonts w:ascii="Arial" w:cs="Arial" w:eastAsia="Arial" w:hAnsi="Arial"/>
                <w:sz w:val="18"/>
                <w:szCs w:val="18"/>
                <w:u w:val="single" w:color="auto"/>
                <w:color w:val="0000FF"/>
                <w:w w:val="79"/>
              </w:rPr>
            </w:pPr>
            <w:hyperlink w:anchor="page4">
              <w:r>
                <w:rPr>
                  <w:rFonts w:ascii="Arial" w:cs="Arial" w:eastAsia="Arial" w:hAnsi="Arial"/>
                  <w:sz w:val="18"/>
                  <w:szCs w:val="18"/>
                  <w:u w:val="single" w:color="auto"/>
                  <w:color w:val="0000FF"/>
                  <w:w w:val="79"/>
                </w:rPr>
                <w:t>5</w:t>
              </w:r>
            </w:hyperlink>
          </w:p>
        </w:tc>
        <w:tc>
          <w:tcPr>
            <w:tcW w:w="20" w:type="dxa"/>
            <w:vAlign w:val="bottom"/>
          </w:tcPr>
          <w:p>
            <w:pPr>
              <w:spacing w:after="0"/>
              <w:rPr>
                <w:sz w:val="16"/>
                <w:szCs w:val="16"/>
                <w:color w:val="auto"/>
              </w:rPr>
            </w:pPr>
          </w:p>
        </w:tc>
      </w:tr>
      <w:tr>
        <w:trPr>
          <w:trHeight w:val="156"/>
        </w:trPr>
        <w:tc>
          <w:tcPr>
            <w:tcW w:w="140" w:type="dxa"/>
            <w:vAlign w:val="bottom"/>
          </w:tcPr>
          <w:p>
            <w:pPr>
              <w:spacing w:after="0"/>
              <w:rPr>
                <w:sz w:val="13"/>
                <w:szCs w:val="13"/>
                <w:color w:val="auto"/>
              </w:rPr>
            </w:pPr>
          </w:p>
        </w:tc>
        <w:tc>
          <w:tcPr>
            <w:tcW w:w="64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8"/>
              </w:rPr>
            </w:pPr>
            <w:hyperlink w:anchor="page4">
              <w:r>
                <w:rPr>
                  <w:rFonts w:ascii="Arial" w:cs="Arial" w:eastAsia="Arial" w:hAnsi="Arial"/>
                  <w:sz w:val="18"/>
                  <w:szCs w:val="18"/>
                  <w:color w:val="0000FF"/>
                  <w:w w:val="88"/>
                </w:rPr>
                <w:t>28, 2019</w:t>
              </w:r>
            </w:hyperlink>
          </w:p>
        </w:tc>
        <w:tc>
          <w:tcPr>
            <w:tcW w:w="1120" w:type="dxa"/>
            <w:vAlign w:val="bottom"/>
            <w:tcBorders>
              <w:top w:val="single" w:sz="8" w:color="0000FF"/>
            </w:tcBorders>
          </w:tcPr>
          <w:p>
            <w:pPr>
              <w:spacing w:after="0"/>
              <w:rPr>
                <w:sz w:val="13"/>
                <w:szCs w:val="13"/>
                <w:color w:val="auto"/>
              </w:rPr>
            </w:pPr>
          </w:p>
        </w:tc>
        <w:tc>
          <w:tcPr>
            <w:tcW w:w="82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49"/>
        </w:trPr>
        <w:tc>
          <w:tcPr>
            <w:tcW w:w="140" w:type="dxa"/>
            <w:vAlign w:val="bottom"/>
          </w:tcPr>
          <w:p>
            <w:pPr>
              <w:spacing w:after="0"/>
              <w:rPr>
                <w:sz w:val="21"/>
                <w:szCs w:val="21"/>
                <w:color w:val="auto"/>
              </w:rPr>
            </w:pPr>
          </w:p>
        </w:tc>
        <w:tc>
          <w:tcPr>
            <w:tcW w:w="10080" w:type="dxa"/>
            <w:vAlign w:val="bottom"/>
            <w:gridSpan w:val="5"/>
          </w:tcPr>
          <w:p>
            <w:pPr>
              <w:spacing w:after="0"/>
              <w:rPr>
                <w:rFonts w:ascii="Arial" w:cs="Arial" w:eastAsia="Arial" w:hAnsi="Arial"/>
                <w:sz w:val="18"/>
                <w:szCs w:val="18"/>
                <w:u w:val="single" w:color="auto"/>
                <w:color w:val="0000FF"/>
                <w:w w:val="96"/>
              </w:rPr>
            </w:pPr>
            <w:hyperlink w:anchor="page5">
              <w:r>
                <w:rPr>
                  <w:rFonts w:ascii="Arial" w:cs="Arial" w:eastAsia="Arial" w:hAnsi="Arial"/>
                  <w:sz w:val="18"/>
                  <w:szCs w:val="18"/>
                  <w:u w:val="single" w:color="auto"/>
                  <w:color w:val="0000FF"/>
                  <w:w w:val="96"/>
                </w:rPr>
                <w:t>Unaudited Condensed Consolidated Statements of Cash Flows - Six Months Ended September 26, 2020 and September 28, 2019</w:t>
              </w:r>
            </w:hyperlink>
          </w:p>
        </w:tc>
        <w:tc>
          <w:tcPr>
            <w:tcW w:w="1000" w:type="dxa"/>
            <w:vAlign w:val="bottom"/>
          </w:tcPr>
          <w:p>
            <w:pPr>
              <w:jc w:val="center"/>
              <w:spacing w:after="0"/>
              <w:rPr>
                <w:rFonts w:ascii="Arial" w:cs="Arial" w:eastAsia="Arial" w:hAnsi="Arial"/>
                <w:sz w:val="18"/>
                <w:szCs w:val="18"/>
                <w:u w:val="single" w:color="auto"/>
                <w:color w:val="0000FF"/>
                <w:w w:val="79"/>
              </w:rPr>
            </w:pPr>
            <w:hyperlink w:anchor="page5">
              <w:r>
                <w:rPr>
                  <w:rFonts w:ascii="Arial" w:cs="Arial" w:eastAsia="Arial" w:hAnsi="Arial"/>
                  <w:sz w:val="18"/>
                  <w:szCs w:val="18"/>
                  <w:u w:val="single" w:color="auto"/>
                  <w:color w:val="0000FF"/>
                  <w:w w:val="79"/>
                </w:rPr>
                <w:t>6</w:t>
              </w:r>
            </w:hyperlink>
          </w:p>
        </w:tc>
        <w:tc>
          <w:tcPr>
            <w:tcW w:w="20" w:type="dxa"/>
            <w:vAlign w:val="bottom"/>
          </w:tcPr>
          <w:p>
            <w:pPr>
              <w:spacing w:after="0"/>
              <w:rPr>
                <w:sz w:val="21"/>
                <w:szCs w:val="21"/>
                <w:color w:val="auto"/>
              </w:rPr>
            </w:pPr>
          </w:p>
        </w:tc>
      </w:tr>
      <w:tr>
        <w:trPr>
          <w:trHeight w:val="230"/>
        </w:trPr>
        <w:tc>
          <w:tcPr>
            <w:tcW w:w="140" w:type="dxa"/>
            <w:vAlign w:val="bottom"/>
          </w:tcPr>
          <w:p>
            <w:pPr>
              <w:spacing w:after="0"/>
              <w:rPr>
                <w:sz w:val="20"/>
                <w:szCs w:val="20"/>
                <w:color w:val="auto"/>
              </w:rPr>
            </w:pPr>
          </w:p>
        </w:tc>
        <w:tc>
          <w:tcPr>
            <w:tcW w:w="10080" w:type="dxa"/>
            <w:vAlign w:val="bottom"/>
            <w:gridSpan w:val="5"/>
          </w:tcPr>
          <w:p>
            <w:pPr>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Notes to Unaudited Condensed Consolidated Financial Statements</w:t>
              </w:r>
            </w:hyperlink>
          </w:p>
        </w:tc>
        <w:tc>
          <w:tcPr>
            <w:tcW w:w="1000" w:type="dxa"/>
            <w:vAlign w:val="bottom"/>
          </w:tcPr>
          <w:p>
            <w:pPr>
              <w:jc w:val="center"/>
              <w:spacing w:after="0"/>
              <w:rPr>
                <w:rFonts w:ascii="Arial" w:cs="Arial" w:eastAsia="Arial" w:hAnsi="Arial"/>
                <w:sz w:val="18"/>
                <w:szCs w:val="18"/>
                <w:u w:val="single" w:color="auto"/>
                <w:color w:val="0000FF"/>
                <w:w w:val="79"/>
              </w:rPr>
            </w:pPr>
            <w:hyperlink w:anchor="page6">
              <w:r>
                <w:rPr>
                  <w:rFonts w:ascii="Arial" w:cs="Arial" w:eastAsia="Arial" w:hAnsi="Arial"/>
                  <w:sz w:val="18"/>
                  <w:szCs w:val="18"/>
                  <w:u w:val="single" w:color="auto"/>
                  <w:color w:val="0000FF"/>
                  <w:w w:val="79"/>
                </w:rPr>
                <w:t>7</w:t>
              </w:r>
            </w:hyperlink>
          </w:p>
        </w:tc>
        <w:tc>
          <w:tcPr>
            <w:tcW w:w="20" w:type="dxa"/>
            <w:vAlign w:val="bottom"/>
          </w:tcPr>
          <w:p>
            <w:pPr>
              <w:spacing w:after="0"/>
              <w:rPr>
                <w:sz w:val="20"/>
                <w:szCs w:val="20"/>
                <w:color w:val="auto"/>
              </w:rPr>
            </w:pPr>
          </w:p>
        </w:tc>
      </w:tr>
      <w:tr>
        <w:trPr>
          <w:trHeight w:val="459"/>
        </w:trPr>
        <w:tc>
          <w:tcPr>
            <w:tcW w:w="10220" w:type="dxa"/>
            <w:vAlign w:val="bottom"/>
            <w:gridSpan w:val="6"/>
          </w:tcPr>
          <w:p>
            <w:pPr>
              <w:ind w:left="20"/>
              <w:spacing w:after="0"/>
              <w:rPr>
                <w:rFonts w:ascii="Arial" w:cs="Arial" w:eastAsia="Arial" w:hAnsi="Arial"/>
                <w:sz w:val="18"/>
                <w:szCs w:val="18"/>
                <w:b w:val="1"/>
                <w:bCs w:val="1"/>
                <w:u w:val="single" w:color="auto"/>
                <w:color w:val="0000FF"/>
              </w:rPr>
            </w:pPr>
            <w:hyperlink w:anchor="page20">
              <w:r>
                <w:rPr>
                  <w:rFonts w:ascii="Arial" w:cs="Arial" w:eastAsia="Arial" w:hAnsi="Arial"/>
                  <w:sz w:val="18"/>
                  <w:szCs w:val="18"/>
                  <w:b w:val="1"/>
                  <w:bCs w:val="1"/>
                  <w:u w:val="single" w:color="auto"/>
                  <w:color w:val="0000FF"/>
                </w:rPr>
                <w:t>ITEM 2. Management's Discussion and Analysis of Financial Condition and Results of Operations</w:t>
              </w:r>
            </w:hyperlink>
          </w:p>
        </w:tc>
        <w:tc>
          <w:tcPr>
            <w:tcW w:w="1000" w:type="dxa"/>
            <w:vAlign w:val="bottom"/>
          </w:tcPr>
          <w:p>
            <w:pPr>
              <w:jc w:val="center"/>
              <w:spacing w:after="0"/>
              <w:rPr>
                <w:rFonts w:ascii="Arial" w:cs="Arial" w:eastAsia="Arial" w:hAnsi="Arial"/>
                <w:sz w:val="18"/>
                <w:szCs w:val="18"/>
                <w:u w:val="single" w:color="auto"/>
                <w:color w:val="0000FF"/>
                <w:w w:val="89"/>
              </w:rPr>
            </w:pPr>
            <w:hyperlink w:anchor="page20">
              <w:r>
                <w:rPr>
                  <w:rFonts w:ascii="Arial" w:cs="Arial" w:eastAsia="Arial" w:hAnsi="Arial"/>
                  <w:sz w:val="18"/>
                  <w:szCs w:val="18"/>
                  <w:u w:val="single" w:color="auto"/>
                  <w:color w:val="0000FF"/>
                  <w:w w:val="89"/>
                </w:rPr>
                <w:t>20</w:t>
              </w:r>
            </w:hyperlink>
          </w:p>
        </w:tc>
        <w:tc>
          <w:tcPr>
            <w:tcW w:w="20" w:type="dxa"/>
            <w:vAlign w:val="bottom"/>
          </w:tcPr>
          <w:p>
            <w:pPr>
              <w:spacing w:after="0"/>
              <w:rPr>
                <w:sz w:val="24"/>
                <w:szCs w:val="24"/>
                <w:color w:val="auto"/>
              </w:rPr>
            </w:pPr>
          </w:p>
        </w:tc>
      </w:tr>
      <w:tr>
        <w:trPr>
          <w:trHeight w:val="459"/>
        </w:trPr>
        <w:tc>
          <w:tcPr>
            <w:tcW w:w="10220" w:type="dxa"/>
            <w:vAlign w:val="bottom"/>
            <w:gridSpan w:val="6"/>
          </w:tcPr>
          <w:p>
            <w:pPr>
              <w:ind w:left="20"/>
              <w:spacing w:after="0"/>
              <w:rPr>
                <w:rFonts w:ascii="Arial" w:cs="Arial" w:eastAsia="Arial" w:hAnsi="Arial"/>
                <w:sz w:val="18"/>
                <w:szCs w:val="18"/>
                <w:b w:val="1"/>
                <w:bCs w:val="1"/>
                <w:u w:val="single" w:color="auto"/>
                <w:color w:val="0000FF"/>
              </w:rPr>
            </w:pPr>
            <w:hyperlink w:anchor="page31">
              <w:r>
                <w:rPr>
                  <w:rFonts w:ascii="Arial" w:cs="Arial" w:eastAsia="Arial" w:hAnsi="Arial"/>
                  <w:sz w:val="18"/>
                  <w:szCs w:val="18"/>
                  <w:b w:val="1"/>
                  <w:bCs w:val="1"/>
                  <w:u w:val="single" w:color="auto"/>
                  <w:color w:val="0000FF"/>
                </w:rPr>
                <w:t>ITEM 3. Quantitative and Qualitative Disclosures about Market Risk</w:t>
              </w:r>
            </w:hyperlink>
          </w:p>
        </w:tc>
        <w:tc>
          <w:tcPr>
            <w:tcW w:w="1000" w:type="dxa"/>
            <w:vAlign w:val="bottom"/>
          </w:tcPr>
          <w:p>
            <w:pPr>
              <w:jc w:val="center"/>
              <w:spacing w:after="0"/>
              <w:rPr>
                <w:rFonts w:ascii="Arial" w:cs="Arial" w:eastAsia="Arial" w:hAnsi="Arial"/>
                <w:sz w:val="18"/>
                <w:szCs w:val="18"/>
                <w:u w:val="single" w:color="auto"/>
                <w:color w:val="0000FF"/>
                <w:w w:val="89"/>
              </w:rPr>
            </w:pPr>
            <w:hyperlink w:anchor="page31">
              <w:r>
                <w:rPr>
                  <w:rFonts w:ascii="Arial" w:cs="Arial" w:eastAsia="Arial" w:hAnsi="Arial"/>
                  <w:sz w:val="18"/>
                  <w:szCs w:val="18"/>
                  <w:u w:val="single" w:color="auto"/>
                  <w:color w:val="0000FF"/>
                  <w:w w:val="89"/>
                </w:rPr>
                <w:t>31</w:t>
              </w:r>
            </w:hyperlink>
          </w:p>
        </w:tc>
        <w:tc>
          <w:tcPr>
            <w:tcW w:w="20" w:type="dxa"/>
            <w:vAlign w:val="bottom"/>
          </w:tcPr>
          <w:p>
            <w:pPr>
              <w:spacing w:after="0"/>
              <w:rPr>
                <w:sz w:val="24"/>
                <w:szCs w:val="24"/>
                <w:color w:val="auto"/>
              </w:rPr>
            </w:pPr>
          </w:p>
        </w:tc>
      </w:tr>
      <w:tr>
        <w:trPr>
          <w:trHeight w:val="459"/>
        </w:trPr>
        <w:tc>
          <w:tcPr>
            <w:tcW w:w="10220" w:type="dxa"/>
            <w:vAlign w:val="bottom"/>
            <w:gridSpan w:val="6"/>
          </w:tcPr>
          <w:p>
            <w:pPr>
              <w:ind w:left="20"/>
              <w:spacing w:after="0"/>
              <w:rPr>
                <w:rFonts w:ascii="Arial" w:cs="Arial" w:eastAsia="Arial" w:hAnsi="Arial"/>
                <w:sz w:val="18"/>
                <w:szCs w:val="18"/>
                <w:b w:val="1"/>
                <w:bCs w:val="1"/>
                <w:u w:val="single" w:color="auto"/>
                <w:color w:val="0000FF"/>
              </w:rPr>
            </w:pPr>
            <w:hyperlink w:anchor="page32">
              <w:r>
                <w:rPr>
                  <w:rFonts w:ascii="Arial" w:cs="Arial" w:eastAsia="Arial" w:hAnsi="Arial"/>
                  <w:sz w:val="18"/>
                  <w:szCs w:val="18"/>
                  <w:b w:val="1"/>
                  <w:bCs w:val="1"/>
                  <w:u w:val="single" w:color="auto"/>
                  <w:color w:val="0000FF"/>
                </w:rPr>
                <w:t>ITEM 4. Controls and Procedures</w:t>
              </w:r>
            </w:hyperlink>
          </w:p>
        </w:tc>
        <w:tc>
          <w:tcPr>
            <w:tcW w:w="1000" w:type="dxa"/>
            <w:vAlign w:val="bottom"/>
          </w:tcPr>
          <w:p>
            <w:pPr>
              <w:jc w:val="center"/>
              <w:spacing w:after="0"/>
              <w:rPr>
                <w:rFonts w:ascii="Arial" w:cs="Arial" w:eastAsia="Arial" w:hAnsi="Arial"/>
                <w:sz w:val="18"/>
                <w:szCs w:val="18"/>
                <w:u w:val="single" w:color="auto"/>
                <w:color w:val="0000FF"/>
                <w:w w:val="89"/>
              </w:rPr>
            </w:pPr>
            <w:hyperlink w:anchor="page32">
              <w:r>
                <w:rPr>
                  <w:rFonts w:ascii="Arial" w:cs="Arial" w:eastAsia="Arial" w:hAnsi="Arial"/>
                  <w:sz w:val="18"/>
                  <w:szCs w:val="18"/>
                  <w:u w:val="single" w:color="auto"/>
                  <w:color w:val="0000FF"/>
                  <w:w w:val="89"/>
                </w:rPr>
                <w:t>32</w:t>
              </w:r>
            </w:hyperlink>
          </w:p>
        </w:tc>
        <w:tc>
          <w:tcPr>
            <w:tcW w:w="20" w:type="dxa"/>
            <w:vAlign w:val="bottom"/>
          </w:tcPr>
          <w:p>
            <w:pPr>
              <w:spacing w:after="0"/>
              <w:rPr>
                <w:sz w:val="24"/>
                <w:szCs w:val="24"/>
                <w:color w:val="auto"/>
              </w:rPr>
            </w:pPr>
          </w:p>
        </w:tc>
      </w:tr>
      <w:tr>
        <w:trPr>
          <w:trHeight w:val="459"/>
        </w:trPr>
        <w:tc>
          <w:tcPr>
            <w:tcW w:w="10220" w:type="dxa"/>
            <w:vAlign w:val="bottom"/>
            <w:gridSpan w:val="6"/>
          </w:tcPr>
          <w:p>
            <w:pPr>
              <w:ind w:left="20"/>
              <w:spacing w:after="0"/>
              <w:rPr>
                <w:rFonts w:ascii="Arial" w:cs="Arial" w:eastAsia="Arial" w:hAnsi="Arial"/>
                <w:sz w:val="18"/>
                <w:szCs w:val="18"/>
                <w:b w:val="1"/>
                <w:bCs w:val="1"/>
                <w:u w:val="single" w:color="auto"/>
                <w:color w:val="0000FF"/>
              </w:rPr>
            </w:pPr>
            <w:hyperlink w:anchor="page32">
              <w:r>
                <w:rPr>
                  <w:rFonts w:ascii="Arial" w:cs="Arial" w:eastAsia="Arial" w:hAnsi="Arial"/>
                  <w:sz w:val="18"/>
                  <w:szCs w:val="18"/>
                  <w:b w:val="1"/>
                  <w:bCs w:val="1"/>
                  <w:u w:val="single" w:color="auto"/>
                  <w:color w:val="0000FF"/>
                </w:rPr>
                <w:t>PART II. OTHER INFORMATION</w:t>
              </w:r>
            </w:hyperlink>
          </w:p>
        </w:tc>
        <w:tc>
          <w:tcPr>
            <w:tcW w:w="1000" w:type="dxa"/>
            <w:vAlign w:val="bottom"/>
          </w:tcPr>
          <w:p>
            <w:pPr>
              <w:jc w:val="center"/>
              <w:spacing w:after="0"/>
              <w:rPr>
                <w:rFonts w:ascii="Arial" w:cs="Arial" w:eastAsia="Arial" w:hAnsi="Arial"/>
                <w:sz w:val="18"/>
                <w:szCs w:val="18"/>
                <w:u w:val="single" w:color="auto"/>
                <w:color w:val="0000FF"/>
                <w:w w:val="89"/>
              </w:rPr>
            </w:pPr>
            <w:hyperlink w:anchor="page32">
              <w:r>
                <w:rPr>
                  <w:rFonts w:ascii="Arial" w:cs="Arial" w:eastAsia="Arial" w:hAnsi="Arial"/>
                  <w:sz w:val="18"/>
                  <w:szCs w:val="18"/>
                  <w:u w:val="single" w:color="auto"/>
                  <w:color w:val="0000FF"/>
                  <w:w w:val="89"/>
                </w:rPr>
                <w:t>33</w:t>
              </w:r>
            </w:hyperlink>
          </w:p>
        </w:tc>
        <w:tc>
          <w:tcPr>
            <w:tcW w:w="20" w:type="dxa"/>
            <w:vAlign w:val="bottom"/>
          </w:tcPr>
          <w:p>
            <w:pPr>
              <w:spacing w:after="0"/>
              <w:rPr>
                <w:sz w:val="24"/>
                <w:szCs w:val="24"/>
                <w:color w:val="auto"/>
              </w:rPr>
            </w:pPr>
          </w:p>
        </w:tc>
      </w:tr>
      <w:tr>
        <w:trPr>
          <w:trHeight w:val="459"/>
        </w:trPr>
        <w:tc>
          <w:tcPr>
            <w:tcW w:w="10220" w:type="dxa"/>
            <w:vAlign w:val="bottom"/>
            <w:gridSpan w:val="6"/>
          </w:tcPr>
          <w:p>
            <w:pPr>
              <w:ind w:left="20"/>
              <w:spacing w:after="0"/>
              <w:rPr>
                <w:rFonts w:ascii="Arial" w:cs="Arial" w:eastAsia="Arial" w:hAnsi="Arial"/>
                <w:sz w:val="18"/>
                <w:szCs w:val="18"/>
                <w:b w:val="1"/>
                <w:bCs w:val="1"/>
                <w:u w:val="single" w:color="auto"/>
                <w:color w:val="0000FF"/>
              </w:rPr>
            </w:pPr>
            <w:hyperlink w:anchor="page33">
              <w:r>
                <w:rPr>
                  <w:rFonts w:ascii="Arial" w:cs="Arial" w:eastAsia="Arial" w:hAnsi="Arial"/>
                  <w:sz w:val="18"/>
                  <w:szCs w:val="18"/>
                  <w:b w:val="1"/>
                  <w:bCs w:val="1"/>
                  <w:u w:val="single" w:color="auto"/>
                  <w:color w:val="0000FF"/>
                </w:rPr>
                <w:t>ITEM 1. Legal Proceedings</w:t>
              </w:r>
            </w:hyperlink>
          </w:p>
        </w:tc>
        <w:tc>
          <w:tcPr>
            <w:tcW w:w="1000" w:type="dxa"/>
            <w:vAlign w:val="bottom"/>
          </w:tcPr>
          <w:p>
            <w:pPr>
              <w:jc w:val="center"/>
              <w:spacing w:after="0"/>
              <w:rPr>
                <w:rFonts w:ascii="Arial" w:cs="Arial" w:eastAsia="Arial" w:hAnsi="Arial"/>
                <w:sz w:val="18"/>
                <w:szCs w:val="18"/>
                <w:u w:val="single" w:color="auto"/>
                <w:color w:val="0000FF"/>
                <w:w w:val="89"/>
              </w:rPr>
            </w:pPr>
            <w:hyperlink w:anchor="page33">
              <w:r>
                <w:rPr>
                  <w:rFonts w:ascii="Arial" w:cs="Arial" w:eastAsia="Arial" w:hAnsi="Arial"/>
                  <w:sz w:val="18"/>
                  <w:szCs w:val="18"/>
                  <w:u w:val="single" w:color="auto"/>
                  <w:color w:val="0000FF"/>
                  <w:w w:val="89"/>
                </w:rPr>
                <w:t>33</w:t>
              </w:r>
            </w:hyperlink>
          </w:p>
        </w:tc>
        <w:tc>
          <w:tcPr>
            <w:tcW w:w="20" w:type="dxa"/>
            <w:vAlign w:val="bottom"/>
          </w:tcPr>
          <w:p>
            <w:pPr>
              <w:spacing w:after="0"/>
              <w:rPr>
                <w:sz w:val="24"/>
                <w:szCs w:val="24"/>
                <w:color w:val="auto"/>
              </w:rPr>
            </w:pPr>
          </w:p>
        </w:tc>
      </w:tr>
      <w:tr>
        <w:trPr>
          <w:trHeight w:val="459"/>
        </w:trPr>
        <w:tc>
          <w:tcPr>
            <w:tcW w:w="10220" w:type="dxa"/>
            <w:vAlign w:val="bottom"/>
            <w:gridSpan w:val="6"/>
          </w:tcPr>
          <w:p>
            <w:pPr>
              <w:ind w:left="20"/>
              <w:spacing w:after="0"/>
              <w:rPr>
                <w:rFonts w:ascii="Arial" w:cs="Arial" w:eastAsia="Arial" w:hAnsi="Arial"/>
                <w:sz w:val="18"/>
                <w:szCs w:val="18"/>
                <w:b w:val="1"/>
                <w:bCs w:val="1"/>
                <w:u w:val="single" w:color="auto"/>
                <w:color w:val="0000FF"/>
              </w:rPr>
            </w:pPr>
            <w:hyperlink w:anchor="page33">
              <w:r>
                <w:rPr>
                  <w:rFonts w:ascii="Arial" w:cs="Arial" w:eastAsia="Arial" w:hAnsi="Arial"/>
                  <w:sz w:val="18"/>
                  <w:szCs w:val="18"/>
                  <w:b w:val="1"/>
                  <w:bCs w:val="1"/>
                  <w:u w:val="single" w:color="auto"/>
                  <w:color w:val="0000FF"/>
                </w:rPr>
                <w:t>ITEM 1A. Risk Factors</w:t>
              </w:r>
            </w:hyperlink>
          </w:p>
        </w:tc>
        <w:tc>
          <w:tcPr>
            <w:tcW w:w="1000" w:type="dxa"/>
            <w:vAlign w:val="bottom"/>
          </w:tcPr>
          <w:p>
            <w:pPr>
              <w:jc w:val="center"/>
              <w:spacing w:after="0"/>
              <w:rPr>
                <w:rFonts w:ascii="Arial" w:cs="Arial" w:eastAsia="Arial" w:hAnsi="Arial"/>
                <w:sz w:val="18"/>
                <w:szCs w:val="18"/>
                <w:u w:val="single" w:color="auto"/>
                <w:color w:val="0000FF"/>
                <w:w w:val="89"/>
              </w:rPr>
            </w:pPr>
            <w:hyperlink w:anchor="page33">
              <w:r>
                <w:rPr>
                  <w:rFonts w:ascii="Arial" w:cs="Arial" w:eastAsia="Arial" w:hAnsi="Arial"/>
                  <w:sz w:val="18"/>
                  <w:szCs w:val="18"/>
                  <w:u w:val="single" w:color="auto"/>
                  <w:color w:val="0000FF"/>
                  <w:w w:val="89"/>
                </w:rPr>
                <w:t>33</w:t>
              </w:r>
            </w:hyperlink>
          </w:p>
        </w:tc>
        <w:tc>
          <w:tcPr>
            <w:tcW w:w="20" w:type="dxa"/>
            <w:vAlign w:val="bottom"/>
          </w:tcPr>
          <w:p>
            <w:pPr>
              <w:spacing w:after="0"/>
              <w:rPr>
                <w:sz w:val="24"/>
                <w:szCs w:val="24"/>
                <w:color w:val="auto"/>
              </w:rPr>
            </w:pPr>
          </w:p>
        </w:tc>
      </w:tr>
      <w:tr>
        <w:trPr>
          <w:trHeight w:val="459"/>
        </w:trPr>
        <w:tc>
          <w:tcPr>
            <w:tcW w:w="10220" w:type="dxa"/>
            <w:vAlign w:val="bottom"/>
            <w:gridSpan w:val="6"/>
          </w:tcPr>
          <w:p>
            <w:pPr>
              <w:ind w:left="20"/>
              <w:spacing w:after="0"/>
              <w:rPr>
                <w:rFonts w:ascii="Arial" w:cs="Arial" w:eastAsia="Arial" w:hAnsi="Arial"/>
                <w:sz w:val="18"/>
                <w:szCs w:val="18"/>
                <w:b w:val="1"/>
                <w:bCs w:val="1"/>
                <w:u w:val="single" w:color="auto"/>
                <w:color w:val="0000FF"/>
              </w:rPr>
            </w:pPr>
            <w:hyperlink w:anchor="page33">
              <w:r>
                <w:rPr>
                  <w:rFonts w:ascii="Arial" w:cs="Arial" w:eastAsia="Arial" w:hAnsi="Arial"/>
                  <w:sz w:val="18"/>
                  <w:szCs w:val="18"/>
                  <w:b w:val="1"/>
                  <w:bCs w:val="1"/>
                  <w:u w:val="single" w:color="auto"/>
                  <w:color w:val="0000FF"/>
                </w:rPr>
                <w:t>ITEM 2. Unregistered Sales of Equity Securities and Use of Proceeds</w:t>
              </w:r>
            </w:hyperlink>
          </w:p>
        </w:tc>
        <w:tc>
          <w:tcPr>
            <w:tcW w:w="1000" w:type="dxa"/>
            <w:vAlign w:val="bottom"/>
          </w:tcPr>
          <w:p>
            <w:pPr>
              <w:jc w:val="center"/>
              <w:spacing w:after="0"/>
              <w:rPr>
                <w:rFonts w:ascii="Arial" w:cs="Arial" w:eastAsia="Arial" w:hAnsi="Arial"/>
                <w:sz w:val="18"/>
                <w:szCs w:val="18"/>
                <w:u w:val="single" w:color="auto"/>
                <w:color w:val="0000FF"/>
                <w:w w:val="89"/>
              </w:rPr>
            </w:pPr>
            <w:hyperlink w:anchor="page33">
              <w:r>
                <w:rPr>
                  <w:rFonts w:ascii="Arial" w:cs="Arial" w:eastAsia="Arial" w:hAnsi="Arial"/>
                  <w:sz w:val="18"/>
                  <w:szCs w:val="18"/>
                  <w:u w:val="single" w:color="auto"/>
                  <w:color w:val="0000FF"/>
                  <w:w w:val="89"/>
                </w:rPr>
                <w:t>33</w:t>
              </w:r>
            </w:hyperlink>
          </w:p>
        </w:tc>
        <w:tc>
          <w:tcPr>
            <w:tcW w:w="20" w:type="dxa"/>
            <w:vAlign w:val="bottom"/>
          </w:tcPr>
          <w:p>
            <w:pPr>
              <w:spacing w:after="0"/>
              <w:rPr>
                <w:sz w:val="24"/>
                <w:szCs w:val="24"/>
                <w:color w:val="auto"/>
              </w:rPr>
            </w:pPr>
          </w:p>
        </w:tc>
      </w:tr>
      <w:tr>
        <w:trPr>
          <w:trHeight w:val="459"/>
        </w:trPr>
        <w:tc>
          <w:tcPr>
            <w:tcW w:w="10220" w:type="dxa"/>
            <w:vAlign w:val="bottom"/>
            <w:gridSpan w:val="6"/>
          </w:tcPr>
          <w:p>
            <w:pPr>
              <w:ind w:left="20"/>
              <w:spacing w:after="0"/>
              <w:rPr>
                <w:rFonts w:ascii="Arial" w:cs="Arial" w:eastAsia="Arial" w:hAnsi="Arial"/>
                <w:sz w:val="18"/>
                <w:szCs w:val="18"/>
                <w:b w:val="1"/>
                <w:bCs w:val="1"/>
                <w:u w:val="single" w:color="auto"/>
                <w:color w:val="0000FF"/>
              </w:rPr>
            </w:pPr>
            <w:hyperlink w:anchor="page33">
              <w:r>
                <w:rPr>
                  <w:rFonts w:ascii="Arial" w:cs="Arial" w:eastAsia="Arial" w:hAnsi="Arial"/>
                  <w:sz w:val="18"/>
                  <w:szCs w:val="18"/>
                  <w:b w:val="1"/>
                  <w:bCs w:val="1"/>
                  <w:u w:val="single" w:color="auto"/>
                  <w:color w:val="0000FF"/>
                </w:rPr>
                <w:t>ITEM 3. Defaults upon Senior Securities</w:t>
              </w:r>
            </w:hyperlink>
          </w:p>
        </w:tc>
        <w:tc>
          <w:tcPr>
            <w:tcW w:w="1000" w:type="dxa"/>
            <w:vAlign w:val="bottom"/>
          </w:tcPr>
          <w:p>
            <w:pPr>
              <w:jc w:val="center"/>
              <w:spacing w:after="0"/>
              <w:rPr>
                <w:rFonts w:ascii="Arial" w:cs="Arial" w:eastAsia="Arial" w:hAnsi="Arial"/>
                <w:sz w:val="18"/>
                <w:szCs w:val="18"/>
                <w:u w:val="single" w:color="auto"/>
                <w:color w:val="0000FF"/>
                <w:w w:val="89"/>
              </w:rPr>
            </w:pPr>
            <w:hyperlink w:anchor="page33">
              <w:r>
                <w:rPr>
                  <w:rFonts w:ascii="Arial" w:cs="Arial" w:eastAsia="Arial" w:hAnsi="Arial"/>
                  <w:sz w:val="18"/>
                  <w:szCs w:val="18"/>
                  <w:u w:val="single" w:color="auto"/>
                  <w:color w:val="0000FF"/>
                  <w:w w:val="89"/>
                </w:rPr>
                <w:t>34</w:t>
              </w:r>
            </w:hyperlink>
          </w:p>
        </w:tc>
        <w:tc>
          <w:tcPr>
            <w:tcW w:w="20" w:type="dxa"/>
            <w:vAlign w:val="bottom"/>
          </w:tcPr>
          <w:p>
            <w:pPr>
              <w:spacing w:after="0"/>
              <w:rPr>
                <w:sz w:val="24"/>
                <w:szCs w:val="24"/>
                <w:color w:val="auto"/>
              </w:rPr>
            </w:pPr>
          </w:p>
        </w:tc>
      </w:tr>
      <w:tr>
        <w:trPr>
          <w:trHeight w:val="459"/>
        </w:trPr>
        <w:tc>
          <w:tcPr>
            <w:tcW w:w="10220" w:type="dxa"/>
            <w:vAlign w:val="bottom"/>
            <w:gridSpan w:val="6"/>
          </w:tcPr>
          <w:p>
            <w:pPr>
              <w:ind w:left="20"/>
              <w:spacing w:after="0"/>
              <w:rPr>
                <w:rFonts w:ascii="Arial" w:cs="Arial" w:eastAsia="Arial" w:hAnsi="Arial"/>
                <w:sz w:val="18"/>
                <w:szCs w:val="18"/>
                <w:b w:val="1"/>
                <w:bCs w:val="1"/>
                <w:u w:val="single" w:color="auto"/>
                <w:color w:val="0000FF"/>
              </w:rPr>
            </w:pPr>
            <w:hyperlink w:anchor="page34">
              <w:r>
                <w:rPr>
                  <w:rFonts w:ascii="Arial" w:cs="Arial" w:eastAsia="Arial" w:hAnsi="Arial"/>
                  <w:sz w:val="18"/>
                  <w:szCs w:val="18"/>
                  <w:b w:val="1"/>
                  <w:bCs w:val="1"/>
                  <w:u w:val="single" w:color="auto"/>
                  <w:color w:val="0000FF"/>
                </w:rPr>
                <w:t>ITEM 4. Mine Safety Disclosures</w:t>
              </w:r>
            </w:hyperlink>
          </w:p>
        </w:tc>
        <w:tc>
          <w:tcPr>
            <w:tcW w:w="1000" w:type="dxa"/>
            <w:vAlign w:val="bottom"/>
          </w:tcPr>
          <w:p>
            <w:pPr>
              <w:jc w:val="center"/>
              <w:spacing w:after="0"/>
              <w:rPr>
                <w:rFonts w:ascii="Arial" w:cs="Arial" w:eastAsia="Arial" w:hAnsi="Arial"/>
                <w:sz w:val="18"/>
                <w:szCs w:val="18"/>
                <w:u w:val="single" w:color="auto"/>
                <w:color w:val="0000FF"/>
                <w:w w:val="89"/>
              </w:rPr>
            </w:pPr>
            <w:hyperlink w:anchor="page34">
              <w:r>
                <w:rPr>
                  <w:rFonts w:ascii="Arial" w:cs="Arial" w:eastAsia="Arial" w:hAnsi="Arial"/>
                  <w:sz w:val="18"/>
                  <w:szCs w:val="18"/>
                  <w:u w:val="single" w:color="auto"/>
                  <w:color w:val="0000FF"/>
                  <w:w w:val="89"/>
                </w:rPr>
                <w:t>34</w:t>
              </w:r>
            </w:hyperlink>
          </w:p>
        </w:tc>
        <w:tc>
          <w:tcPr>
            <w:tcW w:w="20" w:type="dxa"/>
            <w:vAlign w:val="bottom"/>
          </w:tcPr>
          <w:p>
            <w:pPr>
              <w:spacing w:after="0"/>
              <w:rPr>
                <w:sz w:val="24"/>
                <w:szCs w:val="24"/>
                <w:color w:val="auto"/>
              </w:rPr>
            </w:pPr>
          </w:p>
        </w:tc>
      </w:tr>
      <w:tr>
        <w:trPr>
          <w:trHeight w:val="459"/>
        </w:trPr>
        <w:tc>
          <w:tcPr>
            <w:tcW w:w="10220" w:type="dxa"/>
            <w:vAlign w:val="bottom"/>
            <w:gridSpan w:val="6"/>
          </w:tcPr>
          <w:p>
            <w:pPr>
              <w:ind w:left="20"/>
              <w:spacing w:after="0"/>
              <w:rPr>
                <w:rFonts w:ascii="Arial" w:cs="Arial" w:eastAsia="Arial" w:hAnsi="Arial"/>
                <w:sz w:val="18"/>
                <w:szCs w:val="18"/>
                <w:b w:val="1"/>
                <w:bCs w:val="1"/>
                <w:u w:val="single" w:color="auto"/>
                <w:color w:val="0000FF"/>
              </w:rPr>
            </w:pPr>
            <w:hyperlink w:anchor="page34">
              <w:r>
                <w:rPr>
                  <w:rFonts w:ascii="Arial" w:cs="Arial" w:eastAsia="Arial" w:hAnsi="Arial"/>
                  <w:sz w:val="18"/>
                  <w:szCs w:val="18"/>
                  <w:b w:val="1"/>
                  <w:bCs w:val="1"/>
                  <w:u w:val="single" w:color="auto"/>
                  <w:color w:val="0000FF"/>
                </w:rPr>
                <w:t>ITEM 5. Other Information</w:t>
              </w:r>
            </w:hyperlink>
          </w:p>
        </w:tc>
        <w:tc>
          <w:tcPr>
            <w:tcW w:w="1000" w:type="dxa"/>
            <w:vAlign w:val="bottom"/>
          </w:tcPr>
          <w:p>
            <w:pPr>
              <w:jc w:val="center"/>
              <w:spacing w:after="0"/>
              <w:rPr>
                <w:rFonts w:ascii="Arial" w:cs="Arial" w:eastAsia="Arial" w:hAnsi="Arial"/>
                <w:sz w:val="18"/>
                <w:szCs w:val="18"/>
                <w:u w:val="single" w:color="auto"/>
                <w:color w:val="0000FF"/>
                <w:w w:val="89"/>
              </w:rPr>
            </w:pPr>
            <w:hyperlink w:anchor="page34">
              <w:r>
                <w:rPr>
                  <w:rFonts w:ascii="Arial" w:cs="Arial" w:eastAsia="Arial" w:hAnsi="Arial"/>
                  <w:sz w:val="18"/>
                  <w:szCs w:val="18"/>
                  <w:u w:val="single" w:color="auto"/>
                  <w:color w:val="0000FF"/>
                  <w:w w:val="89"/>
                </w:rPr>
                <w:t>34</w:t>
              </w:r>
            </w:hyperlink>
          </w:p>
        </w:tc>
        <w:tc>
          <w:tcPr>
            <w:tcW w:w="20" w:type="dxa"/>
            <w:vAlign w:val="bottom"/>
          </w:tcPr>
          <w:p>
            <w:pPr>
              <w:spacing w:after="0"/>
              <w:rPr>
                <w:sz w:val="24"/>
                <w:szCs w:val="24"/>
                <w:color w:val="auto"/>
              </w:rPr>
            </w:pPr>
          </w:p>
        </w:tc>
      </w:tr>
      <w:tr>
        <w:trPr>
          <w:trHeight w:val="459"/>
        </w:trPr>
        <w:tc>
          <w:tcPr>
            <w:tcW w:w="10220" w:type="dxa"/>
            <w:vAlign w:val="bottom"/>
            <w:gridSpan w:val="6"/>
          </w:tcPr>
          <w:p>
            <w:pPr>
              <w:ind w:left="20"/>
              <w:spacing w:after="0"/>
              <w:rPr>
                <w:rFonts w:ascii="Arial" w:cs="Arial" w:eastAsia="Arial" w:hAnsi="Arial"/>
                <w:sz w:val="18"/>
                <w:szCs w:val="18"/>
                <w:b w:val="1"/>
                <w:bCs w:val="1"/>
                <w:u w:val="single" w:color="auto"/>
                <w:color w:val="0000FF"/>
              </w:rPr>
            </w:pPr>
            <w:hyperlink w:anchor="page34">
              <w:r>
                <w:rPr>
                  <w:rFonts w:ascii="Arial" w:cs="Arial" w:eastAsia="Arial" w:hAnsi="Arial"/>
                  <w:sz w:val="18"/>
                  <w:szCs w:val="18"/>
                  <w:b w:val="1"/>
                  <w:bCs w:val="1"/>
                  <w:u w:val="single" w:color="auto"/>
                  <w:color w:val="0000FF"/>
                </w:rPr>
                <w:t>ITEM 6. Exhibits</w:t>
              </w:r>
            </w:hyperlink>
          </w:p>
        </w:tc>
        <w:tc>
          <w:tcPr>
            <w:tcW w:w="1000" w:type="dxa"/>
            <w:vAlign w:val="bottom"/>
          </w:tcPr>
          <w:p>
            <w:pPr>
              <w:jc w:val="center"/>
              <w:spacing w:after="0"/>
              <w:rPr>
                <w:rFonts w:ascii="Arial" w:cs="Arial" w:eastAsia="Arial" w:hAnsi="Arial"/>
                <w:sz w:val="18"/>
                <w:szCs w:val="18"/>
                <w:u w:val="single" w:color="auto"/>
                <w:color w:val="0000FF"/>
                <w:w w:val="89"/>
              </w:rPr>
            </w:pPr>
            <w:hyperlink w:anchor="page34">
              <w:r>
                <w:rPr>
                  <w:rFonts w:ascii="Arial" w:cs="Arial" w:eastAsia="Arial" w:hAnsi="Arial"/>
                  <w:sz w:val="18"/>
                  <w:szCs w:val="18"/>
                  <w:u w:val="single" w:color="auto"/>
                  <w:color w:val="0000FF"/>
                  <w:w w:val="89"/>
                </w:rPr>
                <w:t>35</w:t>
              </w:r>
            </w:hyperlink>
          </w:p>
        </w:tc>
        <w:tc>
          <w:tcPr>
            <w:tcW w:w="20" w:type="dxa"/>
            <w:vAlign w:val="bottom"/>
          </w:tcPr>
          <w:p>
            <w:pPr>
              <w:spacing w:after="0"/>
              <w:rPr>
                <w:sz w:val="24"/>
                <w:szCs w:val="24"/>
                <w:color w:val="auto"/>
              </w:rPr>
            </w:pPr>
          </w:p>
        </w:tc>
      </w:tr>
      <w:tr>
        <w:trPr>
          <w:trHeight w:val="459"/>
        </w:trPr>
        <w:tc>
          <w:tcPr>
            <w:tcW w:w="10220" w:type="dxa"/>
            <w:vAlign w:val="bottom"/>
            <w:gridSpan w:val="6"/>
          </w:tcPr>
          <w:p>
            <w:pPr>
              <w:ind w:left="20"/>
              <w:spacing w:after="0"/>
              <w:rPr>
                <w:rFonts w:ascii="Arial" w:cs="Arial" w:eastAsia="Arial" w:hAnsi="Arial"/>
                <w:sz w:val="18"/>
                <w:szCs w:val="18"/>
                <w:b w:val="1"/>
                <w:bCs w:val="1"/>
                <w:u w:val="single" w:color="auto"/>
                <w:color w:val="0000FF"/>
              </w:rPr>
            </w:pPr>
            <w:hyperlink w:anchor="page35">
              <w:r>
                <w:rPr>
                  <w:rFonts w:ascii="Arial" w:cs="Arial" w:eastAsia="Arial" w:hAnsi="Arial"/>
                  <w:sz w:val="18"/>
                  <w:szCs w:val="18"/>
                  <w:b w:val="1"/>
                  <w:bCs w:val="1"/>
                  <w:u w:val="single" w:color="auto"/>
                  <w:color w:val="0000FF"/>
                </w:rPr>
                <w:t>SIGNATURES</w:t>
              </w:r>
            </w:hyperlink>
          </w:p>
        </w:tc>
        <w:tc>
          <w:tcPr>
            <w:tcW w:w="1000" w:type="dxa"/>
            <w:vAlign w:val="bottom"/>
          </w:tcPr>
          <w:p>
            <w:pPr>
              <w:jc w:val="center"/>
              <w:spacing w:after="0"/>
              <w:rPr>
                <w:rFonts w:ascii="Arial" w:cs="Arial" w:eastAsia="Arial" w:hAnsi="Arial"/>
                <w:sz w:val="18"/>
                <w:szCs w:val="18"/>
                <w:u w:val="single" w:color="auto"/>
                <w:color w:val="0000FF"/>
                <w:w w:val="89"/>
              </w:rPr>
            </w:pPr>
            <w:hyperlink w:anchor="page35">
              <w:r>
                <w:rPr>
                  <w:rFonts w:ascii="Arial" w:cs="Arial" w:eastAsia="Arial" w:hAnsi="Arial"/>
                  <w:sz w:val="18"/>
                  <w:szCs w:val="18"/>
                  <w:u w:val="single" w:color="auto"/>
                  <w:color w:val="0000FF"/>
                  <w:w w:val="89"/>
                </w:rPr>
                <w:t>36</w:t>
              </w:r>
            </w:hyperlink>
          </w:p>
        </w:tc>
        <w:tc>
          <w:tcPr>
            <w:tcW w:w="20" w:type="dxa"/>
            <w:vAlign w:val="bottom"/>
          </w:tcPr>
          <w:p>
            <w:pPr>
              <w:spacing w:after="0"/>
              <w:rPr>
                <w:sz w:val="24"/>
                <w:szCs w:val="24"/>
                <w:color w:val="auto"/>
              </w:rPr>
            </w:pPr>
          </w:p>
        </w:tc>
      </w:tr>
      <w:tr>
        <w:trPr>
          <w:trHeight w:val="850"/>
        </w:trPr>
        <w:tc>
          <w:tcPr>
            <w:tcW w:w="10160" w:type="dxa"/>
            <w:vAlign w:val="bottom"/>
            <w:gridSpan w:val="4"/>
          </w:tcPr>
          <w:p>
            <w:pPr>
              <w:ind w:left="558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8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 FINANCIAL STATEMENTS</w:t>
      </w:r>
    </w:p>
    <w:p>
      <w:pPr>
        <w:spacing w:after="0" w:line="252" w:lineRule="exact"/>
        <w:rPr>
          <w:sz w:val="20"/>
          <w:szCs w:val="20"/>
          <w:color w:val="auto"/>
        </w:rPr>
      </w:pPr>
    </w:p>
    <w:p>
      <w:pPr>
        <w:jc w:val="center"/>
        <w:ind w:left="340" w:right="1680"/>
        <w:spacing w:after="0" w:line="266" w:lineRule="auto"/>
        <w:rPr>
          <w:sz w:val="20"/>
          <w:szCs w:val="20"/>
          <w:color w:val="auto"/>
        </w:rPr>
      </w:pPr>
      <w:r>
        <w:rPr>
          <w:rFonts w:ascii="Arial" w:cs="Arial" w:eastAsia="Arial" w:hAnsi="Arial"/>
          <w:sz w:val="18"/>
          <w:szCs w:val="18"/>
          <w:b w:val="1"/>
          <w:bCs w:val="1"/>
          <w:color w:val="auto"/>
        </w:rPr>
        <w:t>HAEMONETICS CORPORATION AND SUBSIDIARIES CONDENSED CONSOLIDATED STATEMENTS OF INCOME AND COMPREHENSIVE INCOME (Unaudited in thousands, except per share data)</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0" w:type="dxa"/>
            <w:vAlign w:val="bottom"/>
            <w:gridSpan w:val="5"/>
          </w:tcPr>
          <w:p>
            <w:pPr>
              <w:ind w:left="60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6"/>
                <w:szCs w:val="16"/>
                <w:color w:val="auto"/>
              </w:rPr>
            </w:pPr>
          </w:p>
        </w:tc>
        <w:tc>
          <w:tcPr>
            <w:tcW w:w="2700" w:type="dxa"/>
            <w:vAlign w:val="bottom"/>
            <w:gridSpan w:val="4"/>
          </w:tcPr>
          <w:p>
            <w:pPr>
              <w:jc w:val="right"/>
              <w:ind w:right="792"/>
              <w:spacing w:after="0"/>
              <w:rPr>
                <w:sz w:val="20"/>
                <w:szCs w:val="20"/>
                <w:color w:val="auto"/>
              </w:rPr>
            </w:pPr>
            <w:r>
              <w:rPr>
                <w:rFonts w:ascii="Arial" w:cs="Arial" w:eastAsia="Arial" w:hAnsi="Arial"/>
                <w:sz w:val="14"/>
                <w:szCs w:val="14"/>
                <w:b w:val="1"/>
                <w:bCs w:val="1"/>
                <w:color w:val="auto"/>
              </w:rPr>
              <w:t>Six Months Ended</w:t>
            </w:r>
          </w:p>
        </w:tc>
      </w:tr>
      <w:tr>
        <w:trPr>
          <w:trHeight w:val="135"/>
        </w:trPr>
        <w:tc>
          <w:tcPr>
            <w:tcW w:w="53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ind w:left="80"/>
              <w:spacing w:after="0" w:line="135" w:lineRule="exact"/>
              <w:rPr>
                <w:sz w:val="20"/>
                <w:szCs w:val="20"/>
                <w:color w:val="auto"/>
              </w:rPr>
            </w:pPr>
            <w:r>
              <w:rPr>
                <w:rFonts w:ascii="Arial" w:cs="Arial" w:eastAsia="Arial" w:hAnsi="Arial"/>
                <w:sz w:val="14"/>
                <w:szCs w:val="14"/>
                <w:b w:val="1"/>
                <w:bCs w:val="1"/>
                <w:color w:val="auto"/>
              </w:rPr>
              <w:t>September 26,</w:t>
            </w:r>
          </w:p>
        </w:tc>
        <w:tc>
          <w:tcPr>
            <w:tcW w:w="1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right"/>
              <w:ind w:right="152"/>
              <w:spacing w:after="0" w:line="135" w:lineRule="exact"/>
              <w:rPr>
                <w:sz w:val="20"/>
                <w:szCs w:val="20"/>
                <w:color w:val="auto"/>
              </w:rPr>
            </w:pPr>
            <w:r>
              <w:rPr>
                <w:rFonts w:ascii="Arial" w:cs="Arial" w:eastAsia="Arial" w:hAnsi="Arial"/>
                <w:sz w:val="14"/>
                <w:szCs w:val="14"/>
                <w:b w:val="1"/>
                <w:bCs w:val="1"/>
                <w:color w:val="auto"/>
                <w:w w:val="98"/>
              </w:rPr>
              <w:t>September 28,</w:t>
            </w: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ind w:left="60"/>
              <w:spacing w:after="0" w:line="135" w:lineRule="exact"/>
              <w:rPr>
                <w:sz w:val="20"/>
                <w:szCs w:val="20"/>
                <w:color w:val="auto"/>
              </w:rPr>
            </w:pPr>
            <w:r>
              <w:rPr>
                <w:rFonts w:ascii="Arial" w:cs="Arial" w:eastAsia="Arial" w:hAnsi="Arial"/>
                <w:sz w:val="14"/>
                <w:szCs w:val="14"/>
                <w:b w:val="1"/>
                <w:bCs w:val="1"/>
                <w:color w:val="auto"/>
              </w:rPr>
              <w:t>September 26,</w:t>
            </w:r>
          </w:p>
        </w:tc>
        <w:tc>
          <w:tcPr>
            <w:tcW w:w="20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right"/>
              <w:ind w:right="172"/>
              <w:spacing w:after="0" w:line="135" w:lineRule="exact"/>
              <w:rPr>
                <w:sz w:val="20"/>
                <w:szCs w:val="20"/>
                <w:color w:val="auto"/>
              </w:rPr>
            </w:pPr>
            <w:r>
              <w:rPr>
                <w:rFonts w:ascii="Arial" w:cs="Arial" w:eastAsia="Arial" w:hAnsi="Arial"/>
                <w:sz w:val="14"/>
                <w:szCs w:val="14"/>
                <w:b w:val="1"/>
                <w:bCs w:val="1"/>
                <w:color w:val="auto"/>
                <w:w w:val="96"/>
              </w:rPr>
              <w:t>September 28,</w:t>
            </w:r>
          </w:p>
        </w:tc>
      </w:tr>
      <w:tr>
        <w:trPr>
          <w:trHeight w:val="188"/>
        </w:trPr>
        <w:tc>
          <w:tcPr>
            <w:tcW w:w="53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r>
      <w:tr>
        <w:trPr>
          <w:trHeight w:val="224"/>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209,486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252,566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405,063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491,017</w:t>
            </w:r>
          </w:p>
        </w:tc>
      </w:tr>
      <w:tr>
        <w:trPr>
          <w:trHeight w:val="230"/>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103,742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125,566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209,289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248,111</w:t>
            </w:r>
          </w:p>
        </w:tc>
      </w:tr>
      <w:tr>
        <w:trPr>
          <w:trHeight w:val="223"/>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105,744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127,000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195,774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242,906</w:t>
            </w:r>
          </w:p>
        </w:tc>
      </w:tr>
      <w:tr>
        <w:trPr>
          <w:trHeight w:val="223"/>
        </w:trPr>
        <w:tc>
          <w:tcPr>
            <w:tcW w:w="538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14,909</w:t>
            </w:r>
          </w:p>
        </w:tc>
      </w:tr>
      <w:tr>
        <w:trPr>
          <w:trHeight w:val="230"/>
        </w:trPr>
        <w:tc>
          <w:tcPr>
            <w:tcW w:w="538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71,697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77,922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141,234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150,922</w:t>
            </w:r>
          </w:p>
        </w:tc>
      </w:tr>
      <w:tr>
        <w:trPr>
          <w:trHeight w:val="229"/>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of assets</w:t>
            </w: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48,721</w:t>
            </w:r>
          </w:p>
        </w:tc>
      </w:tr>
      <w:tr>
        <w:trPr>
          <w:trHeight w:val="229"/>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Gains on divestitures and sale of assets</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(31,498)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(31,498)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(8,083)</w:t>
            </w:r>
          </w:p>
        </w:tc>
      </w:tr>
      <w:tr>
        <w:trPr>
          <w:trHeight w:val="223"/>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77,261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206,469</w:t>
            </w:r>
          </w:p>
        </w:tc>
      </w:tr>
      <w:tr>
        <w:trPr>
          <w:trHeight w:val="229"/>
        </w:trPr>
        <w:tc>
          <w:tcPr>
            <w:tcW w:w="538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58,782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49,739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70,497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36,437</w:t>
            </w:r>
          </w:p>
        </w:tc>
      </w:tr>
      <w:tr>
        <w:trPr>
          <w:trHeight w:val="230"/>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other expense, net</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(9,074)</w:t>
            </w:r>
          </w:p>
        </w:tc>
      </w:tr>
      <w:tr>
        <w:trPr>
          <w:trHeight w:val="223"/>
        </w:trPr>
        <w:tc>
          <w:tcPr>
            <w:tcW w:w="5380" w:type="dxa"/>
            <w:vAlign w:val="bottom"/>
          </w:tcPr>
          <w:p>
            <w:pPr>
              <w:ind w:left="20"/>
              <w:spacing w:after="0"/>
              <w:rPr>
                <w:sz w:val="20"/>
                <w:szCs w:val="20"/>
                <w:color w:val="auto"/>
              </w:rPr>
            </w:pPr>
            <w:r>
              <w:rPr>
                <w:rFonts w:ascii="Arial" w:cs="Arial" w:eastAsia="Arial" w:hAnsi="Arial"/>
                <w:sz w:val="18"/>
                <w:szCs w:val="18"/>
                <w:b w:val="1"/>
                <w:bCs w:val="1"/>
                <w:color w:val="auto"/>
              </w:rPr>
              <w:t>Income before provision for income taxes</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54,956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45,088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62,936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27,363</w:t>
            </w:r>
          </w:p>
        </w:tc>
      </w:tr>
      <w:tr>
        <w:trPr>
          <w:trHeight w:val="230"/>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(benefit) for income taxes</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(1,644)</w:t>
            </w:r>
          </w:p>
        </w:tc>
      </w:tr>
      <w:tr>
        <w:trPr>
          <w:trHeight w:val="223"/>
        </w:trPr>
        <w:tc>
          <w:tcPr>
            <w:tcW w:w="538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48,101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37,486</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58,628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29,007</w:t>
            </w:r>
          </w:p>
        </w:tc>
      </w:tr>
      <w:tr>
        <w:trPr>
          <w:trHeight w:val="20"/>
        </w:trPr>
        <w:tc>
          <w:tcPr>
            <w:tcW w:w="53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7"/>
        </w:trPr>
        <w:tc>
          <w:tcPr>
            <w:tcW w:w="53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30"/>
        </w:trPr>
        <w:tc>
          <w:tcPr>
            <w:tcW w:w="5380" w:type="dxa"/>
            <w:vAlign w:val="bottom"/>
          </w:tcPr>
          <w:p>
            <w:pPr>
              <w:ind w:left="120"/>
              <w:spacing w:after="0"/>
              <w:rPr>
                <w:sz w:val="20"/>
                <w:szCs w:val="20"/>
                <w:color w:val="auto"/>
              </w:rPr>
            </w:pPr>
            <w:r>
              <w:rPr>
                <w:rFonts w:ascii="Arial" w:cs="Arial" w:eastAsia="Arial" w:hAnsi="Arial"/>
                <w:sz w:val="18"/>
                <w:szCs w:val="18"/>
                <w:color w:val="auto"/>
              </w:rPr>
              <w:t>Net income per share - basic</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0.95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0.74</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0.57</w:t>
            </w:r>
          </w:p>
        </w:tc>
      </w:tr>
      <w:tr>
        <w:trPr>
          <w:trHeight w:val="230"/>
        </w:trPr>
        <w:tc>
          <w:tcPr>
            <w:tcW w:w="5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income per share - diluted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0.56</w:t>
            </w:r>
          </w:p>
        </w:tc>
      </w:tr>
      <w:tr>
        <w:trPr>
          <w:trHeight w:val="270"/>
        </w:trPr>
        <w:tc>
          <w:tcPr>
            <w:tcW w:w="53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29"/>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shares outstanding</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5380" w:type="dxa"/>
            <w:vAlign w:val="bottom"/>
          </w:tcPr>
          <w:p>
            <w:pPr>
              <w:ind w:left="120"/>
              <w:spacing w:after="0"/>
              <w:rPr>
                <w:sz w:val="20"/>
                <w:szCs w:val="20"/>
                <w:color w:val="auto"/>
              </w:rPr>
            </w:pPr>
            <w:r>
              <w:rPr>
                <w:rFonts w:ascii="Arial" w:cs="Arial" w:eastAsia="Arial" w:hAnsi="Arial"/>
                <w:sz w:val="18"/>
                <w:szCs w:val="18"/>
                <w:color w:val="auto"/>
              </w:rPr>
              <w:t>Basic</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50,696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50,791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50,557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50,901</w:t>
            </w:r>
          </w:p>
        </w:tc>
      </w:tr>
      <w:tr>
        <w:trPr>
          <w:trHeight w:val="230"/>
        </w:trPr>
        <w:tc>
          <w:tcPr>
            <w:tcW w:w="5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52,046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52,174</w:t>
            </w:r>
          </w:p>
        </w:tc>
      </w:tr>
      <w:tr>
        <w:trPr>
          <w:trHeight w:val="270"/>
        </w:trPr>
        <w:tc>
          <w:tcPr>
            <w:tcW w:w="53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30"/>
        </w:trPr>
        <w:tc>
          <w:tcPr>
            <w:tcW w:w="5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Comprehensive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35,378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65,291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23,281</w:t>
            </w: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 in thousands, except share data)</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gridSpan w:val="2"/>
          </w:tcPr>
          <w:p>
            <w:pPr>
              <w:ind w:left="100"/>
              <w:spacing w:after="0"/>
              <w:rPr>
                <w:sz w:val="20"/>
                <w:szCs w:val="20"/>
                <w:color w:val="auto"/>
              </w:rPr>
            </w:pPr>
            <w:r>
              <w:rPr>
                <w:rFonts w:ascii="Arial" w:cs="Arial" w:eastAsia="Arial" w:hAnsi="Arial"/>
                <w:sz w:val="16"/>
                <w:szCs w:val="16"/>
                <w:b w:val="1"/>
                <w:bCs w:val="1"/>
                <w:color w:val="auto"/>
              </w:rPr>
              <w:t>September 26,</w:t>
            </w:r>
          </w:p>
        </w:tc>
        <w:tc>
          <w:tcPr>
            <w:tcW w:w="280" w:type="dxa"/>
            <w:vAlign w:val="bottom"/>
          </w:tcPr>
          <w:p>
            <w:pPr>
              <w:spacing w:after="0"/>
              <w:rPr>
                <w:sz w:val="16"/>
                <w:szCs w:val="16"/>
                <w:color w:val="auto"/>
              </w:rPr>
            </w:pPr>
          </w:p>
        </w:tc>
        <w:tc>
          <w:tcPr>
            <w:tcW w:w="1320" w:type="dxa"/>
            <w:vAlign w:val="bottom"/>
          </w:tcPr>
          <w:p>
            <w:pPr>
              <w:jc w:val="right"/>
              <w:ind w:right="359"/>
              <w:spacing w:after="0"/>
              <w:rPr>
                <w:sz w:val="20"/>
                <w:szCs w:val="20"/>
                <w:color w:val="auto"/>
              </w:rPr>
            </w:pPr>
            <w:r>
              <w:rPr>
                <w:rFonts w:ascii="Arial" w:cs="Arial" w:eastAsia="Arial" w:hAnsi="Arial"/>
                <w:sz w:val="16"/>
                <w:szCs w:val="16"/>
                <w:b w:val="1"/>
                <w:bCs w:val="1"/>
                <w:color w:val="auto"/>
              </w:rPr>
              <w:t>March 28,</w:t>
            </w:r>
          </w:p>
        </w:tc>
        <w:tc>
          <w:tcPr>
            <w:tcW w:w="0" w:type="dxa"/>
            <w:vAlign w:val="bottom"/>
          </w:tcPr>
          <w:p>
            <w:pPr>
              <w:spacing w:after="0"/>
              <w:rPr>
                <w:sz w:val="1"/>
                <w:szCs w:val="1"/>
                <w:color w:val="auto"/>
              </w:rPr>
            </w:pPr>
          </w:p>
        </w:tc>
      </w:tr>
      <w:tr>
        <w:trPr>
          <w:trHeight w:val="213"/>
        </w:trPr>
        <w:tc>
          <w:tcPr>
            <w:tcW w:w="79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90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Cash and cash equivalents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279,169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137,311</w:t>
            </w:r>
          </w:p>
        </w:tc>
        <w:tc>
          <w:tcPr>
            <w:tcW w:w="0" w:type="dxa"/>
            <w:vAlign w:val="bottom"/>
          </w:tcPr>
          <w:p>
            <w:pPr>
              <w:spacing w:after="0"/>
              <w:rPr>
                <w:sz w:val="1"/>
                <w:szCs w:val="1"/>
                <w:color w:val="auto"/>
              </w:rPr>
            </w:pPr>
          </w:p>
        </w:tc>
      </w:tr>
      <w:tr>
        <w:trPr>
          <w:trHeight w:val="213"/>
        </w:trPr>
        <w:tc>
          <w:tcPr>
            <w:tcW w:w="7900" w:type="dxa"/>
            <w:vAlign w:val="bottom"/>
          </w:tcPr>
          <w:p>
            <w:pPr>
              <w:ind w:left="120"/>
              <w:spacing w:after="0"/>
              <w:rPr>
                <w:sz w:val="20"/>
                <w:szCs w:val="20"/>
                <w:color w:val="auto"/>
              </w:rPr>
            </w:pPr>
            <w:r>
              <w:rPr>
                <w:rFonts w:ascii="Arial" w:cs="Arial" w:eastAsia="Arial" w:hAnsi="Arial"/>
                <w:sz w:val="16"/>
                <w:szCs w:val="16"/>
                <w:color w:val="auto"/>
              </w:rPr>
              <w:t>Accounts receivable, less allowance of $2,699 at September 26, 2020 and $3,824 at March 28, 2020</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141,533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165,207</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Inventories, net</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305,224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270,276</w:t>
            </w:r>
          </w:p>
        </w:tc>
        <w:tc>
          <w:tcPr>
            <w:tcW w:w="0" w:type="dxa"/>
            <w:vAlign w:val="bottom"/>
          </w:tcPr>
          <w:p>
            <w:pPr>
              <w:spacing w:after="0"/>
              <w:rPr>
                <w:sz w:val="1"/>
                <w:szCs w:val="1"/>
                <w:color w:val="auto"/>
              </w:rPr>
            </w:pPr>
          </w:p>
        </w:tc>
      </w:tr>
      <w:tr>
        <w:trPr>
          <w:trHeight w:val="213"/>
        </w:trPr>
        <w:tc>
          <w:tcPr>
            <w:tcW w:w="790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Prepaid expenses and other current assets</w:t>
            </w: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34,353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30,845</w:t>
            </w:r>
          </w:p>
        </w:tc>
        <w:tc>
          <w:tcPr>
            <w:tcW w:w="0" w:type="dxa"/>
            <w:vAlign w:val="bottom"/>
          </w:tcPr>
          <w:p>
            <w:pPr>
              <w:spacing w:after="0"/>
              <w:rPr>
                <w:sz w:val="1"/>
                <w:szCs w:val="1"/>
                <w:color w:val="auto"/>
              </w:rPr>
            </w:pPr>
          </w:p>
        </w:tc>
      </w:tr>
      <w:tr>
        <w:trPr>
          <w:trHeight w:val="213"/>
        </w:trPr>
        <w:tc>
          <w:tcPr>
            <w:tcW w:w="79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current assets</w:t>
            </w:r>
          </w:p>
        </w:tc>
        <w:tc>
          <w:tcPr>
            <w:tcW w:w="2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760,279</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603,639</w:t>
            </w:r>
          </w:p>
        </w:tc>
        <w:tc>
          <w:tcPr>
            <w:tcW w:w="0" w:type="dxa"/>
            <w:vAlign w:val="bottom"/>
          </w:tcPr>
          <w:p>
            <w:pPr>
              <w:spacing w:after="0"/>
              <w:rPr>
                <w:sz w:val="1"/>
                <w:szCs w:val="1"/>
                <w:color w:val="auto"/>
              </w:rPr>
            </w:pPr>
          </w:p>
        </w:tc>
      </w:tr>
      <w:tr>
        <w:trPr>
          <w:trHeight w:val="207"/>
        </w:trPr>
        <w:tc>
          <w:tcPr>
            <w:tcW w:w="7900" w:type="dxa"/>
            <w:vAlign w:val="bottom"/>
          </w:tcPr>
          <w:p>
            <w:pPr>
              <w:ind w:left="120"/>
              <w:spacing w:after="0"/>
              <w:rPr>
                <w:sz w:val="20"/>
                <w:szCs w:val="20"/>
                <w:color w:val="auto"/>
              </w:rPr>
            </w:pPr>
            <w:r>
              <w:rPr>
                <w:rFonts w:ascii="Arial" w:cs="Arial" w:eastAsia="Arial" w:hAnsi="Arial"/>
                <w:sz w:val="16"/>
                <w:szCs w:val="16"/>
                <w:color w:val="auto"/>
              </w:rPr>
              <w:t>Property, plant and equipment, net</w:t>
            </w:r>
          </w:p>
        </w:tc>
        <w:tc>
          <w:tcPr>
            <w:tcW w:w="2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240,405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253,399</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2"/>
              </w:rPr>
              <w:t>Intangible assets, less accumulated amortization of $299,450 at September 26, 2020 and $296,942 at March 28, 2020</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127,210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133,106</w:t>
            </w:r>
          </w:p>
        </w:tc>
        <w:tc>
          <w:tcPr>
            <w:tcW w:w="0" w:type="dxa"/>
            <w:vAlign w:val="bottom"/>
          </w:tcPr>
          <w:p>
            <w:pPr>
              <w:spacing w:after="0"/>
              <w:rPr>
                <w:sz w:val="1"/>
                <w:szCs w:val="1"/>
                <w:color w:val="auto"/>
              </w:rPr>
            </w:pPr>
          </w:p>
        </w:tc>
      </w:tr>
      <w:tr>
        <w:trPr>
          <w:trHeight w:val="213"/>
        </w:trPr>
        <w:tc>
          <w:tcPr>
            <w:tcW w:w="7900" w:type="dxa"/>
            <w:vAlign w:val="bottom"/>
          </w:tcPr>
          <w:p>
            <w:pPr>
              <w:ind w:left="120"/>
              <w:spacing w:after="0"/>
              <w:rPr>
                <w:sz w:val="20"/>
                <w:szCs w:val="20"/>
                <w:color w:val="auto"/>
              </w:rPr>
            </w:pPr>
            <w:r>
              <w:rPr>
                <w:rFonts w:ascii="Arial" w:cs="Arial" w:eastAsia="Arial" w:hAnsi="Arial"/>
                <w:sz w:val="16"/>
                <w:szCs w:val="16"/>
                <w:color w:val="auto"/>
              </w:rPr>
              <w:t>Goodwill</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214,594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210,652</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Deferred tax asset</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3,930</w:t>
            </w:r>
          </w:p>
        </w:tc>
        <w:tc>
          <w:tcPr>
            <w:tcW w:w="0" w:type="dxa"/>
            <w:vAlign w:val="bottom"/>
          </w:tcPr>
          <w:p>
            <w:pPr>
              <w:spacing w:after="0"/>
              <w:rPr>
                <w:sz w:val="1"/>
                <w:szCs w:val="1"/>
                <w:color w:val="auto"/>
              </w:rPr>
            </w:pPr>
          </w:p>
        </w:tc>
      </w:tr>
      <w:tr>
        <w:trPr>
          <w:trHeight w:val="213"/>
        </w:trPr>
        <w:tc>
          <w:tcPr>
            <w:tcW w:w="790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Other long-term assets</w:t>
            </w: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71,380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62,384</w:t>
            </w:r>
          </w:p>
        </w:tc>
        <w:tc>
          <w:tcPr>
            <w:tcW w:w="0" w:type="dxa"/>
            <w:vAlign w:val="bottom"/>
          </w:tcPr>
          <w:p>
            <w:pPr>
              <w:spacing w:after="0"/>
              <w:rPr>
                <w:sz w:val="1"/>
                <w:szCs w:val="1"/>
                <w:color w:val="auto"/>
              </w:rPr>
            </w:pPr>
          </w:p>
        </w:tc>
      </w:tr>
      <w:tr>
        <w:trPr>
          <w:trHeight w:val="238"/>
        </w:trPr>
        <w:tc>
          <w:tcPr>
            <w:tcW w:w="79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b w:val="1"/>
                <w:bCs w:val="1"/>
                <w:color w:val="auto"/>
              </w:rPr>
              <w:t>Total assets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1,418,174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1,267,110</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79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900" w:type="dxa"/>
            <w:vAlign w:val="bottom"/>
          </w:tcPr>
          <w:p>
            <w:pPr>
              <w:ind w:left="120"/>
              <w:spacing w:after="0"/>
              <w:rPr>
                <w:sz w:val="20"/>
                <w:szCs w:val="20"/>
                <w:color w:val="auto"/>
              </w:rPr>
            </w:pPr>
            <w:r>
              <w:rPr>
                <w:rFonts w:ascii="Arial" w:cs="Arial" w:eastAsia="Arial" w:hAnsi="Arial"/>
                <w:sz w:val="16"/>
                <w:szCs w:val="16"/>
                <w:color w:val="auto"/>
              </w:rPr>
              <w:t>Notes payable and current maturities of long-term debt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167,001</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76,980</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Accounts payable</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49,071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50,730</w:t>
            </w:r>
          </w:p>
        </w:tc>
        <w:tc>
          <w:tcPr>
            <w:tcW w:w="0" w:type="dxa"/>
            <w:vAlign w:val="bottom"/>
          </w:tcPr>
          <w:p>
            <w:pPr>
              <w:spacing w:after="0"/>
              <w:rPr>
                <w:sz w:val="1"/>
                <w:szCs w:val="1"/>
                <w:color w:val="auto"/>
              </w:rPr>
            </w:pPr>
          </w:p>
        </w:tc>
      </w:tr>
      <w:tr>
        <w:trPr>
          <w:trHeight w:val="213"/>
        </w:trPr>
        <w:tc>
          <w:tcPr>
            <w:tcW w:w="7900" w:type="dxa"/>
            <w:vAlign w:val="bottom"/>
          </w:tcPr>
          <w:p>
            <w:pPr>
              <w:ind w:left="120"/>
              <w:spacing w:after="0"/>
              <w:rPr>
                <w:sz w:val="20"/>
                <w:szCs w:val="20"/>
                <w:color w:val="auto"/>
              </w:rPr>
            </w:pPr>
            <w:r>
              <w:rPr>
                <w:rFonts w:ascii="Arial" w:cs="Arial" w:eastAsia="Arial" w:hAnsi="Arial"/>
                <w:sz w:val="16"/>
                <w:szCs w:val="16"/>
                <w:color w:val="auto"/>
              </w:rPr>
              <w:t>Accrued payroll and related costs</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29,226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49,471</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93,270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97,641</w:t>
            </w:r>
          </w:p>
        </w:tc>
        <w:tc>
          <w:tcPr>
            <w:tcW w:w="0" w:type="dxa"/>
            <w:vAlign w:val="bottom"/>
          </w:tcPr>
          <w:p>
            <w:pPr>
              <w:spacing w:after="0"/>
              <w:rPr>
                <w:sz w:val="1"/>
                <w:szCs w:val="1"/>
                <w:color w:val="auto"/>
              </w:rPr>
            </w:pPr>
          </w:p>
        </w:tc>
      </w:tr>
      <w:tr>
        <w:trPr>
          <w:trHeight w:val="206"/>
        </w:trPr>
        <w:tc>
          <w:tcPr>
            <w:tcW w:w="79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current liabilities</w:t>
            </w: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338,568</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274,822</w:t>
            </w:r>
          </w:p>
        </w:tc>
        <w:tc>
          <w:tcPr>
            <w:tcW w:w="0" w:type="dxa"/>
            <w:vAlign w:val="bottom"/>
          </w:tcPr>
          <w:p>
            <w:pPr>
              <w:spacing w:after="0"/>
              <w:rPr>
                <w:sz w:val="1"/>
                <w:szCs w:val="1"/>
                <w:color w:val="auto"/>
              </w:rPr>
            </w:pPr>
          </w:p>
        </w:tc>
      </w:tr>
      <w:tr>
        <w:trPr>
          <w:trHeight w:val="213"/>
        </w:trPr>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Long-term debt, net of current maturities</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297,016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305,513</w:t>
            </w:r>
          </w:p>
        </w:tc>
        <w:tc>
          <w:tcPr>
            <w:tcW w:w="0" w:type="dxa"/>
            <w:vAlign w:val="bottom"/>
          </w:tcPr>
          <w:p>
            <w:pPr>
              <w:spacing w:after="0"/>
              <w:rPr>
                <w:sz w:val="1"/>
                <w:szCs w:val="1"/>
                <w:color w:val="auto"/>
              </w:rPr>
            </w:pPr>
          </w:p>
        </w:tc>
      </w:tr>
      <w:tr>
        <w:trPr>
          <w:trHeight w:val="213"/>
        </w:trPr>
        <w:tc>
          <w:tcPr>
            <w:tcW w:w="7900" w:type="dxa"/>
            <w:vAlign w:val="bottom"/>
          </w:tcPr>
          <w:p>
            <w:pPr>
              <w:ind w:left="120"/>
              <w:spacing w:after="0"/>
              <w:rPr>
                <w:sz w:val="20"/>
                <w:szCs w:val="20"/>
                <w:color w:val="auto"/>
              </w:rPr>
            </w:pPr>
            <w:r>
              <w:rPr>
                <w:rFonts w:ascii="Arial" w:cs="Arial" w:eastAsia="Arial" w:hAnsi="Arial"/>
                <w:sz w:val="16"/>
                <w:szCs w:val="16"/>
                <w:color w:val="auto"/>
              </w:rPr>
              <w:t>Deferred tax liability</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10,480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10,562</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long-term liabilities</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104,187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89,104</w:t>
            </w:r>
          </w:p>
        </w:tc>
        <w:tc>
          <w:tcPr>
            <w:tcW w:w="0" w:type="dxa"/>
            <w:vAlign w:val="bottom"/>
          </w:tcPr>
          <w:p>
            <w:pPr>
              <w:spacing w:after="0"/>
              <w:rPr>
                <w:sz w:val="1"/>
                <w:szCs w:val="1"/>
                <w:color w:val="auto"/>
              </w:rPr>
            </w:pPr>
          </w:p>
        </w:tc>
      </w:tr>
      <w:tr>
        <w:trPr>
          <w:trHeight w:val="213"/>
        </w:trPr>
        <w:tc>
          <w:tcPr>
            <w:tcW w:w="7900" w:type="dxa"/>
            <w:vAlign w:val="bottom"/>
          </w:tcPr>
          <w:p>
            <w:pPr>
              <w:ind w:left="20"/>
              <w:spacing w:after="0"/>
              <w:rPr>
                <w:sz w:val="20"/>
                <w:szCs w:val="20"/>
                <w:color w:val="auto"/>
              </w:rPr>
            </w:pPr>
            <w:r>
              <w:rPr>
                <w:rFonts w:ascii="Arial" w:cs="Arial" w:eastAsia="Arial" w:hAnsi="Arial"/>
                <w:sz w:val="16"/>
                <w:szCs w:val="16"/>
                <w:b w:val="1"/>
                <w:bCs w:val="1"/>
                <w:color w:val="auto"/>
              </w:rPr>
              <w:t>Total stockholders’ equity</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7900" w:type="dxa"/>
            <w:vAlign w:val="bottom"/>
            <w:shd w:val="clear" w:color="auto" w:fill="CCEEFF"/>
          </w:tcPr>
          <w:p>
            <w:pPr>
              <w:ind w:left="120"/>
              <w:spacing w:after="0" w:line="168" w:lineRule="exact"/>
              <w:rPr>
                <w:sz w:val="20"/>
                <w:szCs w:val="20"/>
                <w:color w:val="auto"/>
              </w:rPr>
            </w:pPr>
            <w:r>
              <w:rPr>
                <w:rFonts w:ascii="Arial" w:cs="Arial" w:eastAsia="Arial" w:hAnsi="Arial"/>
                <w:sz w:val="16"/>
                <w:szCs w:val="16"/>
                <w:color w:val="auto"/>
                <w:w w:val="93"/>
              </w:rPr>
              <w:t>Common stock, $0.01 par value; Authorized — 150,000,000 shares; Issued and outstanding — 50,703,343 shares at</w:t>
            </w:r>
          </w:p>
        </w:tc>
        <w:tc>
          <w:tcPr>
            <w:tcW w:w="200" w:type="dxa"/>
            <w:vAlign w:val="bottom"/>
            <w:shd w:val="clear" w:color="auto" w:fill="CCEEFF"/>
          </w:tcPr>
          <w:p>
            <w:pPr>
              <w:spacing w:after="0"/>
              <w:rPr>
                <w:sz w:val="14"/>
                <w:szCs w:val="14"/>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507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503</w:t>
            </w: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September 26, 2020 and 50,322,930 shares at March 28, 2020</w:t>
            </w:r>
          </w:p>
        </w:tc>
        <w:tc>
          <w:tcPr>
            <w:tcW w:w="200" w:type="dxa"/>
            <w:vAlign w:val="bottom"/>
            <w:shd w:val="clear" w:color="auto" w:fill="CCEEFF"/>
          </w:tcPr>
          <w:p>
            <w:pPr>
              <w:spacing w:after="0"/>
              <w:rPr>
                <w:sz w:val="18"/>
                <w:szCs w:val="18"/>
                <w:color w:val="auto"/>
              </w:rPr>
            </w:pPr>
          </w:p>
        </w:tc>
        <w:tc>
          <w:tcPr>
            <w:tcW w:w="14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900" w:type="dxa"/>
            <w:vAlign w:val="bottom"/>
          </w:tcPr>
          <w:p>
            <w:pPr>
              <w:ind w:left="120"/>
              <w:spacing w:after="0"/>
              <w:rPr>
                <w:sz w:val="20"/>
                <w:szCs w:val="20"/>
                <w:color w:val="auto"/>
              </w:rPr>
            </w:pPr>
            <w:r>
              <w:rPr>
                <w:rFonts w:ascii="Arial" w:cs="Arial" w:eastAsia="Arial" w:hAnsi="Arial"/>
                <w:sz w:val="16"/>
                <w:szCs w:val="16"/>
                <w:color w:val="auto"/>
              </w:rPr>
              <w:t>Additional paid-in capital</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568,748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553,229</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Retained earnings</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137,140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78,512</w:t>
            </w:r>
          </w:p>
        </w:tc>
        <w:tc>
          <w:tcPr>
            <w:tcW w:w="0" w:type="dxa"/>
            <w:vAlign w:val="bottom"/>
          </w:tcPr>
          <w:p>
            <w:pPr>
              <w:spacing w:after="0"/>
              <w:rPr>
                <w:sz w:val="1"/>
                <w:szCs w:val="1"/>
                <w:color w:val="auto"/>
              </w:rPr>
            </w:pPr>
          </w:p>
        </w:tc>
      </w:tr>
      <w:tr>
        <w:trPr>
          <w:trHeight w:val="213"/>
        </w:trPr>
        <w:tc>
          <w:tcPr>
            <w:tcW w:w="790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Accumulated other comprehensive loss</w:t>
            </w: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(38,472)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(45,135)</w:t>
            </w:r>
          </w:p>
        </w:tc>
        <w:tc>
          <w:tcPr>
            <w:tcW w:w="0" w:type="dxa"/>
            <w:vAlign w:val="bottom"/>
          </w:tcPr>
          <w:p>
            <w:pPr>
              <w:spacing w:after="0"/>
              <w:rPr>
                <w:sz w:val="1"/>
                <w:szCs w:val="1"/>
                <w:color w:val="auto"/>
              </w:rPr>
            </w:pPr>
          </w:p>
        </w:tc>
      </w:tr>
      <w:tr>
        <w:trPr>
          <w:trHeight w:val="210"/>
        </w:trPr>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Total stockholders’ equity</w:t>
            </w:r>
          </w:p>
        </w:tc>
        <w:tc>
          <w:tcPr>
            <w:tcW w:w="2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667,923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587,109</w:t>
            </w:r>
          </w:p>
        </w:tc>
        <w:tc>
          <w:tcPr>
            <w:tcW w:w="0" w:type="dxa"/>
            <w:vAlign w:val="bottom"/>
          </w:tcPr>
          <w:p>
            <w:pPr>
              <w:spacing w:after="0"/>
              <w:rPr>
                <w:sz w:val="1"/>
                <w:szCs w:val="1"/>
                <w:color w:val="auto"/>
              </w:rPr>
            </w:pPr>
          </w:p>
        </w:tc>
      </w:tr>
      <w:tr>
        <w:trPr>
          <w:trHeight w:val="213"/>
        </w:trPr>
        <w:tc>
          <w:tcPr>
            <w:tcW w:w="7900" w:type="dxa"/>
            <w:vAlign w:val="bottom"/>
          </w:tcPr>
          <w:p>
            <w:pPr>
              <w:ind w:left="340"/>
              <w:spacing w:after="0"/>
              <w:rPr>
                <w:sz w:val="20"/>
                <w:szCs w:val="20"/>
                <w:color w:val="auto"/>
              </w:rPr>
            </w:pPr>
            <w:r>
              <w:rPr>
                <w:rFonts w:ascii="Arial" w:cs="Arial" w:eastAsia="Arial" w:hAnsi="Arial"/>
                <w:sz w:val="16"/>
                <w:szCs w:val="16"/>
                <w:b w:val="1"/>
                <w:bCs w:val="1"/>
                <w:color w:val="auto"/>
              </w:rPr>
              <w:t>Total liabilities and stockholders’ equity</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1,418,174</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1,267,110</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4" w:name="page5"/>
    <w:bookmarkEnd w:id="4"/>
    <w:p>
      <w:pPr>
        <w:jc w:val="center"/>
        <w:ind w:left="380" w:right="2300"/>
        <w:spacing w:after="0" w:line="266" w:lineRule="auto"/>
        <w:rPr>
          <w:sz w:val="20"/>
          <w:szCs w:val="20"/>
          <w:color w:val="auto"/>
        </w:rPr>
      </w:pPr>
      <w:r>
        <w:rPr>
          <w:rFonts w:ascii="Arial" w:cs="Arial" w:eastAsia="Arial" w:hAnsi="Arial"/>
          <w:sz w:val="18"/>
          <w:szCs w:val="18"/>
          <w:b w:val="1"/>
          <w:bCs w:val="1"/>
          <w:color w:val="auto"/>
        </w:rPr>
        <w:t>HAEMONETICS CORPORATION AND SUBSIDIARIES CONDENSED CONSOLIDATED STATEMENTS OF STOCKHOLDERS’ EQUITY (Unaudited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760" w:type="dxa"/>
            <w:vAlign w:val="bottom"/>
            <w:gridSpan w:val="8"/>
          </w:tcPr>
          <w:p>
            <w:pPr>
              <w:ind w:left="380"/>
              <w:spacing w:after="0"/>
              <w:rPr>
                <w:sz w:val="20"/>
                <w:szCs w:val="20"/>
                <w:color w:val="auto"/>
              </w:rPr>
            </w:pPr>
            <w:r>
              <w:rPr>
                <w:rFonts w:ascii="Arial" w:cs="Arial" w:eastAsia="Arial" w:hAnsi="Arial"/>
                <w:sz w:val="13"/>
                <w:szCs w:val="13"/>
                <w:b w:val="1"/>
                <w:bCs w:val="1"/>
                <w:color w:val="auto"/>
              </w:rPr>
              <w:t>Common Stock</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3"/>
          </w:tcPr>
          <w:p>
            <w:pPr>
              <w:jc w:val="center"/>
              <w:ind w:right="280"/>
              <w:spacing w:after="0"/>
              <w:rPr>
                <w:sz w:val="20"/>
                <w:szCs w:val="20"/>
                <w:color w:val="auto"/>
              </w:rPr>
            </w:pPr>
            <w:r>
              <w:rPr>
                <w:rFonts w:ascii="Arial" w:cs="Arial" w:eastAsia="Arial" w:hAnsi="Arial"/>
                <w:sz w:val="13"/>
                <w:szCs w:val="13"/>
                <w:b w:val="1"/>
                <w:bCs w:val="1"/>
                <w:color w:val="auto"/>
                <w:w w:val="88"/>
              </w:rPr>
              <w:t>Accumulated</w:t>
            </w: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80" w:type="dxa"/>
            <w:vAlign w:val="bottom"/>
          </w:tcPr>
          <w:p>
            <w:pPr>
              <w:spacing w:after="0"/>
              <w:rPr>
                <w:sz w:val="4"/>
                <w:szCs w:val="4"/>
                <w:color w:val="auto"/>
              </w:rPr>
            </w:pPr>
          </w:p>
        </w:tc>
        <w:tc>
          <w:tcPr>
            <w:tcW w:w="416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gridSpan w:val="3"/>
            <w:vMerge w:val="restart"/>
          </w:tcPr>
          <w:p>
            <w:pPr>
              <w:jc w:val="center"/>
              <w:ind w:right="280"/>
              <w:spacing w:after="0" w:line="95" w:lineRule="exact"/>
              <w:rPr>
                <w:sz w:val="20"/>
                <w:szCs w:val="20"/>
                <w:color w:val="auto"/>
              </w:rPr>
            </w:pPr>
            <w:r>
              <w:rPr>
                <w:rFonts w:ascii="Arial" w:cs="Arial" w:eastAsia="Arial" w:hAnsi="Arial"/>
                <w:sz w:val="10"/>
                <w:szCs w:val="10"/>
                <w:b w:val="1"/>
                <w:bCs w:val="1"/>
                <w:color w:val="auto"/>
              </w:rPr>
              <w:t>Additional</w:t>
            </w: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gridSpan w:val="3"/>
            <w:vMerge w:val="restart"/>
          </w:tcPr>
          <w:p>
            <w:pPr>
              <w:jc w:val="center"/>
              <w:ind w:right="280"/>
              <w:spacing w:after="0" w:line="95" w:lineRule="exact"/>
              <w:rPr>
                <w:sz w:val="20"/>
                <w:szCs w:val="20"/>
                <w:color w:val="auto"/>
              </w:rPr>
            </w:pPr>
            <w:r>
              <w:rPr>
                <w:rFonts w:ascii="Arial" w:cs="Arial" w:eastAsia="Arial" w:hAnsi="Arial"/>
                <w:sz w:val="10"/>
                <w:szCs w:val="10"/>
                <w:b w:val="1"/>
                <w:bCs w:val="1"/>
                <w:color w:val="auto"/>
              </w:rPr>
              <w:t>Other</w:t>
            </w: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940" w:type="dxa"/>
            <w:vAlign w:val="bottom"/>
            <w:gridSpan w:val="2"/>
            <w:vMerge w:val="restart"/>
          </w:tcPr>
          <w:p>
            <w:pPr>
              <w:jc w:val="right"/>
              <w:ind w:right="500"/>
              <w:spacing w:after="0" w:line="95"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21"/>
        </w:trPr>
        <w:tc>
          <w:tcPr>
            <w:tcW w:w="8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3"/>
            <w:vMerge w:val="restart"/>
          </w:tcPr>
          <w:p>
            <w:pPr>
              <w:ind w:left="100"/>
              <w:spacing w:after="0"/>
              <w:rPr>
                <w:sz w:val="20"/>
                <w:szCs w:val="20"/>
                <w:color w:val="auto"/>
              </w:rPr>
            </w:pPr>
            <w:r>
              <w:rPr>
                <w:rFonts w:ascii="Arial" w:cs="Arial" w:eastAsia="Arial" w:hAnsi="Arial"/>
                <w:sz w:val="13"/>
                <w:szCs w:val="13"/>
                <w:b w:val="1"/>
                <w:bCs w:val="1"/>
                <w:color w:val="auto"/>
              </w:rPr>
              <w:t>Shares</w:t>
            </w: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Par Value</w:t>
            </w: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3"/>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gridSpan w:val="4"/>
            <w:vMerge w:val="restart"/>
          </w:tcPr>
          <w:p>
            <w:pPr>
              <w:ind w:left="60"/>
              <w:spacing w:after="0"/>
              <w:rPr>
                <w:sz w:val="20"/>
                <w:szCs w:val="20"/>
                <w:color w:val="auto"/>
              </w:rPr>
            </w:pPr>
            <w:r>
              <w:rPr>
                <w:rFonts w:ascii="Arial" w:cs="Arial" w:eastAsia="Arial" w:hAnsi="Arial"/>
                <w:sz w:val="13"/>
                <w:szCs w:val="13"/>
                <w:b w:val="1"/>
                <w:bCs w:val="1"/>
                <w:color w:val="auto"/>
              </w:rPr>
              <w:t>Retained Earnings</w:t>
            </w: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gridSpan w:val="3"/>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3"/>
          </w:tcPr>
          <w:p>
            <w:pPr>
              <w:jc w:val="center"/>
              <w:ind w:right="280"/>
              <w:spacing w:after="0"/>
              <w:rPr>
                <w:sz w:val="20"/>
                <w:szCs w:val="20"/>
                <w:color w:val="auto"/>
              </w:rPr>
            </w:pPr>
            <w:r>
              <w:rPr>
                <w:rFonts w:ascii="Arial" w:cs="Arial" w:eastAsia="Arial" w:hAnsi="Arial"/>
                <w:sz w:val="13"/>
                <w:szCs w:val="13"/>
                <w:b w:val="1"/>
                <w:bCs w:val="1"/>
                <w:color w:val="auto"/>
                <w:w w:val="90"/>
              </w:rPr>
              <w:t>Paid-in Capital</w:t>
            </w:r>
          </w:p>
        </w:tc>
        <w:tc>
          <w:tcPr>
            <w:tcW w:w="4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gridSpan w:val="4"/>
          </w:tcPr>
          <w:p>
            <w:pPr>
              <w:spacing w:after="0"/>
              <w:rPr>
                <w:sz w:val="20"/>
                <w:szCs w:val="20"/>
                <w:color w:val="auto"/>
              </w:rPr>
            </w:pPr>
            <w:r>
              <w:rPr>
                <w:rFonts w:ascii="Arial" w:cs="Arial" w:eastAsia="Arial" w:hAnsi="Arial"/>
                <w:sz w:val="13"/>
                <w:szCs w:val="13"/>
                <w:b w:val="1"/>
                <w:bCs w:val="1"/>
                <w:color w:val="auto"/>
                <w:w w:val="94"/>
              </w:rPr>
              <w:t>Comprehensive Loss</w:t>
            </w:r>
          </w:p>
        </w:tc>
        <w:tc>
          <w:tcPr>
            <w:tcW w:w="1240" w:type="dxa"/>
            <w:vAlign w:val="bottom"/>
            <w:gridSpan w:val="4"/>
          </w:tcPr>
          <w:p>
            <w:pPr>
              <w:ind w:left="40"/>
              <w:spacing w:after="0"/>
              <w:rPr>
                <w:sz w:val="20"/>
                <w:szCs w:val="20"/>
                <w:color w:val="auto"/>
              </w:rPr>
            </w:pPr>
            <w:r>
              <w:rPr>
                <w:rFonts w:ascii="Arial" w:cs="Arial" w:eastAsia="Arial" w:hAnsi="Arial"/>
                <w:sz w:val="13"/>
                <w:szCs w:val="13"/>
                <w:b w:val="1"/>
                <w:bCs w:val="1"/>
                <w:color w:val="auto"/>
                <w:w w:val="91"/>
              </w:rPr>
              <w:t>Stockholders’ Equity</w:t>
            </w:r>
          </w:p>
        </w:tc>
        <w:tc>
          <w:tcPr>
            <w:tcW w:w="0" w:type="dxa"/>
            <w:vAlign w:val="bottom"/>
          </w:tcPr>
          <w:p>
            <w:pPr>
              <w:spacing w:after="0"/>
              <w:rPr>
                <w:sz w:val="1"/>
                <w:szCs w:val="1"/>
                <w:color w:val="auto"/>
              </w:rPr>
            </w:pPr>
          </w:p>
        </w:tc>
      </w:tr>
      <w:tr>
        <w:trPr>
          <w:trHeight w:val="213"/>
        </w:trPr>
        <w:tc>
          <w:tcPr>
            <w:tcW w:w="42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 March 28, 2020</w:t>
            </w:r>
          </w:p>
        </w:tc>
        <w:tc>
          <w:tcPr>
            <w:tcW w:w="6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50,323</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503</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553,229</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78,512</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jc w:val="right"/>
              <w:ind w:right="32"/>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(45,135)</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587,109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 w:type="dxa"/>
            <w:vAlign w:val="bottom"/>
            <w:tcBorders>
              <w:top w:val="single" w:sz="8" w:color="CCEEFF"/>
            </w:tcBorders>
          </w:tcPr>
          <w:p>
            <w:pPr>
              <w:spacing w:after="0" w:line="20" w:lineRule="exact"/>
              <w:rPr>
                <w:sz w:val="1"/>
                <w:szCs w:val="1"/>
                <w:color w:val="auto"/>
              </w:rPr>
            </w:pPr>
          </w:p>
        </w:tc>
        <w:tc>
          <w:tcPr>
            <w:tcW w:w="4160" w:type="dxa"/>
            <w:vAlign w:val="bottom"/>
            <w:tcBorders>
              <w:top w:val="single" w:sz="8" w:color="CCEEFF"/>
            </w:tcBorders>
            <w:vMerge w:val="restart"/>
          </w:tcPr>
          <w:p>
            <w:pPr>
              <w:ind w:left="40"/>
              <w:spacing w:after="0"/>
              <w:rPr>
                <w:sz w:val="20"/>
                <w:szCs w:val="20"/>
                <w:color w:val="auto"/>
              </w:rPr>
            </w:pPr>
            <w:r>
              <w:rPr>
                <w:rFonts w:ascii="Arial" w:cs="Arial" w:eastAsia="Arial" w:hAnsi="Arial"/>
                <w:sz w:val="14"/>
                <w:szCs w:val="14"/>
                <w:color w:val="auto"/>
              </w:rPr>
              <w:t>Employee stock purchase plan</w:t>
            </w:r>
          </w:p>
        </w:tc>
        <w:tc>
          <w:tcPr>
            <w:tcW w:w="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0" w:type="dxa"/>
            <w:vAlign w:val="bottom"/>
          </w:tcPr>
          <w:p>
            <w:pPr>
              <w:spacing w:after="0"/>
              <w:rPr>
                <w:sz w:val="13"/>
                <w:szCs w:val="13"/>
                <w:color w:val="auto"/>
              </w:rPr>
            </w:pPr>
          </w:p>
        </w:tc>
        <w:tc>
          <w:tcPr>
            <w:tcW w:w="4160" w:type="dxa"/>
            <w:vAlign w:val="bottom"/>
            <w:tcBorders>
              <w:top w:val="single" w:sz="8" w:color="CCEEFF"/>
            </w:tcBorders>
            <w:vMerge w:val="continue"/>
          </w:tcPr>
          <w:p>
            <w:pPr>
              <w:spacing w:after="0"/>
              <w:rPr>
                <w:sz w:val="13"/>
                <w:szCs w:val="13"/>
                <w:color w:val="auto"/>
              </w:rPr>
            </w:pPr>
          </w:p>
        </w:tc>
        <w:tc>
          <w:tcPr>
            <w:tcW w:w="660" w:type="dxa"/>
            <w:vAlign w:val="bottom"/>
            <w:tcBorders>
              <w:top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22</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10"/>
              <w:spacing w:after="0" w:line="159" w:lineRule="exact"/>
              <w:rPr>
                <w:sz w:val="20"/>
                <w:szCs w:val="20"/>
                <w:color w:val="auto"/>
              </w:rPr>
            </w:pPr>
            <w:r>
              <w:rPr>
                <w:rFonts w:ascii="Arial" w:cs="Arial" w:eastAsia="Arial" w:hAnsi="Arial"/>
                <w:sz w:val="14"/>
                <w:szCs w:val="14"/>
                <w:color w:val="auto"/>
              </w:rPr>
              <w:t>2,144</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2,144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80" w:type="dxa"/>
            <w:vAlign w:val="bottom"/>
            <w:shd w:val="clear" w:color="auto" w:fill="CCEEFF"/>
          </w:tcPr>
          <w:p>
            <w:pPr>
              <w:spacing w:after="0"/>
              <w:rPr>
                <w:sz w:val="16"/>
                <w:szCs w:val="16"/>
                <w:color w:val="auto"/>
              </w:rPr>
            </w:pPr>
          </w:p>
        </w:tc>
        <w:tc>
          <w:tcPr>
            <w:tcW w:w="4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Exercise of stock options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1,192</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8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0" w:type="dxa"/>
            <w:vAlign w:val="bottom"/>
          </w:tcPr>
          <w:p>
            <w:pPr>
              <w:spacing w:after="0"/>
              <w:rPr>
                <w:sz w:val="16"/>
                <w:szCs w:val="16"/>
                <w:color w:val="auto"/>
              </w:rPr>
            </w:pPr>
          </w:p>
        </w:tc>
        <w:tc>
          <w:tcPr>
            <w:tcW w:w="4160" w:type="dxa"/>
            <w:vAlign w:val="bottom"/>
          </w:tcPr>
          <w:p>
            <w:pPr>
              <w:ind w:left="40"/>
              <w:spacing w:after="0"/>
              <w:rPr>
                <w:sz w:val="20"/>
                <w:szCs w:val="20"/>
                <w:color w:val="auto"/>
              </w:rPr>
            </w:pPr>
            <w:r>
              <w:rPr>
                <w:rFonts w:ascii="Arial" w:cs="Arial" w:eastAsia="Arial" w:hAnsi="Arial"/>
                <w:sz w:val="14"/>
                <w:szCs w:val="14"/>
                <w:color w:val="auto"/>
              </w:rPr>
              <w:t>Issuance of restricted stock, net of cancellations</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298</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0" w:type="dxa"/>
            <w:vAlign w:val="bottom"/>
            <w:shd w:val="clear" w:color="auto" w:fill="CCEEFF"/>
          </w:tcPr>
          <w:p>
            <w:pPr>
              <w:spacing w:after="0"/>
              <w:rPr>
                <w:sz w:val="16"/>
                <w:szCs w:val="16"/>
                <w:color w:val="auto"/>
              </w:rPr>
            </w:pPr>
          </w:p>
        </w:tc>
        <w:tc>
          <w:tcPr>
            <w:tcW w:w="4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Share-based compensation expense</w:t>
            </w:r>
          </w:p>
        </w:tc>
        <w:tc>
          <w:tcPr>
            <w:tcW w:w="40" w:type="dxa"/>
            <w:vAlign w:val="bottom"/>
            <w:shd w:val="clear" w:color="auto" w:fill="CCEEFF"/>
          </w:tcPr>
          <w:p>
            <w:pPr>
              <w:spacing w:after="0"/>
              <w:rPr>
                <w:sz w:val="16"/>
                <w:szCs w:val="16"/>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6,167</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8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6,167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0" w:type="dxa"/>
            <w:vAlign w:val="bottom"/>
          </w:tcPr>
          <w:p>
            <w:pPr>
              <w:spacing w:after="0"/>
              <w:rPr>
                <w:sz w:val="16"/>
                <w:szCs w:val="16"/>
                <w:color w:val="auto"/>
              </w:rPr>
            </w:pPr>
          </w:p>
        </w:tc>
        <w:tc>
          <w:tcPr>
            <w:tcW w:w="416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40" w:type="dxa"/>
            <w:vAlign w:val="bottom"/>
          </w:tcPr>
          <w:p>
            <w:pPr>
              <w:spacing w:after="0"/>
              <w:rPr>
                <w:sz w:val="16"/>
                <w:szCs w:val="16"/>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10,527</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10,527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0" w:type="dxa"/>
            <w:vAlign w:val="bottom"/>
            <w:shd w:val="clear" w:color="auto" w:fill="CCEEFF"/>
          </w:tcPr>
          <w:p>
            <w:pPr>
              <w:spacing w:after="0"/>
              <w:rPr>
                <w:sz w:val="16"/>
                <w:szCs w:val="16"/>
                <w:color w:val="auto"/>
              </w:rPr>
            </w:pPr>
          </w:p>
        </w:tc>
        <w:tc>
          <w:tcPr>
            <w:tcW w:w="4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w:t>
            </w:r>
          </w:p>
        </w:tc>
        <w:tc>
          <w:tcPr>
            <w:tcW w:w="40" w:type="dxa"/>
            <w:vAlign w:val="bottom"/>
            <w:shd w:val="clear" w:color="auto" w:fill="CCEEFF"/>
          </w:tcPr>
          <w:p>
            <w:pPr>
              <w:spacing w:after="0"/>
              <w:rPr>
                <w:sz w:val="16"/>
                <w:szCs w:val="16"/>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8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1,429</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424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Balance, June 27, 2020</w:t>
            </w:r>
          </w:p>
        </w:tc>
        <w:tc>
          <w:tcPr>
            <w:tcW w:w="66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50,671</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Borders>
              <w:top w:val="single" w:sz="8" w:color="auto"/>
              <w:bottom w:val="single" w:sz="8" w:color="auto"/>
            </w:tcBorders>
            <w:gridSpan w:val="2"/>
          </w:tcPr>
          <w:p>
            <w:pPr>
              <w:jc w:val="right"/>
              <w:ind w:right="8"/>
              <w:spacing w:after="0" w:line="155" w:lineRule="exact"/>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507</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tcPr>
          <w:p>
            <w:pPr>
              <w:jc w:val="right"/>
              <w:ind w:right="10"/>
              <w:spacing w:after="0" w:line="155" w:lineRule="exact"/>
              <w:rPr>
                <w:sz w:val="20"/>
                <w:szCs w:val="20"/>
                <w:color w:val="auto"/>
              </w:rPr>
            </w:pPr>
            <w:r>
              <w:rPr>
                <w:rFonts w:ascii="Arial" w:cs="Arial" w:eastAsia="Arial" w:hAnsi="Arial"/>
                <w:sz w:val="14"/>
                <w:szCs w:val="14"/>
                <w:b w:val="1"/>
                <w:bCs w:val="1"/>
                <w:color w:val="auto"/>
              </w:rPr>
              <w:t>562,729</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10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89,039</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bottom w:val="single" w:sz="8" w:color="auto"/>
            </w:tcBorders>
            <w:gridSpan w:val="2"/>
          </w:tcPr>
          <w:p>
            <w:pPr>
              <w:jc w:val="right"/>
              <w:ind w:right="32"/>
              <w:spacing w:after="0" w:line="155" w:lineRule="exact"/>
              <w:rPr>
                <w:sz w:val="20"/>
                <w:szCs w:val="20"/>
                <w:color w:val="auto"/>
              </w:rPr>
            </w:pPr>
            <w:r>
              <w:rPr>
                <w:rFonts w:ascii="Arial" w:cs="Arial" w:eastAsia="Arial" w:hAnsi="Arial"/>
                <w:sz w:val="14"/>
                <w:szCs w:val="14"/>
                <w:b w:val="1"/>
                <w:bCs w:val="1"/>
                <w:color w:val="auto"/>
                <w:w w:val="76"/>
              </w:rPr>
              <w:t>$</w:t>
            </w: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(43,706)</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Borders>
              <w:top w:val="single" w:sz="8" w:color="auto"/>
              <w:bottom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608,569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 w:type="dxa"/>
            <w:vAlign w:val="bottom"/>
            <w:tcBorders>
              <w:bottom w:val="single" w:sz="8" w:color="CCEEFF"/>
            </w:tcBorders>
          </w:tcPr>
          <w:p>
            <w:pPr>
              <w:spacing w:after="0" w:line="20" w:lineRule="exact"/>
              <w:rPr>
                <w:sz w:val="1"/>
                <w:szCs w:val="1"/>
                <w:color w:val="auto"/>
              </w:rPr>
            </w:pPr>
          </w:p>
        </w:tc>
        <w:tc>
          <w:tcPr>
            <w:tcW w:w="41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 w:type="dxa"/>
            <w:vAlign w:val="bottom"/>
            <w:shd w:val="clear" w:color="auto" w:fill="CCEEFF"/>
          </w:tcPr>
          <w:p>
            <w:pPr>
              <w:spacing w:after="0"/>
              <w:rPr>
                <w:sz w:val="15"/>
                <w:szCs w:val="15"/>
                <w:color w:val="auto"/>
              </w:rPr>
            </w:pPr>
          </w:p>
        </w:tc>
        <w:tc>
          <w:tcPr>
            <w:tcW w:w="4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Exercise of stock options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67</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80" w:type="dxa"/>
            <w:vAlign w:val="bottom"/>
          </w:tcPr>
          <w:p>
            <w:pPr>
              <w:spacing w:after="0"/>
              <w:rPr>
                <w:sz w:val="16"/>
                <w:szCs w:val="16"/>
                <w:color w:val="auto"/>
              </w:rPr>
            </w:pPr>
          </w:p>
        </w:tc>
        <w:tc>
          <w:tcPr>
            <w:tcW w:w="4160" w:type="dxa"/>
            <w:vAlign w:val="bottom"/>
          </w:tcPr>
          <w:p>
            <w:pPr>
              <w:ind w:left="40"/>
              <w:spacing w:after="0"/>
              <w:rPr>
                <w:sz w:val="20"/>
                <w:szCs w:val="20"/>
                <w:color w:val="auto"/>
              </w:rPr>
            </w:pPr>
            <w:r>
              <w:rPr>
                <w:rFonts w:ascii="Arial" w:cs="Arial" w:eastAsia="Arial" w:hAnsi="Arial"/>
                <w:sz w:val="14"/>
                <w:szCs w:val="14"/>
                <w:color w:val="auto"/>
              </w:rPr>
              <w:t>Issuance of restricted stock, net of cancellations</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30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0" w:type="dxa"/>
            <w:vAlign w:val="bottom"/>
            <w:shd w:val="clear" w:color="auto" w:fill="CCEEFF"/>
          </w:tcPr>
          <w:p>
            <w:pPr>
              <w:spacing w:after="0"/>
              <w:rPr>
                <w:sz w:val="16"/>
                <w:szCs w:val="16"/>
                <w:color w:val="auto"/>
              </w:rPr>
            </w:pPr>
          </w:p>
        </w:tc>
        <w:tc>
          <w:tcPr>
            <w:tcW w:w="4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Share-based compensation expense</w:t>
            </w:r>
          </w:p>
        </w:tc>
        <w:tc>
          <w:tcPr>
            <w:tcW w:w="40" w:type="dxa"/>
            <w:vAlign w:val="bottom"/>
            <w:shd w:val="clear" w:color="auto" w:fill="CCEEFF"/>
          </w:tcPr>
          <w:p>
            <w:pPr>
              <w:spacing w:after="0"/>
              <w:rPr>
                <w:sz w:val="16"/>
                <w:szCs w:val="16"/>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5,952</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8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5,952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0" w:type="dxa"/>
            <w:vAlign w:val="bottom"/>
          </w:tcPr>
          <w:p>
            <w:pPr>
              <w:spacing w:after="0"/>
              <w:rPr>
                <w:sz w:val="16"/>
                <w:szCs w:val="16"/>
                <w:color w:val="auto"/>
              </w:rPr>
            </w:pPr>
          </w:p>
        </w:tc>
        <w:tc>
          <w:tcPr>
            <w:tcW w:w="416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40" w:type="dxa"/>
            <w:vAlign w:val="bottom"/>
          </w:tcPr>
          <w:p>
            <w:pPr>
              <w:spacing w:after="0"/>
              <w:rPr>
                <w:sz w:val="16"/>
                <w:szCs w:val="16"/>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48,101</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48,101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 w:type="dxa"/>
            <w:vAlign w:val="bottom"/>
            <w:shd w:val="clear" w:color="auto" w:fill="CCEEFF"/>
          </w:tcPr>
          <w:p>
            <w:pPr>
              <w:spacing w:after="0"/>
              <w:rPr>
                <w:sz w:val="16"/>
                <w:szCs w:val="16"/>
                <w:color w:val="auto"/>
              </w:rPr>
            </w:pPr>
          </w:p>
        </w:tc>
        <w:tc>
          <w:tcPr>
            <w:tcW w:w="4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w:t>
            </w:r>
          </w:p>
        </w:tc>
        <w:tc>
          <w:tcPr>
            <w:tcW w:w="40" w:type="dxa"/>
            <w:vAlign w:val="bottom"/>
            <w:shd w:val="clear" w:color="auto" w:fill="CCEEFF"/>
          </w:tcPr>
          <w:p>
            <w:pPr>
              <w:spacing w:after="0"/>
              <w:rPr>
                <w:sz w:val="16"/>
                <w:szCs w:val="16"/>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8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5,234</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5,234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24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September 26, 2020</w:t>
            </w: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50,703</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top w:val="single" w:sz="8" w:color="auto"/>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507</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568,748</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137,140</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gridSpan w:val="2"/>
          </w:tcPr>
          <w:p>
            <w:pPr>
              <w:jc w:val="right"/>
              <w:ind w:right="32"/>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(38,472)</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667,923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8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4"/>
        </w:trPr>
        <w:tc>
          <w:tcPr>
            <w:tcW w:w="8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60" w:type="dxa"/>
            <w:vAlign w:val="bottom"/>
            <w:gridSpan w:val="8"/>
          </w:tcPr>
          <w:p>
            <w:pPr>
              <w:ind w:left="440"/>
              <w:spacing w:after="0"/>
              <w:rPr>
                <w:sz w:val="20"/>
                <w:szCs w:val="20"/>
                <w:color w:val="auto"/>
              </w:rPr>
            </w:pPr>
            <w:r>
              <w:rPr>
                <w:rFonts w:ascii="Arial" w:cs="Arial" w:eastAsia="Arial" w:hAnsi="Arial"/>
                <w:sz w:val="13"/>
                <w:szCs w:val="13"/>
                <w:b w:val="1"/>
                <w:bCs w:val="1"/>
                <w:color w:val="auto"/>
              </w:rPr>
              <w:t>Common Stock</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85"/>
              </w:rPr>
              <w:t>Accumulated</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0" w:type="dxa"/>
            <w:vAlign w:val="bottom"/>
          </w:tcPr>
          <w:p>
            <w:pPr>
              <w:spacing w:after="0"/>
              <w:rPr>
                <w:sz w:val="4"/>
                <w:szCs w:val="4"/>
                <w:color w:val="auto"/>
              </w:rPr>
            </w:pPr>
          </w:p>
        </w:tc>
        <w:tc>
          <w:tcPr>
            <w:tcW w:w="4160" w:type="dxa"/>
            <w:vAlign w:val="bottom"/>
          </w:tcPr>
          <w:p>
            <w:pPr>
              <w:spacing w:after="0"/>
              <w:rPr>
                <w:sz w:val="4"/>
                <w:szCs w:val="4"/>
                <w:color w:val="auto"/>
              </w:rPr>
            </w:pPr>
          </w:p>
        </w:tc>
        <w:tc>
          <w:tcPr>
            <w:tcW w:w="4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gridSpan w:val="3"/>
            <w:vMerge w:val="restart"/>
          </w:tcPr>
          <w:p>
            <w:pPr>
              <w:jc w:val="center"/>
              <w:ind w:right="200"/>
              <w:spacing w:after="0" w:line="95" w:lineRule="exact"/>
              <w:rPr>
                <w:sz w:val="20"/>
                <w:szCs w:val="20"/>
                <w:color w:val="auto"/>
              </w:rPr>
            </w:pPr>
            <w:r>
              <w:rPr>
                <w:rFonts w:ascii="Arial" w:cs="Arial" w:eastAsia="Arial" w:hAnsi="Arial"/>
                <w:sz w:val="10"/>
                <w:szCs w:val="10"/>
                <w:b w:val="1"/>
                <w:bCs w:val="1"/>
                <w:color w:val="auto"/>
              </w:rPr>
              <w:t>Additional</w:t>
            </w: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gridSpan w:val="3"/>
            <w:vMerge w:val="restart"/>
          </w:tcPr>
          <w:p>
            <w:pPr>
              <w:jc w:val="center"/>
              <w:ind w:right="240"/>
              <w:spacing w:after="0" w:line="95" w:lineRule="exact"/>
              <w:rPr>
                <w:sz w:val="20"/>
                <w:szCs w:val="20"/>
                <w:color w:val="auto"/>
              </w:rPr>
            </w:pPr>
            <w:r>
              <w:rPr>
                <w:rFonts w:ascii="Arial" w:cs="Arial" w:eastAsia="Arial" w:hAnsi="Arial"/>
                <w:sz w:val="10"/>
                <w:szCs w:val="10"/>
                <w:b w:val="1"/>
                <w:bCs w:val="1"/>
                <w:color w:val="auto"/>
              </w:rPr>
              <w:t>Other</w:t>
            </w: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940" w:type="dxa"/>
            <w:vAlign w:val="bottom"/>
            <w:gridSpan w:val="2"/>
            <w:vMerge w:val="restart"/>
          </w:tcPr>
          <w:p>
            <w:pPr>
              <w:jc w:val="right"/>
              <w:ind w:right="460"/>
              <w:spacing w:after="0" w:line="95"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21"/>
        </w:trPr>
        <w:tc>
          <w:tcPr>
            <w:tcW w:w="8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3"/>
            <w:vMerge w:val="restart"/>
          </w:tcPr>
          <w:p>
            <w:pPr>
              <w:ind w:left="160"/>
              <w:spacing w:after="0"/>
              <w:rPr>
                <w:sz w:val="20"/>
                <w:szCs w:val="20"/>
                <w:color w:val="auto"/>
              </w:rPr>
            </w:pPr>
            <w:r>
              <w:rPr>
                <w:rFonts w:ascii="Arial" w:cs="Arial" w:eastAsia="Arial" w:hAnsi="Arial"/>
                <w:sz w:val="13"/>
                <w:szCs w:val="13"/>
                <w:b w:val="1"/>
                <w:bCs w:val="1"/>
                <w:color w:val="auto"/>
              </w:rPr>
              <w:t>Shares</w:t>
            </w: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3"/>
            <w:vMerge w:val="restart"/>
          </w:tcPr>
          <w:p>
            <w:pPr>
              <w:ind w:left="60"/>
              <w:spacing w:after="0"/>
              <w:rPr>
                <w:sz w:val="20"/>
                <w:szCs w:val="20"/>
                <w:color w:val="auto"/>
              </w:rPr>
            </w:pPr>
            <w:r>
              <w:rPr>
                <w:rFonts w:ascii="Arial" w:cs="Arial" w:eastAsia="Arial" w:hAnsi="Arial"/>
                <w:sz w:val="13"/>
                <w:szCs w:val="13"/>
                <w:b w:val="1"/>
                <w:bCs w:val="1"/>
                <w:color w:val="auto"/>
              </w:rPr>
              <w:t>Par Value</w:t>
            </w: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3"/>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Retained Earnings</w:t>
            </w: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gridSpan w:val="3"/>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90"/>
              </w:rPr>
              <w:t>Paid-in Capital</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gridSpan w:val="4"/>
          </w:tcPr>
          <w:p>
            <w:pPr>
              <w:jc w:val="center"/>
              <w:ind w:right="80"/>
              <w:spacing w:after="0"/>
              <w:rPr>
                <w:sz w:val="20"/>
                <w:szCs w:val="20"/>
                <w:color w:val="auto"/>
              </w:rPr>
            </w:pPr>
            <w:r>
              <w:rPr>
                <w:rFonts w:ascii="Arial" w:cs="Arial" w:eastAsia="Arial" w:hAnsi="Arial"/>
                <w:sz w:val="13"/>
                <w:szCs w:val="13"/>
                <w:b w:val="1"/>
                <w:bCs w:val="1"/>
                <w:color w:val="auto"/>
                <w:w w:val="83"/>
              </w:rPr>
              <w:t>Comprehensive Loss</w:t>
            </w:r>
          </w:p>
        </w:tc>
        <w:tc>
          <w:tcPr>
            <w:tcW w:w="40" w:type="dxa"/>
            <w:vAlign w:val="bottom"/>
          </w:tcPr>
          <w:p>
            <w:pPr>
              <w:spacing w:after="0"/>
              <w:rPr>
                <w:sz w:val="14"/>
                <w:szCs w:val="14"/>
                <w:color w:val="auto"/>
              </w:rPr>
            </w:pPr>
          </w:p>
        </w:tc>
        <w:tc>
          <w:tcPr>
            <w:tcW w:w="1200" w:type="dxa"/>
            <w:vAlign w:val="bottom"/>
            <w:gridSpan w:val="3"/>
          </w:tcPr>
          <w:p>
            <w:pPr>
              <w:ind w:left="40"/>
              <w:spacing w:after="0"/>
              <w:rPr>
                <w:sz w:val="20"/>
                <w:szCs w:val="20"/>
                <w:color w:val="auto"/>
              </w:rPr>
            </w:pPr>
            <w:r>
              <w:rPr>
                <w:rFonts w:ascii="Arial" w:cs="Arial" w:eastAsia="Arial" w:hAnsi="Arial"/>
                <w:sz w:val="13"/>
                <w:szCs w:val="13"/>
                <w:b w:val="1"/>
                <w:bCs w:val="1"/>
                <w:color w:val="auto"/>
                <w:w w:val="88"/>
              </w:rPr>
              <w:t>Stockholders’ Equity</w:t>
            </w: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4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Balance, March 30, 2019</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51,020</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510</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536,320</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161,418</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(30,380)</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667,868</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160" w:type="dxa"/>
            <w:vAlign w:val="bottom"/>
            <w:tcBorders>
              <w:top w:val="single" w:sz="8" w:color="CCEEFF"/>
            </w:tcBorders>
            <w:vMerge w:val="restart"/>
          </w:tcPr>
          <w:p>
            <w:pPr>
              <w:ind w:left="120"/>
              <w:spacing w:after="0"/>
              <w:rPr>
                <w:sz w:val="20"/>
                <w:szCs w:val="20"/>
                <w:color w:val="auto"/>
              </w:rPr>
            </w:pPr>
            <w:r>
              <w:rPr>
                <w:rFonts w:ascii="Arial" w:cs="Arial" w:eastAsia="Arial" w:hAnsi="Arial"/>
                <w:sz w:val="14"/>
                <w:szCs w:val="14"/>
                <w:color w:val="auto"/>
              </w:rPr>
              <w:t>Employee stock purchase plan</w:t>
            </w:r>
          </w:p>
        </w:tc>
        <w:tc>
          <w:tcPr>
            <w:tcW w:w="660" w:type="dxa"/>
            <w:vAlign w:val="bottom"/>
            <w:tcBorders>
              <w:top w:val="single" w:sz="8" w:color="CCEEFF"/>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gridSpan w:val="3"/>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gridSpan w:val="3"/>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gridSpan w:val="3"/>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0" w:type="dxa"/>
            <w:vAlign w:val="bottom"/>
          </w:tcPr>
          <w:p>
            <w:pPr>
              <w:spacing w:after="0"/>
              <w:rPr>
                <w:sz w:val="13"/>
                <w:szCs w:val="13"/>
                <w:color w:val="auto"/>
              </w:rPr>
            </w:pPr>
          </w:p>
        </w:tc>
        <w:tc>
          <w:tcPr>
            <w:tcW w:w="4160" w:type="dxa"/>
            <w:vAlign w:val="bottom"/>
            <w:tcBorders>
              <w:top w:val="single" w:sz="8" w:color="CCEEFF"/>
            </w:tcBorders>
            <w:vMerge w:val="continue"/>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25</w:t>
            </w:r>
          </w:p>
        </w:tc>
        <w:tc>
          <w:tcPr>
            <w:tcW w:w="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1,830</w:t>
            </w:r>
          </w:p>
        </w:tc>
        <w:tc>
          <w:tcPr>
            <w:tcW w:w="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1,830</w:t>
            </w:r>
          </w:p>
        </w:tc>
        <w:tc>
          <w:tcPr>
            <w:tcW w:w="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80" w:type="dxa"/>
            <w:vAlign w:val="bottom"/>
          </w:tcPr>
          <w:p>
            <w:pPr>
              <w:spacing w:after="0"/>
              <w:rPr>
                <w:sz w:val="16"/>
                <w:szCs w:val="16"/>
                <w:color w:val="auto"/>
              </w:rPr>
            </w:pPr>
          </w:p>
        </w:tc>
        <w:tc>
          <w:tcPr>
            <w:tcW w:w="41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Exercise of stock options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3,634</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3,635</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0" w:type="dxa"/>
            <w:vAlign w:val="bottom"/>
          </w:tcPr>
          <w:p>
            <w:pPr>
              <w:spacing w:after="0"/>
              <w:rPr>
                <w:sz w:val="16"/>
                <w:szCs w:val="16"/>
                <w:color w:val="auto"/>
              </w:rPr>
            </w:pPr>
          </w:p>
        </w:tc>
        <w:tc>
          <w:tcPr>
            <w:tcW w:w="4160" w:type="dxa"/>
            <w:vAlign w:val="bottom"/>
          </w:tcPr>
          <w:p>
            <w:pPr>
              <w:ind w:left="120"/>
              <w:spacing w:after="0"/>
              <w:rPr>
                <w:sz w:val="20"/>
                <w:szCs w:val="20"/>
                <w:color w:val="auto"/>
              </w:rPr>
            </w:pPr>
            <w:r>
              <w:rPr>
                <w:rFonts w:ascii="Arial" w:cs="Arial" w:eastAsia="Arial" w:hAnsi="Arial"/>
                <w:sz w:val="14"/>
                <w:szCs w:val="14"/>
                <w:color w:val="auto"/>
              </w:rPr>
              <w:t>Shares repurchased</w:t>
            </w:r>
          </w:p>
        </w:tc>
        <w:tc>
          <w:tcPr>
            <w:tcW w:w="700" w:type="dxa"/>
            <w:vAlign w:val="bottom"/>
            <w:gridSpan w:val="3"/>
          </w:tcPr>
          <w:p>
            <w:pPr>
              <w:jc w:val="right"/>
              <w:ind w:right="20"/>
              <w:spacing w:after="0"/>
              <w:rPr>
                <w:sz w:val="20"/>
                <w:szCs w:val="20"/>
                <w:color w:val="auto"/>
              </w:rPr>
            </w:pPr>
            <w:r>
              <w:rPr>
                <w:rFonts w:ascii="Arial" w:cs="Arial" w:eastAsia="Arial" w:hAnsi="Arial"/>
                <w:sz w:val="14"/>
                <w:szCs w:val="14"/>
                <w:color w:val="auto"/>
              </w:rPr>
              <w:t>(616)</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(6)</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(21,473)</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4"/>
                <w:szCs w:val="14"/>
                <w:color w:val="auto"/>
              </w:rPr>
              <w:t>(53,521)</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(75,000)</w:t>
            </w:r>
          </w:p>
        </w:tc>
        <w:tc>
          <w:tcPr>
            <w:tcW w:w="0" w:type="dxa"/>
            <w:vAlign w:val="bottom"/>
          </w:tcPr>
          <w:p>
            <w:pPr>
              <w:spacing w:after="0"/>
              <w:rPr>
                <w:sz w:val="1"/>
                <w:szCs w:val="1"/>
                <w:color w:val="auto"/>
              </w:rPr>
            </w:pPr>
          </w:p>
        </w:tc>
      </w:tr>
      <w:tr>
        <w:trPr>
          <w:trHeight w:val="192"/>
        </w:trPr>
        <w:tc>
          <w:tcPr>
            <w:tcW w:w="80" w:type="dxa"/>
            <w:vAlign w:val="bottom"/>
          </w:tcPr>
          <w:p>
            <w:pPr>
              <w:spacing w:after="0"/>
              <w:rPr>
                <w:sz w:val="16"/>
                <w:szCs w:val="16"/>
                <w:color w:val="auto"/>
              </w:rPr>
            </w:pPr>
          </w:p>
        </w:tc>
        <w:tc>
          <w:tcPr>
            <w:tcW w:w="41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Issuance of restricted stock, net of cancellations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257</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80" w:type="dxa"/>
            <w:vAlign w:val="bottom"/>
          </w:tcPr>
          <w:p>
            <w:pPr>
              <w:spacing w:after="0"/>
              <w:rPr>
                <w:sz w:val="16"/>
                <w:szCs w:val="16"/>
                <w:color w:val="auto"/>
              </w:rPr>
            </w:pPr>
          </w:p>
        </w:tc>
        <w:tc>
          <w:tcPr>
            <w:tcW w:w="4160" w:type="dxa"/>
            <w:vAlign w:val="bottom"/>
          </w:tcPr>
          <w:p>
            <w:pPr>
              <w:ind w:left="120"/>
              <w:spacing w:after="0"/>
              <w:rPr>
                <w:sz w:val="20"/>
                <w:szCs w:val="20"/>
                <w:color w:val="auto"/>
              </w:rPr>
            </w:pPr>
            <w:r>
              <w:rPr>
                <w:rFonts w:ascii="Arial" w:cs="Arial" w:eastAsia="Arial" w:hAnsi="Arial"/>
                <w:sz w:val="14"/>
                <w:szCs w:val="14"/>
                <w:color w:val="auto"/>
              </w:rPr>
              <w:t>Share-based compensation expense</w:t>
            </w:r>
          </w:p>
        </w:tc>
        <w:tc>
          <w:tcPr>
            <w:tcW w:w="40" w:type="dxa"/>
            <w:vAlign w:val="bottom"/>
          </w:tcPr>
          <w:p>
            <w:pPr>
              <w:spacing w:after="0"/>
              <w:rPr>
                <w:sz w:val="16"/>
                <w:szCs w:val="16"/>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4,730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4,730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0" w:type="dxa"/>
            <w:vAlign w:val="bottom"/>
          </w:tcPr>
          <w:p>
            <w:pPr>
              <w:spacing w:after="0"/>
              <w:rPr>
                <w:sz w:val="16"/>
                <w:szCs w:val="16"/>
                <w:color w:val="auto"/>
              </w:rPr>
            </w:pPr>
          </w:p>
        </w:tc>
        <w:tc>
          <w:tcPr>
            <w:tcW w:w="41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loss</w:t>
            </w:r>
          </w:p>
        </w:tc>
        <w:tc>
          <w:tcPr>
            <w:tcW w:w="40" w:type="dxa"/>
            <w:vAlign w:val="bottom"/>
            <w:shd w:val="clear" w:color="auto" w:fill="CCEEFF"/>
          </w:tcPr>
          <w:p>
            <w:pPr>
              <w:spacing w:after="0"/>
              <w:rPr>
                <w:sz w:val="16"/>
                <w:szCs w:val="16"/>
                <w:color w:val="auto"/>
              </w:rPr>
            </w:pP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(8,479)</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(8,479)</w:t>
            </w:r>
          </w:p>
        </w:tc>
        <w:tc>
          <w:tcPr>
            <w:tcW w:w="0" w:type="dxa"/>
            <w:vAlign w:val="bottom"/>
          </w:tcPr>
          <w:p>
            <w:pPr>
              <w:spacing w:after="0"/>
              <w:rPr>
                <w:sz w:val="1"/>
                <w:szCs w:val="1"/>
                <w:color w:val="auto"/>
              </w:rPr>
            </w:pPr>
          </w:p>
        </w:tc>
      </w:tr>
      <w:tr>
        <w:trPr>
          <w:trHeight w:val="186"/>
        </w:trPr>
        <w:tc>
          <w:tcPr>
            <w:tcW w:w="80" w:type="dxa"/>
            <w:vAlign w:val="bottom"/>
          </w:tcPr>
          <w:p>
            <w:pPr>
              <w:spacing w:after="0"/>
              <w:rPr>
                <w:sz w:val="16"/>
                <w:szCs w:val="16"/>
                <w:color w:val="auto"/>
              </w:rPr>
            </w:pPr>
          </w:p>
        </w:tc>
        <w:tc>
          <w:tcPr>
            <w:tcW w:w="4160" w:type="dxa"/>
            <w:vAlign w:val="bottom"/>
          </w:tcPr>
          <w:p>
            <w:pPr>
              <w:ind w:left="120"/>
              <w:spacing w:after="0"/>
              <w:rPr>
                <w:sz w:val="20"/>
                <w:szCs w:val="20"/>
                <w:color w:val="auto"/>
              </w:rPr>
            </w:pPr>
            <w:r>
              <w:rPr>
                <w:rFonts w:ascii="Arial" w:cs="Arial" w:eastAsia="Arial" w:hAnsi="Arial"/>
                <w:sz w:val="14"/>
                <w:szCs w:val="14"/>
                <w:color w:val="auto"/>
              </w:rPr>
              <w:t>Other comprehensive loss</w:t>
            </w:r>
          </w:p>
        </w:tc>
        <w:tc>
          <w:tcPr>
            <w:tcW w:w="40" w:type="dxa"/>
            <w:vAlign w:val="bottom"/>
          </w:tcPr>
          <w:p>
            <w:pPr>
              <w:spacing w:after="0"/>
              <w:rPr>
                <w:sz w:val="16"/>
                <w:szCs w:val="16"/>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4"/>
                <w:szCs w:val="14"/>
                <w:color w:val="auto"/>
              </w:rPr>
              <w:t>(3,618)</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(3,618)</w:t>
            </w:r>
          </w:p>
        </w:tc>
        <w:tc>
          <w:tcPr>
            <w:tcW w:w="0" w:type="dxa"/>
            <w:vAlign w:val="bottom"/>
          </w:tcPr>
          <w:p>
            <w:pPr>
              <w:spacing w:after="0"/>
              <w:rPr>
                <w:sz w:val="1"/>
                <w:szCs w:val="1"/>
                <w:color w:val="auto"/>
              </w:rPr>
            </w:pPr>
          </w:p>
        </w:tc>
      </w:tr>
      <w:tr>
        <w:trPr>
          <w:trHeight w:val="184"/>
        </w:trPr>
        <w:tc>
          <w:tcPr>
            <w:tcW w:w="80" w:type="dxa"/>
            <w:vAlign w:val="bottom"/>
          </w:tcPr>
          <w:p>
            <w:pPr>
              <w:spacing w:after="0"/>
              <w:rPr>
                <w:sz w:val="15"/>
                <w:szCs w:val="15"/>
                <w:color w:val="auto"/>
              </w:rPr>
            </w:pPr>
          </w:p>
        </w:tc>
        <w:tc>
          <w:tcPr>
            <w:tcW w:w="4160" w:type="dxa"/>
            <w:vAlign w:val="bottom"/>
            <w:tcBorders>
              <w:top w:val="single" w:sz="8" w:color="CCEEFF"/>
              <w:bottom w:val="single" w:sz="8" w:color="CCEEFF"/>
            </w:tcBorders>
            <w:shd w:val="clear" w:color="auto" w:fill="CCEEFF"/>
          </w:tcPr>
          <w:p>
            <w:pPr>
              <w:spacing w:after="0" w:line="159" w:lineRule="exact"/>
              <w:rPr>
                <w:sz w:val="20"/>
                <w:szCs w:val="20"/>
                <w:color w:val="auto"/>
              </w:rPr>
            </w:pPr>
            <w:r>
              <w:rPr>
                <w:rFonts w:ascii="Arial" w:cs="Arial" w:eastAsia="Arial" w:hAnsi="Arial"/>
                <w:sz w:val="14"/>
                <w:szCs w:val="14"/>
                <w:b w:val="1"/>
                <w:bCs w:val="1"/>
                <w:color w:val="auto"/>
              </w:rPr>
              <w:t>Balance, June 29, 2019</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62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b w:val="1"/>
                <w:bCs w:val="1"/>
                <w:color w:val="auto"/>
              </w:rPr>
              <w:t>50,771</w:t>
            </w:r>
          </w:p>
        </w:tc>
        <w:tc>
          <w:tcPr>
            <w:tcW w:w="40" w:type="dxa"/>
            <w:vAlign w:val="bottom"/>
            <w:tcBorders>
              <w:top w:val="single" w:sz="8" w:color="auto"/>
              <w:bottom w:val="single" w:sz="8" w:color="auto"/>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b w:val="1"/>
                <w:bCs w:val="1"/>
                <w:color w:val="auto"/>
              </w:rPr>
              <w:t>508</w:t>
            </w:r>
          </w:p>
        </w:tc>
        <w:tc>
          <w:tcPr>
            <w:tcW w:w="40" w:type="dxa"/>
            <w:vAlign w:val="bottom"/>
            <w:tcBorders>
              <w:top w:val="single" w:sz="8" w:color="auto"/>
              <w:bottom w:val="single" w:sz="8" w:color="auto"/>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b w:val="1"/>
                <w:bCs w:val="1"/>
                <w:color w:val="auto"/>
                <w:w w:val="76"/>
              </w:rPr>
              <w:t>$</w:t>
            </w:r>
          </w:p>
        </w:tc>
        <w:tc>
          <w:tcPr>
            <w:tcW w:w="104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b w:val="1"/>
                <w:bCs w:val="1"/>
                <w:color w:val="auto"/>
              </w:rPr>
              <w:t>525,038</w:t>
            </w:r>
          </w:p>
        </w:tc>
        <w:tc>
          <w:tcPr>
            <w:tcW w:w="40" w:type="dxa"/>
            <w:vAlign w:val="bottom"/>
            <w:tcBorders>
              <w:top w:val="single" w:sz="8" w:color="auto"/>
              <w:bottom w:val="single" w:sz="8" w:color="auto"/>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b w:val="1"/>
                <w:bCs w:val="1"/>
                <w:color w:val="auto"/>
                <w:w w:val="76"/>
              </w:rPr>
              <w:t>$</w:t>
            </w:r>
          </w:p>
        </w:tc>
        <w:tc>
          <w:tcPr>
            <w:tcW w:w="106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b w:val="1"/>
                <w:bCs w:val="1"/>
                <w:color w:val="auto"/>
              </w:rPr>
              <w:t>99,418</w:t>
            </w:r>
          </w:p>
        </w:tc>
        <w:tc>
          <w:tcPr>
            <w:tcW w:w="40" w:type="dxa"/>
            <w:vAlign w:val="bottom"/>
            <w:tcBorders>
              <w:top w:val="single" w:sz="8" w:color="auto"/>
              <w:bottom w:val="single" w:sz="8" w:color="auto"/>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line="159" w:lineRule="exact"/>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b w:val="1"/>
                <w:bCs w:val="1"/>
                <w:color w:val="auto"/>
              </w:rPr>
              <w:t>(33,998)</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b w:val="1"/>
                <w:bCs w:val="1"/>
                <w:color w:val="auto"/>
              </w:rPr>
              <w:t>590,966</w:t>
            </w:r>
          </w:p>
        </w:tc>
        <w:tc>
          <w:tcPr>
            <w:tcW w:w="40" w:type="dxa"/>
            <w:vAlign w:val="bottom"/>
            <w:tcBorders>
              <w:top w:val="single" w:sz="8" w:color="auto"/>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160" w:type="dxa"/>
            <w:vAlign w:val="bottom"/>
            <w:tcBorders>
              <w:top w:val="single" w:sz="8" w:color="CCEEFF"/>
            </w:tcBorders>
            <w:vMerge w:val="restart"/>
          </w:tcPr>
          <w:p>
            <w:pPr>
              <w:ind w:left="120"/>
              <w:spacing w:after="0"/>
              <w:rPr>
                <w:sz w:val="20"/>
                <w:szCs w:val="20"/>
                <w:color w:val="auto"/>
              </w:rPr>
            </w:pPr>
            <w:r>
              <w:rPr>
                <w:rFonts w:ascii="Arial" w:cs="Arial" w:eastAsia="Arial" w:hAnsi="Arial"/>
                <w:sz w:val="14"/>
                <w:szCs w:val="14"/>
                <w:color w:val="auto"/>
              </w:rPr>
              <w:t>Exercise of stock options</w:t>
            </w:r>
          </w:p>
        </w:tc>
        <w:tc>
          <w:tcPr>
            <w:tcW w:w="660" w:type="dxa"/>
            <w:vAlign w:val="bottom"/>
            <w:tcBorders>
              <w:top w:val="single" w:sz="8" w:color="CCEEFF"/>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gridSpan w:val="3"/>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gridSpan w:val="3"/>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0" w:type="dxa"/>
            <w:vAlign w:val="bottom"/>
          </w:tcPr>
          <w:p>
            <w:pPr>
              <w:spacing w:after="0"/>
              <w:rPr>
                <w:sz w:val="13"/>
                <w:szCs w:val="13"/>
                <w:color w:val="auto"/>
              </w:rPr>
            </w:pPr>
          </w:p>
        </w:tc>
        <w:tc>
          <w:tcPr>
            <w:tcW w:w="4160" w:type="dxa"/>
            <w:vAlign w:val="bottom"/>
            <w:tcBorders>
              <w:top w:val="single" w:sz="8" w:color="CCEEFF"/>
            </w:tcBorders>
            <w:vMerge w:val="continue"/>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64</w:t>
            </w:r>
          </w:p>
        </w:tc>
        <w:tc>
          <w:tcPr>
            <w:tcW w:w="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1</w:t>
            </w:r>
          </w:p>
        </w:tc>
        <w:tc>
          <w:tcPr>
            <w:tcW w:w="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2,409</w:t>
            </w:r>
          </w:p>
        </w:tc>
        <w:tc>
          <w:tcPr>
            <w:tcW w:w="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2,410</w:t>
            </w:r>
          </w:p>
        </w:tc>
        <w:tc>
          <w:tcPr>
            <w:tcW w:w="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80" w:type="dxa"/>
            <w:vAlign w:val="bottom"/>
          </w:tcPr>
          <w:p>
            <w:pPr>
              <w:spacing w:after="0"/>
              <w:rPr>
                <w:sz w:val="16"/>
                <w:szCs w:val="16"/>
                <w:color w:val="auto"/>
              </w:rPr>
            </w:pPr>
          </w:p>
        </w:tc>
        <w:tc>
          <w:tcPr>
            <w:tcW w:w="41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Shares repurchased</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(360)</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1,274</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(51,270)</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(50,000)</w:t>
            </w:r>
          </w:p>
        </w:tc>
        <w:tc>
          <w:tcPr>
            <w:tcW w:w="0" w:type="dxa"/>
            <w:vAlign w:val="bottom"/>
          </w:tcPr>
          <w:p>
            <w:pPr>
              <w:spacing w:after="0"/>
              <w:rPr>
                <w:sz w:val="1"/>
                <w:szCs w:val="1"/>
                <w:color w:val="auto"/>
              </w:rPr>
            </w:pPr>
          </w:p>
        </w:tc>
      </w:tr>
      <w:tr>
        <w:trPr>
          <w:trHeight w:val="186"/>
        </w:trPr>
        <w:tc>
          <w:tcPr>
            <w:tcW w:w="80" w:type="dxa"/>
            <w:vAlign w:val="bottom"/>
          </w:tcPr>
          <w:p>
            <w:pPr>
              <w:spacing w:after="0"/>
              <w:rPr>
                <w:sz w:val="16"/>
                <w:szCs w:val="16"/>
                <w:color w:val="auto"/>
              </w:rPr>
            </w:pPr>
          </w:p>
        </w:tc>
        <w:tc>
          <w:tcPr>
            <w:tcW w:w="4160" w:type="dxa"/>
            <w:vAlign w:val="bottom"/>
          </w:tcPr>
          <w:p>
            <w:pPr>
              <w:ind w:left="120"/>
              <w:spacing w:after="0"/>
              <w:rPr>
                <w:sz w:val="20"/>
                <w:szCs w:val="20"/>
                <w:color w:val="auto"/>
              </w:rPr>
            </w:pPr>
            <w:r>
              <w:rPr>
                <w:rFonts w:ascii="Arial" w:cs="Arial" w:eastAsia="Arial" w:hAnsi="Arial"/>
                <w:sz w:val="14"/>
                <w:szCs w:val="14"/>
                <w:color w:val="auto"/>
              </w:rPr>
              <w:t>Issuance of restricted stock, net of cancellations</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133</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(1)</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80" w:type="dxa"/>
            <w:vAlign w:val="bottom"/>
          </w:tcPr>
          <w:p>
            <w:pPr>
              <w:spacing w:after="0"/>
              <w:rPr>
                <w:sz w:val="16"/>
                <w:szCs w:val="16"/>
                <w:color w:val="auto"/>
              </w:rPr>
            </w:pPr>
          </w:p>
        </w:tc>
        <w:tc>
          <w:tcPr>
            <w:tcW w:w="41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Share-based compensation expense</w:t>
            </w:r>
          </w:p>
        </w:tc>
        <w:tc>
          <w:tcPr>
            <w:tcW w:w="40" w:type="dxa"/>
            <w:vAlign w:val="bottom"/>
            <w:shd w:val="clear" w:color="auto" w:fill="CCEEFF"/>
          </w:tcPr>
          <w:p>
            <w:pPr>
              <w:spacing w:after="0"/>
              <w:rPr>
                <w:sz w:val="16"/>
                <w:szCs w:val="16"/>
                <w:color w:val="auto"/>
              </w:rPr>
            </w:pP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0" w:type="dxa"/>
            <w:vAlign w:val="bottom"/>
          </w:tcPr>
          <w:p>
            <w:pPr>
              <w:spacing w:after="0"/>
              <w:rPr>
                <w:sz w:val="16"/>
                <w:szCs w:val="16"/>
                <w:color w:val="auto"/>
              </w:rPr>
            </w:pPr>
          </w:p>
        </w:tc>
        <w:tc>
          <w:tcPr>
            <w:tcW w:w="4160" w:type="dxa"/>
            <w:vAlign w:val="bottom"/>
          </w:tcPr>
          <w:p>
            <w:pPr>
              <w:ind w:left="120"/>
              <w:spacing w:after="0"/>
              <w:rPr>
                <w:sz w:val="20"/>
                <w:szCs w:val="20"/>
                <w:color w:val="auto"/>
              </w:rPr>
            </w:pPr>
            <w:r>
              <w:rPr>
                <w:rFonts w:ascii="Arial" w:cs="Arial" w:eastAsia="Arial" w:hAnsi="Arial"/>
                <w:sz w:val="14"/>
                <w:szCs w:val="14"/>
                <w:color w:val="auto"/>
              </w:rPr>
              <w:t>Net income</w:t>
            </w:r>
          </w:p>
        </w:tc>
        <w:tc>
          <w:tcPr>
            <w:tcW w:w="40" w:type="dxa"/>
            <w:vAlign w:val="bottom"/>
          </w:tcPr>
          <w:p>
            <w:pPr>
              <w:spacing w:after="0"/>
              <w:rPr>
                <w:sz w:val="16"/>
                <w:szCs w:val="16"/>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37,486</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37,486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0" w:type="dxa"/>
            <w:vAlign w:val="bottom"/>
          </w:tcPr>
          <w:p>
            <w:pPr>
              <w:spacing w:after="0"/>
              <w:rPr>
                <w:sz w:val="16"/>
                <w:szCs w:val="16"/>
                <w:color w:val="auto"/>
              </w:rPr>
            </w:pPr>
          </w:p>
        </w:tc>
        <w:tc>
          <w:tcPr>
            <w:tcW w:w="41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comprehensive loss</w:t>
            </w:r>
          </w:p>
        </w:tc>
        <w:tc>
          <w:tcPr>
            <w:tcW w:w="40" w:type="dxa"/>
            <w:vAlign w:val="bottom"/>
            <w:shd w:val="clear" w:color="auto" w:fill="CCEEFF"/>
          </w:tcPr>
          <w:p>
            <w:pPr>
              <w:spacing w:after="0"/>
              <w:rPr>
                <w:sz w:val="16"/>
                <w:szCs w:val="16"/>
                <w:color w:val="auto"/>
              </w:rPr>
            </w:pP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(2,108)</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(2,108)</w:t>
            </w:r>
          </w:p>
        </w:tc>
        <w:tc>
          <w:tcPr>
            <w:tcW w:w="0" w:type="dxa"/>
            <w:vAlign w:val="bottom"/>
          </w:tcPr>
          <w:p>
            <w:pPr>
              <w:spacing w:after="0"/>
              <w:rPr>
                <w:sz w:val="1"/>
                <w:szCs w:val="1"/>
                <w:color w:val="auto"/>
              </w:rPr>
            </w:pPr>
          </w:p>
        </w:tc>
      </w:tr>
      <w:tr>
        <w:trPr>
          <w:trHeight w:val="183"/>
        </w:trPr>
        <w:tc>
          <w:tcPr>
            <w:tcW w:w="80" w:type="dxa"/>
            <w:vAlign w:val="bottom"/>
          </w:tcPr>
          <w:p>
            <w:pPr>
              <w:spacing w:after="0"/>
              <w:rPr>
                <w:sz w:val="15"/>
                <w:szCs w:val="15"/>
                <w:color w:val="auto"/>
              </w:rPr>
            </w:pPr>
          </w:p>
        </w:tc>
        <w:tc>
          <w:tcPr>
            <w:tcW w:w="4160" w:type="dxa"/>
            <w:vAlign w:val="bottom"/>
          </w:tcPr>
          <w:p>
            <w:pPr>
              <w:spacing w:after="0"/>
              <w:rPr>
                <w:sz w:val="20"/>
                <w:szCs w:val="20"/>
                <w:color w:val="auto"/>
              </w:rPr>
            </w:pPr>
            <w:r>
              <w:rPr>
                <w:rFonts w:ascii="Arial" w:cs="Arial" w:eastAsia="Arial" w:hAnsi="Arial"/>
                <w:sz w:val="14"/>
                <w:szCs w:val="14"/>
                <w:b w:val="1"/>
                <w:bCs w:val="1"/>
                <w:color w:val="auto"/>
              </w:rPr>
              <w:t>Balance, September 28, 2019</w:t>
            </w:r>
          </w:p>
        </w:tc>
        <w:tc>
          <w:tcPr>
            <w:tcW w:w="40" w:type="dxa"/>
            <w:vAlign w:val="bottom"/>
          </w:tcPr>
          <w:p>
            <w:pPr>
              <w:spacing w:after="0"/>
              <w:rPr>
                <w:sz w:val="15"/>
                <w:szCs w:val="15"/>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50,608</w:t>
            </w:r>
          </w:p>
        </w:tc>
        <w:tc>
          <w:tcPr>
            <w:tcW w:w="40" w:type="dxa"/>
            <w:vAlign w:val="bottom"/>
            <w:tcBorders>
              <w:top w:val="single" w:sz="8" w:color="auto"/>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506</w:t>
            </w:r>
          </w:p>
        </w:tc>
        <w:tc>
          <w:tcPr>
            <w:tcW w:w="40" w:type="dxa"/>
            <w:vAlign w:val="bottom"/>
            <w:tcBorders>
              <w:top w:val="single" w:sz="8" w:color="auto"/>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533,720</w:t>
            </w:r>
          </w:p>
        </w:tc>
        <w:tc>
          <w:tcPr>
            <w:tcW w:w="40" w:type="dxa"/>
            <w:vAlign w:val="bottom"/>
            <w:tcBorders>
              <w:top w:val="single" w:sz="8" w:color="auto"/>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85,634</w:t>
            </w:r>
          </w:p>
        </w:tc>
        <w:tc>
          <w:tcPr>
            <w:tcW w:w="40" w:type="dxa"/>
            <w:vAlign w:val="bottom"/>
            <w:tcBorders>
              <w:top w:val="single" w:sz="8" w:color="auto"/>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(36,106)</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583,754</w:t>
            </w:r>
          </w:p>
        </w:tc>
        <w:tc>
          <w:tcPr>
            <w:tcW w:w="40" w:type="dxa"/>
            <w:vAlign w:val="bottom"/>
            <w:tcBorders>
              <w:top w:val="single" w:sz="8" w:color="auto"/>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9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4"/>
          </w:tcPr>
          <w:p>
            <w:pPr>
              <w:jc w:val="right"/>
              <w:ind w:right="919"/>
              <w:spacing w:after="0"/>
              <w:rPr>
                <w:sz w:val="20"/>
                <w:szCs w:val="20"/>
                <w:color w:val="auto"/>
              </w:rPr>
            </w:pPr>
            <w:r>
              <w:rPr>
                <w:rFonts w:ascii="Arial" w:cs="Arial" w:eastAsia="Arial" w:hAnsi="Arial"/>
                <w:sz w:val="16"/>
                <w:szCs w:val="16"/>
                <w:b w:val="1"/>
                <w:bCs w:val="1"/>
                <w:color w:val="auto"/>
              </w:rPr>
              <w:t>Six Months Ended</w:t>
            </w:r>
          </w:p>
        </w:tc>
      </w:tr>
      <w:tr>
        <w:trPr>
          <w:trHeight w:val="158"/>
        </w:trPr>
        <w:tc>
          <w:tcPr>
            <w:tcW w:w="7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gridSpan w:val="2"/>
          </w:tcPr>
          <w:p>
            <w:pPr>
              <w:ind w:left="100"/>
              <w:spacing w:after="0" w:line="158" w:lineRule="exact"/>
              <w:rPr>
                <w:sz w:val="20"/>
                <w:szCs w:val="20"/>
                <w:color w:val="auto"/>
              </w:rPr>
            </w:pPr>
            <w:r>
              <w:rPr>
                <w:rFonts w:ascii="Arial" w:cs="Arial" w:eastAsia="Arial" w:hAnsi="Arial"/>
                <w:sz w:val="16"/>
                <w:szCs w:val="16"/>
                <w:b w:val="1"/>
                <w:bCs w:val="1"/>
                <w:color w:val="auto"/>
              </w:rPr>
              <w:t>September 26,</w:t>
            </w:r>
          </w:p>
        </w:tc>
        <w:tc>
          <w:tcPr>
            <w:tcW w:w="180" w:type="dxa"/>
            <w:vAlign w:val="bottom"/>
          </w:tcPr>
          <w:p>
            <w:pPr>
              <w:spacing w:after="0"/>
              <w:rPr>
                <w:sz w:val="13"/>
                <w:szCs w:val="13"/>
                <w:color w:val="auto"/>
              </w:rPr>
            </w:pPr>
          </w:p>
        </w:tc>
        <w:tc>
          <w:tcPr>
            <w:tcW w:w="1400" w:type="dxa"/>
            <w:vAlign w:val="bottom"/>
          </w:tcPr>
          <w:p>
            <w:pPr>
              <w:jc w:val="right"/>
              <w:ind w:right="219"/>
              <w:spacing w:after="0" w:line="158" w:lineRule="exact"/>
              <w:rPr>
                <w:sz w:val="20"/>
                <w:szCs w:val="20"/>
                <w:color w:val="auto"/>
              </w:rPr>
            </w:pPr>
            <w:r>
              <w:rPr>
                <w:rFonts w:ascii="Arial" w:cs="Arial" w:eastAsia="Arial" w:hAnsi="Arial"/>
                <w:sz w:val="16"/>
                <w:szCs w:val="16"/>
                <w:b w:val="1"/>
                <w:bCs w:val="1"/>
                <w:color w:val="auto"/>
                <w:w w:val="98"/>
              </w:rPr>
              <w:t>September 28,</w:t>
            </w:r>
          </w:p>
        </w:tc>
      </w:tr>
      <w:tr>
        <w:trPr>
          <w:trHeight w:val="213"/>
        </w:trPr>
        <w:tc>
          <w:tcPr>
            <w:tcW w:w="79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2019</w:t>
            </w:r>
          </w:p>
        </w:tc>
      </w:tr>
      <w:tr>
        <w:trPr>
          <w:trHeight w:val="212"/>
        </w:trPr>
        <w:tc>
          <w:tcPr>
            <w:tcW w:w="7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3"/>
        </w:trPr>
        <w:tc>
          <w:tcPr>
            <w:tcW w:w="7900" w:type="dxa"/>
            <w:vAlign w:val="bottom"/>
          </w:tcPr>
          <w:p>
            <w:pPr>
              <w:ind w:left="100"/>
              <w:spacing w:after="0"/>
              <w:rPr>
                <w:sz w:val="20"/>
                <w:szCs w:val="20"/>
                <w:color w:val="auto"/>
              </w:rPr>
            </w:pPr>
            <w:r>
              <w:rPr>
                <w:rFonts w:ascii="Arial" w:cs="Arial" w:eastAsia="Arial" w:hAnsi="Arial"/>
                <w:sz w:val="16"/>
                <w:szCs w:val="16"/>
                <w:color w:val="auto"/>
              </w:rPr>
              <w:t>Net income</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58,628</w:t>
            </w:r>
          </w:p>
        </w:tc>
        <w:tc>
          <w:tcPr>
            <w:tcW w:w="120" w:type="dxa"/>
            <w:vAlign w:val="bottom"/>
          </w:tcPr>
          <w:p>
            <w:pPr>
              <w:spacing w:after="0"/>
              <w:rPr>
                <w:sz w:val="18"/>
                <w:szCs w:val="18"/>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29,007</w:t>
            </w:r>
          </w:p>
        </w:tc>
      </w:tr>
      <w:tr>
        <w:trPr>
          <w:trHeight w:val="219"/>
        </w:trPr>
        <w:tc>
          <w:tcPr>
            <w:tcW w:w="7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Adjustments to reconcile net income to net cash provided by operating activities: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13"/>
        </w:trPr>
        <w:tc>
          <w:tcPr>
            <w:tcW w:w="7900" w:type="dxa"/>
            <w:vAlign w:val="bottom"/>
          </w:tcPr>
          <w:p>
            <w:pPr>
              <w:spacing w:after="0"/>
              <w:rPr>
                <w:sz w:val="20"/>
                <w:szCs w:val="20"/>
                <w:color w:val="auto"/>
              </w:rPr>
            </w:pPr>
            <w:r>
              <w:rPr>
                <w:rFonts w:ascii="Arial" w:cs="Arial" w:eastAsia="Arial" w:hAnsi="Arial"/>
                <w:sz w:val="16"/>
                <w:szCs w:val="16"/>
                <w:b w:val="1"/>
                <w:bCs w:val="1"/>
                <w:color w:val="auto"/>
              </w:rPr>
              <w:t>Non-cash items:</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9"/>
        </w:trPr>
        <w:tc>
          <w:tcPr>
            <w:tcW w:w="79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Depreciation and amortization</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41,603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54,469</w:t>
            </w:r>
          </w:p>
        </w:tc>
      </w:tr>
      <w:tr>
        <w:trPr>
          <w:trHeight w:val="213"/>
        </w:trPr>
        <w:tc>
          <w:tcPr>
            <w:tcW w:w="7900" w:type="dxa"/>
            <w:vAlign w:val="bottom"/>
          </w:tcPr>
          <w:p>
            <w:pPr>
              <w:ind w:left="100"/>
              <w:spacing w:after="0"/>
              <w:rPr>
                <w:sz w:val="20"/>
                <w:szCs w:val="20"/>
                <w:color w:val="auto"/>
              </w:rPr>
            </w:pPr>
            <w:r>
              <w:rPr>
                <w:rFonts w:ascii="Arial" w:cs="Arial" w:eastAsia="Arial" w:hAnsi="Arial"/>
                <w:sz w:val="16"/>
                <w:szCs w:val="16"/>
                <w:color w:val="auto"/>
              </w:rPr>
              <w:t>Impairment of assets</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1,028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48,721</w:t>
            </w:r>
          </w:p>
        </w:tc>
      </w:tr>
      <w:tr>
        <w:trPr>
          <w:trHeight w:val="219"/>
        </w:trPr>
        <w:tc>
          <w:tcPr>
            <w:tcW w:w="79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Share-based compensation expense</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12,119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9,730</w:t>
            </w:r>
          </w:p>
        </w:tc>
      </w:tr>
      <w:tr>
        <w:trPr>
          <w:trHeight w:val="213"/>
        </w:trPr>
        <w:tc>
          <w:tcPr>
            <w:tcW w:w="7900" w:type="dxa"/>
            <w:vAlign w:val="bottom"/>
          </w:tcPr>
          <w:p>
            <w:pPr>
              <w:ind w:left="100"/>
              <w:spacing w:after="0"/>
              <w:rPr>
                <w:sz w:val="20"/>
                <w:szCs w:val="20"/>
                <w:color w:val="auto"/>
              </w:rPr>
            </w:pPr>
            <w:r>
              <w:rPr>
                <w:rFonts w:ascii="Arial" w:cs="Arial" w:eastAsia="Arial" w:hAnsi="Arial"/>
                <w:sz w:val="16"/>
                <w:szCs w:val="16"/>
                <w:color w:val="auto"/>
              </w:rPr>
              <w:t>Deferred tax benefit</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(3,031)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(7,290)</w:t>
            </w:r>
          </w:p>
        </w:tc>
      </w:tr>
      <w:tr>
        <w:trPr>
          <w:trHeight w:val="219"/>
        </w:trPr>
        <w:tc>
          <w:tcPr>
            <w:tcW w:w="79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Provision for losses on accounts receivable and inventory</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(1,857)</w:t>
            </w:r>
          </w:p>
        </w:tc>
      </w:tr>
      <w:tr>
        <w:trPr>
          <w:trHeight w:val="213"/>
        </w:trPr>
        <w:tc>
          <w:tcPr>
            <w:tcW w:w="7900" w:type="dxa"/>
            <w:vAlign w:val="bottom"/>
          </w:tcPr>
          <w:p>
            <w:pPr>
              <w:ind w:left="100"/>
              <w:spacing w:after="0"/>
              <w:rPr>
                <w:sz w:val="20"/>
                <w:szCs w:val="20"/>
                <w:color w:val="auto"/>
              </w:rPr>
            </w:pPr>
            <w:r>
              <w:rPr>
                <w:rFonts w:ascii="Arial" w:cs="Arial" w:eastAsia="Arial" w:hAnsi="Arial"/>
                <w:sz w:val="16"/>
                <w:szCs w:val="16"/>
                <w:color w:val="auto"/>
              </w:rPr>
              <w:t>Gains on divestitures and sale of assets</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(31,498)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(8,083)</w:t>
            </w:r>
          </w:p>
        </w:tc>
      </w:tr>
      <w:tr>
        <w:trPr>
          <w:trHeight w:val="219"/>
        </w:trPr>
        <w:tc>
          <w:tcPr>
            <w:tcW w:w="79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 non-cash operating activities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r>
      <w:tr>
        <w:trPr>
          <w:trHeight w:val="213"/>
        </w:trPr>
        <w:tc>
          <w:tcPr>
            <w:tcW w:w="7900" w:type="dxa"/>
            <w:vAlign w:val="bottom"/>
          </w:tcPr>
          <w:p>
            <w:pPr>
              <w:spacing w:after="0"/>
              <w:rPr>
                <w:sz w:val="20"/>
                <w:szCs w:val="20"/>
                <w:color w:val="auto"/>
              </w:rPr>
            </w:pPr>
            <w:r>
              <w:rPr>
                <w:rFonts w:ascii="Arial" w:cs="Arial" w:eastAsia="Arial" w:hAnsi="Arial"/>
                <w:sz w:val="16"/>
                <w:szCs w:val="16"/>
                <w:b w:val="1"/>
                <w:bCs w:val="1"/>
                <w:color w:val="auto"/>
              </w:rPr>
              <w:t>Change in operating assets and liabilities:</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9"/>
        </w:trPr>
        <w:tc>
          <w:tcPr>
            <w:tcW w:w="79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Change in accounts receivable</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22,391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7,806</w:t>
            </w:r>
          </w:p>
        </w:tc>
      </w:tr>
      <w:tr>
        <w:trPr>
          <w:trHeight w:val="213"/>
        </w:trPr>
        <w:tc>
          <w:tcPr>
            <w:tcW w:w="7900" w:type="dxa"/>
            <w:vAlign w:val="bottom"/>
          </w:tcPr>
          <w:p>
            <w:pPr>
              <w:ind w:left="100"/>
              <w:spacing w:after="0"/>
              <w:rPr>
                <w:sz w:val="20"/>
                <w:szCs w:val="20"/>
                <w:color w:val="auto"/>
              </w:rPr>
            </w:pPr>
            <w:r>
              <w:rPr>
                <w:rFonts w:ascii="Arial" w:cs="Arial" w:eastAsia="Arial" w:hAnsi="Arial"/>
                <w:sz w:val="16"/>
                <w:szCs w:val="16"/>
                <w:color w:val="auto"/>
              </w:rPr>
              <w:t>Change in inventories</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(38,189)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(59,439)</w:t>
            </w:r>
          </w:p>
        </w:tc>
      </w:tr>
      <w:tr>
        <w:trPr>
          <w:trHeight w:val="219"/>
        </w:trPr>
        <w:tc>
          <w:tcPr>
            <w:tcW w:w="79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Change in prepaid income taxes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(1,588)</w:t>
            </w:r>
          </w:p>
        </w:tc>
      </w:tr>
      <w:tr>
        <w:trPr>
          <w:trHeight w:val="213"/>
        </w:trPr>
        <w:tc>
          <w:tcPr>
            <w:tcW w:w="7900" w:type="dxa"/>
            <w:vAlign w:val="bottom"/>
          </w:tcPr>
          <w:p>
            <w:pPr>
              <w:ind w:left="100"/>
              <w:spacing w:after="0"/>
              <w:rPr>
                <w:sz w:val="20"/>
                <w:szCs w:val="20"/>
                <w:color w:val="auto"/>
              </w:rPr>
            </w:pPr>
            <w:r>
              <w:rPr>
                <w:rFonts w:ascii="Arial" w:cs="Arial" w:eastAsia="Arial" w:hAnsi="Arial"/>
                <w:sz w:val="16"/>
                <w:szCs w:val="16"/>
                <w:color w:val="auto"/>
              </w:rPr>
              <w:t>Change in other assets and other liabilities</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1,902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(10,616)</w:t>
            </w:r>
          </w:p>
        </w:tc>
      </w:tr>
      <w:tr>
        <w:trPr>
          <w:trHeight w:val="219"/>
        </w:trPr>
        <w:tc>
          <w:tcPr>
            <w:tcW w:w="79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Change in accounts payable and accrued expenses</w:t>
            </w: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(24,770)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(28,471)</w:t>
            </w:r>
          </w:p>
        </w:tc>
      </w:tr>
      <w:tr>
        <w:trPr>
          <w:trHeight w:val="207"/>
        </w:trPr>
        <w:tc>
          <w:tcPr>
            <w:tcW w:w="7900" w:type="dxa"/>
            <w:vAlign w:val="bottom"/>
          </w:tcPr>
          <w:p>
            <w:pPr>
              <w:ind w:left="320"/>
              <w:spacing w:after="0"/>
              <w:rPr>
                <w:sz w:val="20"/>
                <w:szCs w:val="20"/>
                <w:color w:val="auto"/>
              </w:rPr>
            </w:pPr>
            <w:r>
              <w:rPr>
                <w:rFonts w:ascii="Arial" w:cs="Arial" w:eastAsia="Arial" w:hAnsi="Arial"/>
                <w:sz w:val="16"/>
                <w:szCs w:val="16"/>
                <w:color w:val="auto"/>
              </w:rPr>
              <w:t>Net cash provided by operating activities</w:t>
            </w: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40,967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32,529</w:t>
            </w:r>
          </w:p>
        </w:tc>
      </w:tr>
      <w:tr>
        <w:trPr>
          <w:trHeight w:val="219"/>
        </w:trPr>
        <w:tc>
          <w:tcPr>
            <w:tcW w:w="7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13"/>
        </w:trPr>
        <w:tc>
          <w:tcPr>
            <w:tcW w:w="7900" w:type="dxa"/>
            <w:vAlign w:val="bottom"/>
          </w:tcPr>
          <w:p>
            <w:pPr>
              <w:ind w:left="100"/>
              <w:spacing w:after="0"/>
              <w:rPr>
                <w:sz w:val="20"/>
                <w:szCs w:val="20"/>
                <w:color w:val="auto"/>
              </w:rPr>
            </w:pPr>
            <w:r>
              <w:rPr>
                <w:rFonts w:ascii="Arial" w:cs="Arial" w:eastAsia="Arial" w:hAnsi="Arial"/>
                <w:sz w:val="16"/>
                <w:szCs w:val="16"/>
                <w:color w:val="auto"/>
              </w:rPr>
              <w:t>Capital expenditures</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(16,035)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(17,722)</w:t>
            </w:r>
          </w:p>
        </w:tc>
      </w:tr>
      <w:tr>
        <w:trPr>
          <w:trHeight w:val="219"/>
        </w:trPr>
        <w:tc>
          <w:tcPr>
            <w:tcW w:w="79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Acquisition</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(16,606)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900" w:type="dxa"/>
            <w:vAlign w:val="bottom"/>
          </w:tcPr>
          <w:p>
            <w:pPr>
              <w:ind w:left="100"/>
              <w:spacing w:after="0"/>
              <w:rPr>
                <w:sz w:val="20"/>
                <w:szCs w:val="20"/>
                <w:color w:val="auto"/>
              </w:rPr>
            </w:pPr>
            <w:r>
              <w:rPr>
                <w:rFonts w:ascii="Arial" w:cs="Arial" w:eastAsia="Arial" w:hAnsi="Arial"/>
                <w:sz w:val="16"/>
                <w:szCs w:val="16"/>
                <w:color w:val="auto"/>
              </w:rPr>
              <w:t>Proceeds from divestitures</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44,978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9,808</w:t>
            </w:r>
          </w:p>
        </w:tc>
      </w:tr>
      <w:tr>
        <w:trPr>
          <w:trHeight w:val="219"/>
        </w:trPr>
        <w:tc>
          <w:tcPr>
            <w:tcW w:w="79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Proceeds from sale of property, plant and equipment</w:t>
            </w: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15,739</w:t>
            </w:r>
          </w:p>
        </w:tc>
      </w:tr>
      <w:tr>
        <w:trPr>
          <w:trHeight w:val="206"/>
        </w:trPr>
        <w:tc>
          <w:tcPr>
            <w:tcW w:w="7900" w:type="dxa"/>
            <w:vAlign w:val="bottom"/>
          </w:tcPr>
          <w:p>
            <w:pPr>
              <w:ind w:left="320"/>
              <w:spacing w:after="0"/>
              <w:rPr>
                <w:sz w:val="20"/>
                <w:szCs w:val="20"/>
                <w:color w:val="auto"/>
              </w:rPr>
            </w:pPr>
            <w:r>
              <w:rPr>
                <w:rFonts w:ascii="Arial" w:cs="Arial" w:eastAsia="Arial" w:hAnsi="Arial"/>
                <w:sz w:val="16"/>
                <w:szCs w:val="16"/>
                <w:color w:val="auto"/>
              </w:rPr>
              <w:t>Net cash provided by investing activities</w:t>
            </w: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13,239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7,825</w:t>
            </w:r>
          </w:p>
        </w:tc>
      </w:tr>
      <w:tr>
        <w:trPr>
          <w:trHeight w:val="219"/>
        </w:trPr>
        <w:tc>
          <w:tcPr>
            <w:tcW w:w="7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13"/>
        </w:trPr>
        <w:tc>
          <w:tcPr>
            <w:tcW w:w="7900" w:type="dxa"/>
            <w:vAlign w:val="bottom"/>
          </w:tcPr>
          <w:p>
            <w:pPr>
              <w:ind w:left="100"/>
              <w:spacing w:after="0"/>
              <w:rPr>
                <w:sz w:val="20"/>
                <w:szCs w:val="20"/>
                <w:color w:val="auto"/>
              </w:rPr>
            </w:pPr>
            <w:r>
              <w:rPr>
                <w:rFonts w:ascii="Arial" w:cs="Arial" w:eastAsia="Arial" w:hAnsi="Arial"/>
                <w:sz w:val="16"/>
                <w:szCs w:val="16"/>
                <w:color w:val="auto"/>
              </w:rPr>
              <w:t>Net increase in short-term loans</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90,000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25,000</w:t>
            </w:r>
          </w:p>
        </w:tc>
      </w:tr>
      <w:tr>
        <w:trPr>
          <w:trHeight w:val="219"/>
        </w:trPr>
        <w:tc>
          <w:tcPr>
            <w:tcW w:w="79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Repayment of term loan borrowings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(8,750)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(4,375)</w:t>
            </w:r>
          </w:p>
        </w:tc>
      </w:tr>
      <w:tr>
        <w:trPr>
          <w:trHeight w:val="213"/>
        </w:trPr>
        <w:tc>
          <w:tcPr>
            <w:tcW w:w="7900" w:type="dxa"/>
            <w:vAlign w:val="bottom"/>
          </w:tcPr>
          <w:p>
            <w:pPr>
              <w:ind w:left="100"/>
              <w:spacing w:after="0"/>
              <w:rPr>
                <w:sz w:val="20"/>
                <w:szCs w:val="20"/>
                <w:color w:val="auto"/>
              </w:rPr>
            </w:pPr>
            <w:r>
              <w:rPr>
                <w:rFonts w:ascii="Arial" w:cs="Arial" w:eastAsia="Arial" w:hAnsi="Arial"/>
                <w:sz w:val="16"/>
                <w:szCs w:val="16"/>
                <w:color w:val="auto"/>
              </w:rPr>
              <w:t>Share repurchases</w:t>
            </w:r>
          </w:p>
        </w:tc>
        <w:tc>
          <w:tcPr>
            <w:tcW w:w="18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(125,000)</w:t>
            </w:r>
          </w:p>
        </w:tc>
      </w:tr>
      <w:tr>
        <w:trPr>
          <w:trHeight w:val="219"/>
        </w:trPr>
        <w:tc>
          <w:tcPr>
            <w:tcW w:w="79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Proceeds from employee stock purchase plan</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1,830</w:t>
            </w:r>
          </w:p>
        </w:tc>
      </w:tr>
      <w:tr>
        <w:trPr>
          <w:trHeight w:val="213"/>
        </w:trPr>
        <w:tc>
          <w:tcPr>
            <w:tcW w:w="7900" w:type="dxa"/>
            <w:vAlign w:val="bottom"/>
          </w:tcPr>
          <w:p>
            <w:pPr>
              <w:ind w:left="100"/>
              <w:spacing w:after="0"/>
              <w:rPr>
                <w:sz w:val="20"/>
                <w:szCs w:val="20"/>
                <w:color w:val="auto"/>
              </w:rPr>
            </w:pPr>
            <w:r>
              <w:rPr>
                <w:rFonts w:ascii="Arial" w:cs="Arial" w:eastAsia="Arial" w:hAnsi="Arial"/>
                <w:sz w:val="16"/>
                <w:szCs w:val="16"/>
                <w:color w:val="auto"/>
              </w:rPr>
              <w:t>Proceeds from exercise of stock options</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1,259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6,046</w:t>
            </w:r>
          </w:p>
        </w:tc>
      </w:tr>
      <w:tr>
        <w:trPr>
          <w:trHeight w:val="219"/>
        </w:trPr>
        <w:tc>
          <w:tcPr>
            <w:tcW w:w="79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w:t>
            </w:r>
          </w:p>
        </w:tc>
      </w:tr>
      <w:tr>
        <w:trPr>
          <w:trHeight w:val="207"/>
        </w:trPr>
        <w:tc>
          <w:tcPr>
            <w:tcW w:w="7900" w:type="dxa"/>
            <w:vAlign w:val="bottom"/>
          </w:tcPr>
          <w:p>
            <w:pPr>
              <w:ind w:left="320"/>
              <w:spacing w:after="0"/>
              <w:rPr>
                <w:sz w:val="20"/>
                <w:szCs w:val="20"/>
                <w:color w:val="auto"/>
              </w:rPr>
            </w:pPr>
            <w:r>
              <w:rPr>
                <w:rFonts w:ascii="Arial" w:cs="Arial" w:eastAsia="Arial" w:hAnsi="Arial"/>
                <w:sz w:val="16"/>
                <w:szCs w:val="16"/>
                <w:color w:val="auto"/>
              </w:rPr>
              <w:t>Net cash provided by (used in) financing activities</w:t>
            </w: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84,633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(96,427)</w:t>
            </w:r>
          </w:p>
        </w:tc>
      </w:tr>
      <w:tr>
        <w:trPr>
          <w:trHeight w:val="219"/>
        </w:trPr>
        <w:tc>
          <w:tcPr>
            <w:tcW w:w="7900" w:type="dxa"/>
            <w:vAlign w:val="bottom"/>
            <w:shd w:val="clear" w:color="auto" w:fill="CCEEFF"/>
          </w:tcPr>
          <w:p>
            <w:pPr>
              <w:spacing w:after="0"/>
              <w:rPr>
                <w:sz w:val="20"/>
                <w:szCs w:val="20"/>
                <w:color w:val="auto"/>
              </w:rPr>
            </w:pPr>
            <w:r>
              <w:rPr>
                <w:rFonts w:ascii="Arial" w:cs="Arial" w:eastAsia="Arial" w:hAnsi="Arial"/>
                <w:sz w:val="16"/>
                <w:szCs w:val="16"/>
                <w:color w:val="auto"/>
              </w:rPr>
              <w:t>Effect of exchange rates on cash and cash equivalents</w:t>
            </w: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(1,248)</w:t>
            </w:r>
          </w:p>
        </w:tc>
      </w:tr>
      <w:tr>
        <w:trPr>
          <w:trHeight w:val="206"/>
        </w:trPr>
        <w:tc>
          <w:tcPr>
            <w:tcW w:w="7900" w:type="dxa"/>
            <w:vAlign w:val="bottom"/>
          </w:tcPr>
          <w:p>
            <w:pPr>
              <w:spacing w:after="0"/>
              <w:rPr>
                <w:sz w:val="20"/>
                <w:szCs w:val="20"/>
                <w:color w:val="auto"/>
              </w:rPr>
            </w:pPr>
            <w:r>
              <w:rPr>
                <w:rFonts w:ascii="Arial" w:cs="Arial" w:eastAsia="Arial" w:hAnsi="Arial"/>
                <w:sz w:val="16"/>
                <w:szCs w:val="16"/>
                <w:color w:val="auto"/>
              </w:rPr>
              <w:t>Net Change in Cash and Cash Equivalents</w:t>
            </w: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141,858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(57,321)</w:t>
            </w: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at Beginning of Period</w:t>
            </w: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137,311</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169,351</w:t>
            </w:r>
          </w:p>
        </w:tc>
      </w:tr>
      <w:tr>
        <w:trPr>
          <w:trHeight w:val="212"/>
        </w:trPr>
        <w:tc>
          <w:tcPr>
            <w:tcW w:w="7900" w:type="dxa"/>
            <w:vAlign w:val="bottom"/>
          </w:tcPr>
          <w:p>
            <w:pPr>
              <w:spacing w:after="0"/>
              <w:rPr>
                <w:sz w:val="20"/>
                <w:szCs w:val="20"/>
                <w:color w:val="auto"/>
              </w:rPr>
            </w:pPr>
            <w:r>
              <w:rPr>
                <w:rFonts w:ascii="Arial" w:cs="Arial" w:eastAsia="Arial" w:hAnsi="Arial"/>
                <w:sz w:val="16"/>
                <w:szCs w:val="16"/>
                <w:b w:val="1"/>
                <w:bCs w:val="1"/>
                <w:color w:val="auto"/>
              </w:rPr>
              <w:t>Cash and Cash Equivalents at End of Period</w:t>
            </w: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279,169</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112,030</w:t>
            </w:r>
          </w:p>
        </w:tc>
      </w:tr>
      <w:tr>
        <w:trPr>
          <w:trHeight w:val="20"/>
        </w:trPr>
        <w:tc>
          <w:tcPr>
            <w:tcW w:w="79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10"/>
        </w:trPr>
        <w:tc>
          <w:tcPr>
            <w:tcW w:w="7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3"/>
        </w:trPr>
        <w:tc>
          <w:tcPr>
            <w:tcW w:w="7900" w:type="dxa"/>
            <w:vAlign w:val="bottom"/>
          </w:tcPr>
          <w:p>
            <w:pPr>
              <w:ind w:left="100"/>
              <w:spacing w:after="0"/>
              <w:rPr>
                <w:sz w:val="20"/>
                <w:szCs w:val="20"/>
                <w:color w:val="auto"/>
              </w:rPr>
            </w:pPr>
            <w:r>
              <w:rPr>
                <w:rFonts w:ascii="Arial" w:cs="Arial" w:eastAsia="Arial" w:hAnsi="Arial"/>
                <w:sz w:val="16"/>
                <w:szCs w:val="16"/>
                <w:color w:val="auto"/>
              </w:rPr>
              <w:t>Interest paid</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4,637</w:t>
            </w:r>
          </w:p>
        </w:tc>
        <w:tc>
          <w:tcPr>
            <w:tcW w:w="120" w:type="dxa"/>
            <w:vAlign w:val="bottom"/>
          </w:tcPr>
          <w:p>
            <w:pPr>
              <w:spacing w:after="0"/>
              <w:rPr>
                <w:sz w:val="18"/>
                <w:szCs w:val="18"/>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6,260</w:t>
            </w:r>
          </w:p>
        </w:tc>
      </w:tr>
      <w:tr>
        <w:trPr>
          <w:trHeight w:val="219"/>
        </w:trPr>
        <w:tc>
          <w:tcPr>
            <w:tcW w:w="79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Income taxes paid</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8,535</w:t>
            </w:r>
          </w:p>
        </w:tc>
      </w:tr>
      <w:tr>
        <w:trPr>
          <w:trHeight w:val="213"/>
        </w:trPr>
        <w:tc>
          <w:tcPr>
            <w:tcW w:w="7900" w:type="dxa"/>
            <w:vAlign w:val="bottom"/>
          </w:tcPr>
          <w:p>
            <w:pPr>
              <w:spacing w:after="0"/>
              <w:rPr>
                <w:sz w:val="20"/>
                <w:szCs w:val="20"/>
                <w:color w:val="auto"/>
              </w:rPr>
            </w:pPr>
            <w:r>
              <w:rPr>
                <w:rFonts w:ascii="Arial" w:cs="Arial" w:eastAsia="Arial" w:hAnsi="Arial"/>
                <w:sz w:val="16"/>
                <w:szCs w:val="16"/>
                <w:b w:val="1"/>
                <w:bCs w:val="1"/>
                <w:color w:val="auto"/>
              </w:rPr>
              <w:t>Non-Cash Investing and Financing Activities:</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9"/>
        </w:trPr>
        <w:tc>
          <w:tcPr>
            <w:tcW w:w="79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Transfers from inventory to fixed assets for placement of Haemonetics equipment</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5,780</w:t>
            </w:r>
          </w:p>
        </w:tc>
      </w:tr>
    </w:tbl>
    <w:p>
      <w:pPr>
        <w:spacing w:after="0" w:line="31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891" w:right="35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4" w:lineRule="exact"/>
        <w:rPr>
          <w:sz w:val="20"/>
          <w:szCs w:val="20"/>
          <w:color w:val="auto"/>
        </w:rPr>
      </w:pPr>
    </w:p>
    <w:p>
      <w:pPr>
        <w:ind w:right="8780" w:firstLine="8"/>
        <w:spacing w:after="0" w:line="566" w:lineRule="auto"/>
        <w:tabs>
          <w:tab w:leader="none" w:pos="18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BASIS OF PRESENTATION Basis of Presentation</w:t>
      </w:r>
    </w:p>
    <w:p>
      <w:pPr>
        <w:spacing w:after="0" w:line="269" w:lineRule="auto"/>
        <w:rPr>
          <w:sz w:val="20"/>
          <w:szCs w:val="20"/>
          <w:color w:val="auto"/>
        </w:rPr>
      </w:pPr>
      <w:r>
        <w:rPr>
          <w:rFonts w:ascii="Arial" w:cs="Arial" w:eastAsia="Arial" w:hAnsi="Arial"/>
          <w:sz w:val="17"/>
          <w:szCs w:val="17"/>
          <w:color w:val="auto"/>
        </w:rPr>
        <w:t>The accompanying unaudited condensed consolidated financial statements of Haemonetics Corporation ("Haemonetics" or the "Company") presented herein have been prepared in accordance with generally accepted accounting principles in the United States of America (“U.S. GAAP”) for interim financial information and with the instructions to Form 10-Q and Article 10 of Regulation S-X. Accordingly, they do not include all of the information and footnotes required by U.S. GAAP for complete financial statements. In the opinion of the Company's management, all adjustments (consisting of normal recurring adjustments) considered necessary for a fair presentation have been included. All intercompany transactions have been eliminated. Operating results for the six months ended September 26, 2020 are not necessarily indicative of the results that may be expected for the full fiscal year ending April 3, 2021 or any other interim period. The Company has assessed its ability to continue as a going concern. As of September 26, 2020, the Company has concluded that substantial doubt about its ability to continue as a going concern does not exist. These unaudited condensed consolidated financial statements should be read in conjunction with the audited consolidated financial statements and footnotes included in the annual report on Form 10-K for the fiscal year ended March 28, 2020.</w:t>
      </w:r>
    </w:p>
    <w:p>
      <w:pPr>
        <w:spacing w:after="0" w:line="212"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 xml:space="preserve">The Company considers events or transactions that occur after the balance sheet date but prior to the issuance of the financial statements to provide additional evidence relative to certain estimates or to identify matters that require additional disclosure. Refer to Note 11, </w:t>
      </w:r>
      <w:r>
        <w:rPr>
          <w:rFonts w:ascii="Arial" w:cs="Arial" w:eastAsia="Arial" w:hAnsi="Arial"/>
          <w:sz w:val="17"/>
          <w:szCs w:val="17"/>
          <w:i w:val="1"/>
          <w:iCs w:val="1"/>
          <w:color w:val="auto"/>
        </w:rPr>
        <w:t>Notes Payable and Long-term</w:t>
      </w:r>
      <w:r>
        <w:rPr>
          <w:rFonts w:ascii="Arial" w:cs="Arial" w:eastAsia="Arial" w:hAnsi="Arial"/>
          <w:sz w:val="17"/>
          <w:szCs w:val="17"/>
          <w:color w:val="auto"/>
        </w:rPr>
        <w:t xml:space="preserve"> </w:t>
      </w:r>
      <w:r>
        <w:rPr>
          <w:rFonts w:ascii="Arial" w:cs="Arial" w:eastAsia="Arial" w:hAnsi="Arial"/>
          <w:sz w:val="17"/>
          <w:szCs w:val="17"/>
          <w:i w:val="1"/>
          <w:iCs w:val="1"/>
          <w:color w:val="auto"/>
        </w:rPr>
        <w:t>Debt</w:t>
      </w:r>
      <w:r>
        <w:rPr>
          <w:rFonts w:ascii="Arial" w:cs="Arial" w:eastAsia="Arial" w:hAnsi="Arial"/>
          <w:sz w:val="17"/>
          <w:szCs w:val="17"/>
          <w:color w:val="auto"/>
        </w:rPr>
        <w:t>, for information pertaining to a payment made on the Company's revolving credit facility that occurred subsequent to September 26, 2020. There were</w:t>
      </w:r>
      <w:r>
        <w:rPr>
          <w:rFonts w:ascii="Arial" w:cs="Arial" w:eastAsia="Arial" w:hAnsi="Arial"/>
          <w:sz w:val="17"/>
          <w:szCs w:val="17"/>
          <w:i w:val="1"/>
          <w:iCs w:val="1"/>
          <w:color w:val="auto"/>
        </w:rPr>
        <w:t xml:space="preserve"> </w:t>
      </w:r>
      <w:r>
        <w:rPr>
          <w:rFonts w:ascii="Arial" w:cs="Arial" w:eastAsia="Arial" w:hAnsi="Arial"/>
          <w:sz w:val="17"/>
          <w:szCs w:val="17"/>
          <w:color w:val="auto"/>
        </w:rPr>
        <w:t>no other material recognized or unrecognized subsequent events as of or for the six months ended September 26, 2020.</w:t>
      </w:r>
    </w:p>
    <w:p>
      <w:pPr>
        <w:spacing w:after="0" w:line="195" w:lineRule="exact"/>
        <w:rPr>
          <w:sz w:val="20"/>
          <w:szCs w:val="20"/>
          <w:color w:val="auto"/>
        </w:rPr>
      </w:pPr>
    </w:p>
    <w:p>
      <w:pPr>
        <w:ind w:right="7140" w:firstLine="8"/>
        <w:spacing w:after="0" w:line="534" w:lineRule="auto"/>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PRONOUNCEMENTS Standards Implemented</w:t>
      </w:r>
    </w:p>
    <w:p>
      <w:pPr>
        <w:spacing w:after="0" w:line="1"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 xml:space="preserve">In June 2016, the Financial Accounting Standards Board ("FASB") issued Accounting Standards Codification ("ASC") Update No. 2016-13, </w:t>
      </w:r>
      <w:r>
        <w:rPr>
          <w:rFonts w:ascii="Arial" w:cs="Arial" w:eastAsia="Arial" w:hAnsi="Arial"/>
          <w:sz w:val="16"/>
          <w:szCs w:val="16"/>
          <w:i w:val="1"/>
          <w:iCs w:val="1"/>
          <w:color w:val="auto"/>
        </w:rPr>
        <w:t>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Instruments – Credit Losses </w:t>
      </w:r>
      <w:r>
        <w:rPr>
          <w:rFonts w:ascii="Arial" w:cs="Arial" w:eastAsia="Arial" w:hAnsi="Arial"/>
          <w:sz w:val="16"/>
          <w:szCs w:val="16"/>
          <w:color w:val="auto"/>
        </w:rPr>
        <w:t>(Topic 326). ASC Update No. 2016-13 is intended to replace the current incurred loss impairment methodology for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assets measured at amortized cost with a methodology that reflects expected credit losses and requires consideration of a broader range of reasonable and supportable information, including forecasted information, to develop credit loss estimates. The Company adopted ASC Update No. 2016-13 during the first quarter of fiscal 2021. The adoption did not have a material impact on the Company's unaudited condensed consolidated financial statements.</w:t>
      </w:r>
    </w:p>
    <w:p>
      <w:pPr>
        <w:spacing w:after="0" w:line="18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In August 2018, the FASB issued ASC Update No. 2018-15, </w:t>
      </w:r>
      <w:r>
        <w:rPr>
          <w:rFonts w:ascii="Arial" w:cs="Arial" w:eastAsia="Arial" w:hAnsi="Arial"/>
          <w:sz w:val="18"/>
          <w:szCs w:val="18"/>
          <w:i w:val="1"/>
          <w:iCs w:val="1"/>
          <w:color w:val="auto"/>
        </w:rPr>
        <w:t>Intangibles, Goodwill and Other - Internal-Use Software</w:t>
      </w:r>
      <w:r>
        <w:rPr>
          <w:rFonts w:ascii="Arial" w:cs="Arial" w:eastAsia="Arial" w:hAnsi="Arial"/>
          <w:sz w:val="18"/>
          <w:szCs w:val="18"/>
          <w:color w:val="auto"/>
        </w:rPr>
        <w:t xml:space="preserve"> (Subtopic 350-40). The new guidance aligns the accounting implementation costs incurred in a cloud computing arrangement that is a service contract with the accounting for internal-use software licenses. The Company adopted ASC Update No. 2018-15 during the first quarter of fiscal 2021. The adoption did not have a material impact on the Company's unaudited condensed consolidated financial statements.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RESTRUCTURING</w:t>
      </w:r>
    </w:p>
    <w:p>
      <w:pPr>
        <w:spacing w:after="0" w:line="256"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On an ongoing basis, the Company reviews the global economy, the healthcare industry, and the markets in which it competes to identify opportunities for efficiencies, enhance commercial capabilities, align its resources and offer its customers better solutions. In order to realize these opportunities, the Company undertakes restructuring-type activities to transform its business.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7" w:name="page8"/>
    <w:bookmarkEnd w:id="7"/>
    <w:p>
      <w:pPr>
        <w:ind w:right="40"/>
        <w:spacing w:after="0" w:line="253" w:lineRule="auto"/>
        <w:rPr>
          <w:sz w:val="20"/>
          <w:szCs w:val="20"/>
          <w:color w:val="auto"/>
        </w:rPr>
      </w:pPr>
      <w:r>
        <w:rPr>
          <w:rFonts w:ascii="Arial" w:cs="Arial" w:eastAsia="Arial" w:hAnsi="Arial"/>
          <w:sz w:val="18"/>
          <w:szCs w:val="18"/>
          <w:color w:val="auto"/>
        </w:rPr>
        <w:t>In July 2019, the Board of Directors of the Company approved a new Operational Excellence Program (the "2020 Program") and delegated authority to the Company's management to determine the detail of the initiatives that will comprise the program. The 2020 Program is designed to improve operational performance and reduce cost principally in our manufacturing and supply chain operations. The Company estimates that it will incur aggregate charges between $60 million and $70 million in connection with the 2020 Program. These charges, the majority of which will result in cash outlays, including severance and other employee costs, will be incurred as the specific actions required to execute these initiatives are identified and approved and are expected to be substantially completed by the end of fiscal 2023. During the three and six months ended September 26, 2020, the Company incurred $4.4 million and $8.0 million, respectively, of restructuring and turnaround costs under this program. During both the three and six months ended September 28, 2019, the Company incurred $2.9 million of restructuring and turnaround costs under this program. Total cumulative charges under this program are $19.8 million.</w:t>
      </w:r>
    </w:p>
    <w:p>
      <w:pPr>
        <w:spacing w:after="0" w:line="22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During fiscal 2018, the Company launched a Complexity Reduction Initiative (the "2018 Program"), a company-wide restructuring program designed to improve operational performance and reduce cost, freeing up resources to invest in accelerated growth. During the three months ended September 26, 2020, the Company incurred minimal charges of restructuring and turnaround costs under this program. During the six months ended September 26, 2020, the Company incurred $0.5 million of restructuring and turnaround costs under this program. During the three and six months ended September 28, 2019, the Company incurred $0.9 million and $2.9 million, respectively, of restructuring and turnaround costs under this program. Total cumulative charges under this program are $58.7 million. The 2018 Program is substantially complete.</w:t>
      </w:r>
    </w:p>
    <w:p>
      <w:pPr>
        <w:spacing w:after="0" w:line="205"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The following table summarizes the activity for restructuring reserves related to the 2020 Program and the 2018 Program and prior programs for the six months ended September 26, 2020, substantially all of which relates to employee severance and other employee costs: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4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14"/>
                <w:szCs w:val="14"/>
                <w:color w:val="auto"/>
              </w:rPr>
            </w:pPr>
          </w:p>
        </w:tc>
        <w:tc>
          <w:tcPr>
            <w:tcW w:w="14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2020 Program</w:t>
            </w:r>
          </w:p>
        </w:tc>
        <w:tc>
          <w:tcPr>
            <w:tcW w:w="160" w:type="dxa"/>
            <w:vAlign w:val="bottom"/>
          </w:tcPr>
          <w:p>
            <w:pPr>
              <w:spacing w:after="0"/>
              <w:rPr>
                <w:sz w:val="14"/>
                <w:szCs w:val="14"/>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2018 Program and</w:t>
            </w:r>
          </w:p>
        </w:tc>
        <w:tc>
          <w:tcPr>
            <w:tcW w:w="360" w:type="dxa"/>
            <w:vAlign w:val="bottom"/>
          </w:tcPr>
          <w:p>
            <w:pPr>
              <w:spacing w:after="0"/>
              <w:rPr>
                <w:sz w:val="14"/>
                <w:szCs w:val="14"/>
                <w:color w:val="auto"/>
              </w:rPr>
            </w:pPr>
          </w:p>
        </w:tc>
        <w:tc>
          <w:tcPr>
            <w:tcW w:w="1180" w:type="dxa"/>
            <w:vAlign w:val="bottom"/>
            <w:vMerge w:val="restart"/>
          </w:tcPr>
          <w:p>
            <w:pPr>
              <w:jc w:val="right"/>
              <w:ind w:right="5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64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Prior Programs</w:t>
            </w:r>
          </w:p>
        </w:tc>
        <w:tc>
          <w:tcPr>
            <w:tcW w:w="36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28, 2020</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center"/>
              <w:ind w:left="674"/>
              <w:spacing w:after="0"/>
              <w:rPr>
                <w:sz w:val="20"/>
                <w:szCs w:val="20"/>
                <w:color w:val="auto"/>
              </w:rPr>
            </w:pPr>
            <w:r>
              <w:rPr>
                <w:rFonts w:ascii="Arial" w:cs="Arial" w:eastAsia="Arial" w:hAnsi="Arial"/>
                <w:sz w:val="18"/>
                <w:szCs w:val="18"/>
                <w:color w:val="auto"/>
                <w:w w:val="88"/>
              </w:rPr>
              <w:t>1,136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1,512</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2,648</w:t>
            </w:r>
          </w:p>
        </w:tc>
        <w:tc>
          <w:tcPr>
            <w:tcW w:w="0" w:type="dxa"/>
            <w:vAlign w:val="bottom"/>
          </w:tcPr>
          <w:p>
            <w:pPr>
              <w:spacing w:after="0"/>
              <w:rPr>
                <w:sz w:val="1"/>
                <w:szCs w:val="1"/>
                <w:color w:val="auto"/>
              </w:rPr>
            </w:pP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Costs incurred, net of reversals</w:t>
            </w:r>
          </w:p>
        </w:tc>
        <w:tc>
          <w:tcPr>
            <w:tcW w:w="220" w:type="dxa"/>
            <w:vAlign w:val="bottom"/>
          </w:tcPr>
          <w:p>
            <w:pPr>
              <w:spacing w:after="0"/>
              <w:rPr>
                <w:sz w:val="19"/>
                <w:szCs w:val="19"/>
                <w:color w:val="auto"/>
              </w:rPr>
            </w:pPr>
          </w:p>
        </w:tc>
        <w:tc>
          <w:tcPr>
            <w:tcW w:w="1320" w:type="dxa"/>
            <w:vAlign w:val="bottom"/>
          </w:tcPr>
          <w:p>
            <w:pPr>
              <w:jc w:val="center"/>
              <w:ind w:left="674"/>
              <w:spacing w:after="0"/>
              <w:rPr>
                <w:sz w:val="20"/>
                <w:szCs w:val="20"/>
                <w:color w:val="auto"/>
              </w:rPr>
            </w:pPr>
            <w:r>
              <w:rPr>
                <w:rFonts w:ascii="Arial" w:cs="Arial" w:eastAsia="Arial" w:hAnsi="Arial"/>
                <w:sz w:val="18"/>
                <w:szCs w:val="18"/>
                <w:color w:val="auto"/>
                <w:w w:val="88"/>
              </w:rPr>
              <w:t>1,100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center"/>
              <w:ind w:left="634"/>
              <w:spacing w:after="0"/>
              <w:rPr>
                <w:sz w:val="20"/>
                <w:szCs w:val="20"/>
                <w:color w:val="auto"/>
              </w:rPr>
            </w:pPr>
            <w:r>
              <w:rPr>
                <w:rFonts w:ascii="Arial" w:cs="Arial" w:eastAsia="Arial" w:hAnsi="Arial"/>
                <w:sz w:val="18"/>
                <w:szCs w:val="18"/>
                <w:color w:val="auto"/>
                <w:w w:val="91"/>
              </w:rPr>
              <w:t>(1,145)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(1,960)</w:t>
            </w:r>
          </w:p>
        </w:tc>
        <w:tc>
          <w:tcPr>
            <w:tcW w:w="0" w:type="dxa"/>
            <w:vAlign w:val="bottom"/>
          </w:tcPr>
          <w:p>
            <w:pPr>
              <w:spacing w:after="0"/>
              <w:rPr>
                <w:sz w:val="1"/>
                <w:szCs w:val="1"/>
                <w:color w:val="auto"/>
              </w:rPr>
            </w:pPr>
          </w:p>
        </w:tc>
      </w:tr>
      <w:tr>
        <w:trPr>
          <w:trHeight w:val="223"/>
        </w:trPr>
        <w:tc>
          <w:tcPr>
            <w:tcW w:w="6440" w:type="dxa"/>
            <w:vAlign w:val="bottom"/>
          </w:tcPr>
          <w:p>
            <w:pPr>
              <w:ind w:left="20"/>
              <w:spacing w:after="0"/>
              <w:rPr>
                <w:sz w:val="20"/>
                <w:szCs w:val="20"/>
                <w:color w:val="auto"/>
              </w:rPr>
            </w:pPr>
            <w:r>
              <w:rPr>
                <w:rFonts w:ascii="Arial" w:cs="Arial" w:eastAsia="Arial" w:hAnsi="Arial"/>
                <w:sz w:val="18"/>
                <w:szCs w:val="18"/>
                <w:color w:val="auto"/>
              </w:rPr>
              <w:t>Balance at September 26, 2020</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center"/>
              <w:ind w:left="674"/>
              <w:spacing w:after="0"/>
              <w:rPr>
                <w:sz w:val="20"/>
                <w:szCs w:val="20"/>
                <w:color w:val="auto"/>
              </w:rPr>
            </w:pPr>
            <w:r>
              <w:rPr>
                <w:rFonts w:ascii="Arial" w:cs="Arial" w:eastAsia="Arial" w:hAnsi="Arial"/>
                <w:sz w:val="18"/>
                <w:szCs w:val="18"/>
                <w:color w:val="auto"/>
                <w:w w:val="88"/>
              </w:rPr>
              <w:t>1,091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1,680</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The following presents the restructuring costs by line item within our accompanying unaudited condensed consolidated statements of income and comprehensive income:</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80" w:type="dxa"/>
            <w:vAlign w:val="bottom"/>
            <w:gridSpan w:val="5"/>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6"/>
                <w:szCs w:val="16"/>
                <w:color w:val="auto"/>
              </w:rPr>
            </w:pPr>
          </w:p>
        </w:tc>
        <w:tc>
          <w:tcPr>
            <w:tcW w:w="2380" w:type="dxa"/>
            <w:vAlign w:val="bottom"/>
            <w:gridSpan w:val="4"/>
          </w:tcPr>
          <w:p>
            <w:pPr>
              <w:jc w:val="right"/>
              <w:ind w:right="596"/>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34"/>
        </w:trPr>
        <w:tc>
          <w:tcPr>
            <w:tcW w:w="61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ind w:left="40"/>
              <w:spacing w:after="0" w:line="135" w:lineRule="exact"/>
              <w:rPr>
                <w:sz w:val="20"/>
                <w:szCs w:val="20"/>
                <w:color w:val="auto"/>
              </w:rPr>
            </w:pPr>
            <w:r>
              <w:rPr>
                <w:rFonts w:ascii="Arial" w:cs="Arial" w:eastAsia="Arial" w:hAnsi="Arial"/>
                <w:sz w:val="14"/>
                <w:szCs w:val="14"/>
                <w:b w:val="1"/>
                <w:bCs w:val="1"/>
                <w:color w:val="auto"/>
              </w:rPr>
              <w:t>September 26,</w:t>
            </w: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76"/>
              <w:spacing w:after="0" w:line="135" w:lineRule="exact"/>
              <w:rPr>
                <w:sz w:val="20"/>
                <w:szCs w:val="20"/>
                <w:color w:val="auto"/>
              </w:rPr>
            </w:pPr>
            <w:r>
              <w:rPr>
                <w:rFonts w:ascii="Arial" w:cs="Arial" w:eastAsia="Arial" w:hAnsi="Arial"/>
                <w:sz w:val="14"/>
                <w:szCs w:val="14"/>
                <w:b w:val="1"/>
                <w:bCs w:val="1"/>
                <w:color w:val="auto"/>
                <w:w w:val="91"/>
              </w:rPr>
              <w:t>September 28,</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ind w:left="40"/>
              <w:spacing w:after="0" w:line="135" w:lineRule="exact"/>
              <w:rPr>
                <w:sz w:val="20"/>
                <w:szCs w:val="20"/>
                <w:color w:val="auto"/>
              </w:rPr>
            </w:pPr>
            <w:r>
              <w:rPr>
                <w:rFonts w:ascii="Arial" w:cs="Arial" w:eastAsia="Arial" w:hAnsi="Arial"/>
                <w:sz w:val="14"/>
                <w:szCs w:val="14"/>
                <w:b w:val="1"/>
                <w:bCs w:val="1"/>
                <w:color w:val="auto"/>
              </w:rPr>
              <w:t>September 26,</w:t>
            </w: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76"/>
              <w:spacing w:after="0" w:line="135" w:lineRule="exact"/>
              <w:rPr>
                <w:sz w:val="20"/>
                <w:szCs w:val="20"/>
                <w:color w:val="auto"/>
              </w:rPr>
            </w:pPr>
            <w:r>
              <w:rPr>
                <w:rFonts w:ascii="Arial" w:cs="Arial" w:eastAsia="Arial" w:hAnsi="Arial"/>
                <w:sz w:val="14"/>
                <w:szCs w:val="14"/>
                <w:b w:val="1"/>
                <w:bCs w:val="1"/>
                <w:color w:val="auto"/>
                <w:w w:val="91"/>
              </w:rPr>
              <w:t>September 28,</w:t>
            </w:r>
          </w:p>
        </w:tc>
        <w:tc>
          <w:tcPr>
            <w:tcW w:w="0" w:type="dxa"/>
            <w:vAlign w:val="bottom"/>
          </w:tcPr>
          <w:p>
            <w:pPr>
              <w:spacing w:after="0"/>
              <w:rPr>
                <w:sz w:val="1"/>
                <w:szCs w:val="1"/>
                <w:color w:val="auto"/>
              </w:rPr>
            </w:pPr>
          </w:p>
        </w:tc>
      </w:tr>
      <w:tr>
        <w:trPr>
          <w:trHeight w:val="188"/>
        </w:trPr>
        <w:tc>
          <w:tcPr>
            <w:tcW w:w="61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4"/>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1,301</w:t>
            </w:r>
          </w:p>
        </w:tc>
        <w:tc>
          <w:tcPr>
            <w:tcW w:w="0" w:type="dxa"/>
            <w:vAlign w:val="bottom"/>
          </w:tcPr>
          <w:p>
            <w:pPr>
              <w:spacing w:after="0"/>
              <w:rPr>
                <w:sz w:val="1"/>
                <w:szCs w:val="1"/>
                <w:color w:val="auto"/>
              </w:rPr>
            </w:pPr>
          </w:p>
        </w:tc>
      </w:tr>
      <w:tr>
        <w:trPr>
          <w:trHeight w:val="223"/>
        </w:trPr>
        <w:tc>
          <w:tcPr>
            <w:tcW w:w="6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2,312</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7"/>
          <w:szCs w:val="17"/>
          <w:color w:val="auto"/>
        </w:rPr>
        <w:t>As of September 26, 2020, the Company had a restructuring liability of $1.7 million, of which $1.2 million is payable within the next twelve months.</w:t>
      </w:r>
    </w:p>
    <w:p>
      <w:pPr>
        <w:spacing w:after="0" w:line="264"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 xml:space="preserve">In addition to the restructuring costs included in the table above, the Company also incurred costs that do not constitute restructuring under ASC 420, </w:t>
      </w:r>
      <w:r>
        <w:rPr>
          <w:rFonts w:ascii="Arial" w:cs="Arial" w:eastAsia="Arial" w:hAnsi="Arial"/>
          <w:sz w:val="16"/>
          <w:szCs w:val="16"/>
          <w:i w:val="1"/>
          <w:iCs w:val="1"/>
          <w:color w:val="auto"/>
        </w:rPr>
        <w:t>Exit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Disposal Cost Obligations, </w:t>
      </w:r>
      <w:r>
        <w:rPr>
          <w:rFonts w:ascii="Arial" w:cs="Arial" w:eastAsia="Arial" w:hAnsi="Arial"/>
          <w:sz w:val="16"/>
          <w:szCs w:val="16"/>
          <w:color w:val="auto"/>
        </w:rPr>
        <w:t>and which the Company instead refers to as turnaround costs. These costs consist primarily of expenditures directly related</w:t>
      </w:r>
      <w:r>
        <w:rPr>
          <w:rFonts w:ascii="Arial" w:cs="Arial" w:eastAsia="Arial" w:hAnsi="Arial"/>
          <w:sz w:val="16"/>
          <w:szCs w:val="16"/>
          <w:i w:val="1"/>
          <w:iCs w:val="1"/>
          <w:color w:val="auto"/>
        </w:rPr>
        <w:t xml:space="preserve"> </w:t>
      </w:r>
      <w:r>
        <w:rPr>
          <w:rFonts w:ascii="Arial" w:cs="Arial" w:eastAsia="Arial" w:hAnsi="Arial"/>
          <w:sz w:val="16"/>
          <w:szCs w:val="16"/>
          <w:color w:val="auto"/>
        </w:rPr>
        <w:t>to the restructuring actions and include program management costs associated with the 2020 Program and operational performance improvement initiatives.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The tables below present restructuring and turnaround costs by reportable segment: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00" w:type="dxa"/>
            <w:vAlign w:val="bottom"/>
          </w:tcPr>
          <w:p>
            <w:pPr>
              <w:ind w:left="20"/>
              <w:spacing w:after="0"/>
              <w:rPr>
                <w:sz w:val="20"/>
                <w:szCs w:val="20"/>
                <w:color w:val="auto"/>
              </w:rPr>
            </w:pPr>
            <w:r>
              <w:rPr>
                <w:rFonts w:ascii="Arial" w:cs="Arial" w:eastAsia="Arial" w:hAnsi="Arial"/>
                <w:sz w:val="18"/>
                <w:szCs w:val="18"/>
                <w:b w:val="1"/>
                <w:bCs w:val="1"/>
                <w:color w:val="auto"/>
              </w:rPr>
              <w:t>Restructuring costs</w:t>
            </w:r>
          </w:p>
        </w:tc>
        <w:tc>
          <w:tcPr>
            <w:tcW w:w="140" w:type="dxa"/>
            <w:vAlign w:val="bottom"/>
          </w:tcPr>
          <w:p>
            <w:pPr>
              <w:spacing w:after="0"/>
              <w:rPr>
                <w:sz w:val="20"/>
                <w:szCs w:val="20"/>
                <w:color w:val="auto"/>
              </w:rPr>
            </w:pPr>
          </w:p>
        </w:tc>
        <w:tc>
          <w:tcPr>
            <w:tcW w:w="2480" w:type="dxa"/>
            <w:vAlign w:val="bottom"/>
            <w:gridSpan w:val="5"/>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20"/>
                <w:szCs w:val="20"/>
                <w:color w:val="auto"/>
              </w:rPr>
            </w:pPr>
          </w:p>
        </w:tc>
        <w:tc>
          <w:tcPr>
            <w:tcW w:w="2380" w:type="dxa"/>
            <w:vAlign w:val="bottom"/>
            <w:gridSpan w:val="4"/>
          </w:tcPr>
          <w:p>
            <w:pPr>
              <w:jc w:val="right"/>
              <w:ind w:right="595"/>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29"/>
        </w:trPr>
        <w:tc>
          <w:tcPr>
            <w:tcW w:w="61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91"/>
              </w:rPr>
              <w:t>September 26,</w:t>
            </w: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center"/>
              <w:ind w:right="55"/>
              <w:spacing w:after="0" w:line="129" w:lineRule="exact"/>
              <w:rPr>
                <w:sz w:val="20"/>
                <w:szCs w:val="20"/>
                <w:color w:val="auto"/>
              </w:rPr>
            </w:pPr>
            <w:r>
              <w:rPr>
                <w:rFonts w:ascii="Arial" w:cs="Arial" w:eastAsia="Arial" w:hAnsi="Arial"/>
                <w:sz w:val="14"/>
                <w:szCs w:val="14"/>
                <w:b w:val="1"/>
                <w:bCs w:val="1"/>
                <w:color w:val="auto"/>
                <w:w w:val="91"/>
              </w:rPr>
              <w:t>September 28,</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89"/>
              </w:rPr>
              <w:t>September 26,</w:t>
            </w: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center"/>
              <w:ind w:right="55"/>
              <w:spacing w:after="0" w:line="129" w:lineRule="exact"/>
              <w:rPr>
                <w:sz w:val="20"/>
                <w:szCs w:val="20"/>
                <w:color w:val="auto"/>
              </w:rPr>
            </w:pPr>
            <w:r>
              <w:rPr>
                <w:rFonts w:ascii="Arial" w:cs="Arial" w:eastAsia="Arial" w:hAnsi="Arial"/>
                <w:sz w:val="14"/>
                <w:szCs w:val="14"/>
                <w:b w:val="1"/>
                <w:bCs w:val="1"/>
                <w:color w:val="auto"/>
                <w:w w:val="91"/>
              </w:rPr>
              <w:t>September 28,</w:t>
            </w:r>
          </w:p>
        </w:tc>
        <w:tc>
          <w:tcPr>
            <w:tcW w:w="0" w:type="dxa"/>
            <w:vAlign w:val="bottom"/>
          </w:tcPr>
          <w:p>
            <w:pPr>
              <w:spacing w:after="0"/>
              <w:rPr>
                <w:sz w:val="1"/>
                <w:szCs w:val="1"/>
                <w:color w:val="auto"/>
              </w:rPr>
            </w:pPr>
          </w:p>
        </w:tc>
      </w:tr>
      <w:tr>
        <w:trPr>
          <w:trHeight w:val="188"/>
        </w:trPr>
        <w:tc>
          <w:tcPr>
            <w:tcW w:w="6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224"/>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Plasma</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Blood Center</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Hospital</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29"/>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1,391</w:t>
            </w:r>
          </w:p>
        </w:tc>
        <w:tc>
          <w:tcPr>
            <w:tcW w:w="0" w:type="dxa"/>
            <w:vAlign w:val="bottom"/>
          </w:tcPr>
          <w:p>
            <w:pPr>
              <w:spacing w:after="0"/>
              <w:rPr>
                <w:sz w:val="1"/>
                <w:szCs w:val="1"/>
                <w:color w:val="auto"/>
              </w:rPr>
            </w:pPr>
          </w:p>
        </w:tc>
      </w:tr>
      <w:tr>
        <w:trPr>
          <w:trHeight w:val="223"/>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2,312</w:t>
            </w:r>
          </w:p>
        </w:tc>
        <w:tc>
          <w:tcPr>
            <w:tcW w:w="0" w:type="dxa"/>
            <w:vAlign w:val="bottom"/>
          </w:tcPr>
          <w:p>
            <w:pPr>
              <w:spacing w:after="0"/>
              <w:rPr>
                <w:sz w:val="1"/>
                <w:szCs w:val="1"/>
                <w:color w:val="auto"/>
              </w:rPr>
            </w:pPr>
          </w:p>
        </w:tc>
      </w:tr>
      <w:tr>
        <w:trPr>
          <w:trHeight w:val="479"/>
        </w:trPr>
        <w:tc>
          <w:tcPr>
            <w:tcW w:w="6100" w:type="dxa"/>
            <w:vAlign w:val="bottom"/>
          </w:tcPr>
          <w:p>
            <w:pPr>
              <w:ind w:left="20"/>
              <w:spacing w:after="0"/>
              <w:rPr>
                <w:sz w:val="20"/>
                <w:szCs w:val="20"/>
                <w:color w:val="auto"/>
              </w:rPr>
            </w:pPr>
            <w:r>
              <w:rPr>
                <w:rFonts w:ascii="Arial" w:cs="Arial" w:eastAsia="Arial" w:hAnsi="Arial"/>
                <w:sz w:val="18"/>
                <w:szCs w:val="18"/>
                <w:b w:val="1"/>
                <w:bCs w:val="1"/>
                <w:color w:val="auto"/>
              </w:rPr>
              <w:t>Turnaround costs</w:t>
            </w:r>
          </w:p>
        </w:tc>
        <w:tc>
          <w:tcPr>
            <w:tcW w:w="140" w:type="dxa"/>
            <w:vAlign w:val="bottom"/>
          </w:tcPr>
          <w:p>
            <w:pPr>
              <w:spacing w:after="0"/>
              <w:rPr>
                <w:sz w:val="24"/>
                <w:szCs w:val="24"/>
                <w:color w:val="auto"/>
              </w:rPr>
            </w:pPr>
          </w:p>
        </w:tc>
        <w:tc>
          <w:tcPr>
            <w:tcW w:w="2480" w:type="dxa"/>
            <w:vAlign w:val="bottom"/>
            <w:gridSpan w:val="5"/>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24"/>
                <w:szCs w:val="24"/>
                <w:color w:val="auto"/>
              </w:rPr>
            </w:pPr>
          </w:p>
        </w:tc>
        <w:tc>
          <w:tcPr>
            <w:tcW w:w="2380" w:type="dxa"/>
            <w:vAlign w:val="bottom"/>
            <w:gridSpan w:val="4"/>
          </w:tcPr>
          <w:p>
            <w:pPr>
              <w:jc w:val="right"/>
              <w:ind w:right="595"/>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28"/>
        </w:trPr>
        <w:tc>
          <w:tcPr>
            <w:tcW w:w="61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91"/>
              </w:rPr>
              <w:t>September 26,</w:t>
            </w: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center"/>
              <w:ind w:right="55"/>
              <w:spacing w:after="0" w:line="129" w:lineRule="exact"/>
              <w:rPr>
                <w:sz w:val="20"/>
                <w:szCs w:val="20"/>
                <w:color w:val="auto"/>
              </w:rPr>
            </w:pPr>
            <w:r>
              <w:rPr>
                <w:rFonts w:ascii="Arial" w:cs="Arial" w:eastAsia="Arial" w:hAnsi="Arial"/>
                <w:sz w:val="14"/>
                <w:szCs w:val="14"/>
                <w:b w:val="1"/>
                <w:bCs w:val="1"/>
                <w:color w:val="auto"/>
                <w:w w:val="91"/>
              </w:rPr>
              <w:t>September 28,</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89"/>
              </w:rPr>
              <w:t>September 26,</w:t>
            </w: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center"/>
              <w:ind w:right="55"/>
              <w:spacing w:after="0" w:line="129" w:lineRule="exact"/>
              <w:rPr>
                <w:sz w:val="20"/>
                <w:szCs w:val="20"/>
                <w:color w:val="auto"/>
              </w:rPr>
            </w:pPr>
            <w:r>
              <w:rPr>
                <w:rFonts w:ascii="Arial" w:cs="Arial" w:eastAsia="Arial" w:hAnsi="Arial"/>
                <w:sz w:val="14"/>
                <w:szCs w:val="14"/>
                <w:b w:val="1"/>
                <w:bCs w:val="1"/>
                <w:color w:val="auto"/>
                <w:w w:val="91"/>
              </w:rPr>
              <w:t>September 28,</w:t>
            </w:r>
          </w:p>
        </w:tc>
        <w:tc>
          <w:tcPr>
            <w:tcW w:w="0" w:type="dxa"/>
            <w:vAlign w:val="bottom"/>
          </w:tcPr>
          <w:p>
            <w:pPr>
              <w:spacing w:after="0"/>
              <w:rPr>
                <w:sz w:val="1"/>
                <w:szCs w:val="1"/>
                <w:color w:val="auto"/>
              </w:rPr>
            </w:pPr>
          </w:p>
        </w:tc>
      </w:tr>
      <w:tr>
        <w:trPr>
          <w:trHeight w:val="188"/>
        </w:trPr>
        <w:tc>
          <w:tcPr>
            <w:tcW w:w="6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224"/>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Plasma</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Blood Center</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Hospital</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3,393</w:t>
            </w:r>
          </w:p>
        </w:tc>
        <w:tc>
          <w:tcPr>
            <w:tcW w:w="0" w:type="dxa"/>
            <w:vAlign w:val="bottom"/>
          </w:tcPr>
          <w:p>
            <w:pPr>
              <w:spacing w:after="0"/>
              <w:rPr>
                <w:sz w:val="1"/>
                <w:szCs w:val="1"/>
                <w:color w:val="auto"/>
              </w:rPr>
            </w:pPr>
          </w:p>
        </w:tc>
      </w:tr>
      <w:tr>
        <w:trPr>
          <w:trHeight w:val="223"/>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3,472</w:t>
            </w:r>
          </w:p>
        </w:tc>
        <w:tc>
          <w:tcPr>
            <w:tcW w:w="0" w:type="dxa"/>
            <w:vAlign w:val="bottom"/>
          </w:tcPr>
          <w:p>
            <w:pPr>
              <w:spacing w:after="0"/>
              <w:rPr>
                <w:sz w:val="1"/>
                <w:szCs w:val="1"/>
                <w:color w:val="auto"/>
              </w:rPr>
            </w:pPr>
          </w:p>
        </w:tc>
      </w:tr>
      <w:tr>
        <w:trPr>
          <w:trHeight w:val="250"/>
        </w:trPr>
        <w:tc>
          <w:tcPr>
            <w:tcW w:w="6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restructuring and turnaround costs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5,784</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4. ACQUISITION</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61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20"/>
        <w:spacing w:after="0" w:line="262" w:lineRule="auto"/>
        <w:rPr>
          <w:sz w:val="20"/>
          <w:szCs w:val="20"/>
          <w:color w:val="auto"/>
        </w:rPr>
      </w:pPr>
      <w:r>
        <w:rPr>
          <w:rFonts w:ascii="Arial" w:cs="Arial" w:eastAsia="Arial" w:hAnsi="Arial"/>
          <w:sz w:val="16"/>
          <w:szCs w:val="16"/>
          <w:color w:val="auto"/>
        </w:rPr>
        <w:t>On April 1, 2020, the Company acquired all of the outstanding equity of enicor GmbH ("enicor"), the manufacturer of ClotPro</w:t>
      </w:r>
      <w:r>
        <w:rPr>
          <w:rFonts w:ascii="Arial" w:cs="Arial" w:eastAsia="Arial" w:hAnsi="Arial"/>
          <w:sz w:val="20"/>
          <w:szCs w:val="20"/>
          <w:color w:val="auto"/>
          <w:vertAlign w:val="superscript"/>
        </w:rPr>
        <w:t>®</w:t>
      </w:r>
      <w:r>
        <w:rPr>
          <w:rFonts w:ascii="Arial" w:cs="Arial" w:eastAsia="Arial" w:hAnsi="Arial"/>
          <w:sz w:val="16"/>
          <w:szCs w:val="16"/>
          <w:color w:val="auto"/>
        </w:rPr>
        <w:t>, a new generation whole blood coagulation testing system that is currently available in select European and Asia Pacific markets, for total consideration of $20.5 million, which consisted of upfront payments of $16.6 million and the fair value of contingent consideration of $3.9 million. The contingent consideration, which could total a maximum of $4.5 million, consists of payments related to the achievement of certain revenue and regulatory milestones. The acquisition of this viscoelastic diagnostic device augments the Company's portfolio of hemostasis analyzers within the Hospital business unit.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Price Allocation</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Company accounted for the acquisition of enicor as a business combination, and in accordance with FASB ASC Topic 805, </w:t>
      </w:r>
      <w:r>
        <w:rPr>
          <w:rFonts w:ascii="Arial" w:cs="Arial" w:eastAsia="Arial" w:hAnsi="Arial"/>
          <w:sz w:val="16"/>
          <w:szCs w:val="16"/>
          <w:i w:val="1"/>
          <w:iCs w:val="1"/>
          <w:color w:val="auto"/>
        </w:rPr>
        <w:t>Business Combinations</w:t>
      </w:r>
    </w:p>
    <w:p>
      <w:pPr>
        <w:spacing w:after="0" w:line="46"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Topic 805</w:t>
      </w:r>
      <w:r>
        <w:rPr>
          <w:rFonts w:ascii="Arial" w:cs="Arial" w:eastAsia="Arial" w:hAnsi="Arial"/>
          <w:sz w:val="17"/>
          <w:szCs w:val="17"/>
          <w:color w:val="auto"/>
        </w:rPr>
        <w:t>), recorded the assets acquired and liabilities assumed at their respective fair values as of the acquisition date. The final determination of the fair value of certain assets and liabilities will be completed within the measurement period as required by Topic 805. As of September 26, 2020, the valuation studies necessary to determine the fair market value of the assets acquired and liabilities assumed are preliminary, including the projection of the underlying cash flows used to determine the fair value of the identified tangible, intangible and financial assets and liabilities.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81" w:right="339" w:bottom="1440" w:gutter="0" w:footer="0" w:header="0"/>
        </w:sectPr>
      </w:pPr>
    </w:p>
    <w:bookmarkStart w:id="9" w:name="page10"/>
    <w:bookmarkEnd w:id="9"/>
    <w:p>
      <w:pPr>
        <w:ind w:right="580"/>
        <w:spacing w:after="0" w:line="277" w:lineRule="auto"/>
        <w:rPr>
          <w:sz w:val="20"/>
          <w:szCs w:val="20"/>
          <w:color w:val="auto"/>
        </w:rPr>
      </w:pPr>
      <w:r>
        <w:rPr>
          <w:rFonts w:ascii="Arial" w:cs="Arial" w:eastAsia="Arial" w:hAnsi="Arial"/>
          <w:sz w:val="18"/>
          <w:szCs w:val="18"/>
          <w:color w:val="auto"/>
        </w:rPr>
        <w:t>The following amounts represent the preliminary determination of the fair value of the identifiable assets acquired and liabilities assumed for enicor completed during the first six months of fiscal 2021:</w:t>
      </w:r>
    </w:p>
    <w:p>
      <w:pPr>
        <w:spacing w:after="0" w:line="229" w:lineRule="exact"/>
        <w:rPr>
          <w:sz w:val="20"/>
          <w:szCs w:val="20"/>
          <w:color w:val="auto"/>
        </w:rPr>
      </w:pPr>
    </w:p>
    <w:p>
      <w:pPr>
        <w:ind w:left="20"/>
        <w:spacing w:after="0"/>
        <w:tabs>
          <w:tab w:leader="none" w:pos="9920" w:val="left"/>
        </w:tabs>
        <w:rPr>
          <w:sz w:val="20"/>
          <w:szCs w:val="20"/>
          <w:color w:val="auto"/>
        </w:rPr>
      </w:pPr>
      <w:r>
        <w:rPr>
          <w:rFonts w:ascii="Arial" w:cs="Arial" w:eastAsia="Arial" w:hAnsi="Arial"/>
          <w:sz w:val="14"/>
          <w:szCs w:val="14"/>
          <w:i w:val="1"/>
          <w:iCs w:val="1"/>
          <w:color w:val="auto"/>
        </w:rPr>
        <w:t>(In thousands)</w:t>
      </w:r>
      <w:r>
        <w:rPr>
          <w:sz w:val="20"/>
          <w:szCs w:val="20"/>
          <w:color w:val="auto"/>
        </w:rPr>
        <w:tab/>
      </w:r>
      <w:r>
        <w:rPr>
          <w:rFonts w:ascii="Arial" w:cs="Arial" w:eastAsia="Arial" w:hAnsi="Arial"/>
          <w:sz w:val="12"/>
          <w:szCs w:val="12"/>
          <w:b w:val="1"/>
          <w:bCs w:val="1"/>
          <w:color w:val="auto"/>
        </w:rPr>
        <w:t>September 26,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p>
      <w:pPr>
        <w:spacing w:after="0" w:line="3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current assets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Intangible assets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Total assets acquired</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Contingent consideration (current)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Contingent consideration (non-current)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Deferred tax liability</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ind w:left="1040" w:hanging="1033"/>
        <w:spacing w:after="0"/>
        <w:tabs>
          <w:tab w:leader="none" w:pos="1040" w:val="left"/>
        </w:tabs>
        <w:numPr>
          <w:ilvl w:val="0"/>
          <w:numId w:val="5"/>
        </w:numPr>
        <w:rPr>
          <w:rFonts w:ascii="Arial" w:cs="Arial" w:eastAsia="Arial" w:hAnsi="Arial"/>
          <w:sz w:val="15"/>
          <w:szCs w:val="15"/>
          <w:color w:val="auto"/>
        </w:rPr>
      </w:pPr>
      <w:r>
        <w:rPr>
          <w:rFonts w:ascii="Arial" w:cs="Arial" w:eastAsia="Arial" w:hAnsi="Arial"/>
          <w:sz w:val="15"/>
          <w:szCs w:val="15"/>
          <w:color w:val="auto"/>
        </w:rPr>
        <w:t>634</w:t>
      </w:r>
    </w:p>
    <w:p>
      <w:pPr>
        <w:spacing w:after="0" w:line="57" w:lineRule="exact"/>
        <w:rPr>
          <w:rFonts w:ascii="Arial" w:cs="Arial" w:eastAsia="Arial" w:hAnsi="Arial"/>
          <w:sz w:val="15"/>
          <w:szCs w:val="15"/>
          <w:color w:val="auto"/>
        </w:rPr>
      </w:pPr>
    </w:p>
    <w:p>
      <w:pPr>
        <w:ind w:left="1040"/>
        <w:spacing w:after="0"/>
        <w:rPr>
          <w:rFonts w:ascii="Arial" w:cs="Arial" w:eastAsia="Arial" w:hAnsi="Arial"/>
          <w:sz w:val="15"/>
          <w:szCs w:val="15"/>
          <w:color w:val="auto"/>
        </w:rPr>
      </w:pPr>
      <w:r>
        <w:rPr>
          <w:rFonts w:ascii="Arial" w:cs="Arial" w:eastAsia="Arial" w:hAnsi="Arial"/>
          <w:sz w:val="15"/>
          <w:szCs w:val="15"/>
          <w:color w:val="auto"/>
        </w:rPr>
        <w:t>685</w:t>
      </w:r>
    </w:p>
    <w:p>
      <w:pPr>
        <w:spacing w:after="0" w:line="57" w:lineRule="exact"/>
        <w:rPr>
          <w:rFonts w:ascii="Arial" w:cs="Arial" w:eastAsia="Arial" w:hAnsi="Arial"/>
          <w:sz w:val="15"/>
          <w:szCs w:val="15"/>
          <w:color w:val="auto"/>
        </w:rPr>
      </w:pPr>
    </w:p>
    <w:p>
      <w:pPr>
        <w:ind w:left="1040"/>
        <w:spacing w:after="0"/>
        <w:rPr>
          <w:rFonts w:ascii="Arial" w:cs="Arial" w:eastAsia="Arial" w:hAnsi="Arial"/>
          <w:sz w:val="15"/>
          <w:szCs w:val="15"/>
          <w:color w:val="auto"/>
        </w:rPr>
      </w:pPr>
      <w:r>
        <w:rPr>
          <w:rFonts w:ascii="Arial" w:cs="Arial" w:eastAsia="Arial" w:hAnsi="Arial"/>
          <w:sz w:val="15"/>
          <w:szCs w:val="15"/>
          <w:color w:val="auto"/>
        </w:rPr>
        <w:t>289</w:t>
      </w:r>
    </w:p>
    <w:p>
      <w:pPr>
        <w:spacing w:after="0" w:line="57"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14,090</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8,153</w:t>
      </w:r>
    </w:p>
    <w:p>
      <w:pPr>
        <w:spacing w:after="0" w:line="31" w:lineRule="exact"/>
        <w:rPr>
          <w:sz w:val="20"/>
          <w:szCs w:val="20"/>
          <w:color w:val="auto"/>
        </w:rPr>
      </w:pPr>
    </w:p>
    <w:p>
      <w:pPr>
        <w:ind w:left="820" w:hanging="813"/>
        <w:spacing w:after="0"/>
        <w:tabs>
          <w:tab w:leader="none" w:pos="820" w:val="left"/>
        </w:tabs>
        <w:numPr>
          <w:ilvl w:val="0"/>
          <w:numId w:val="6"/>
        </w:numPr>
        <w:rPr>
          <w:rFonts w:ascii="Arial" w:cs="Arial" w:eastAsia="Arial" w:hAnsi="Arial"/>
          <w:sz w:val="15"/>
          <w:szCs w:val="15"/>
          <w:b w:val="1"/>
          <w:bCs w:val="1"/>
          <w:color w:val="auto"/>
        </w:rPr>
      </w:pPr>
      <w:r>
        <w:rPr>
          <w:rFonts w:ascii="Arial" w:cs="Arial" w:eastAsia="Arial" w:hAnsi="Arial"/>
          <w:sz w:val="15"/>
          <w:szCs w:val="15"/>
          <w:b w:val="1"/>
          <w:bCs w:val="1"/>
          <w:color w:val="auto"/>
        </w:rPr>
        <w:t>23,851</w:t>
      </w:r>
    </w:p>
    <w:p>
      <w:pPr>
        <w:spacing w:after="0" w:line="74" w:lineRule="exact"/>
        <w:rPr>
          <w:rFonts w:ascii="Arial" w:cs="Arial" w:eastAsia="Arial" w:hAnsi="Arial"/>
          <w:sz w:val="15"/>
          <w:szCs w:val="15"/>
          <w:b w:val="1"/>
          <w:bCs w:val="1"/>
          <w:color w:val="auto"/>
        </w:rPr>
      </w:pPr>
    </w:p>
    <w:p>
      <w:pPr>
        <w:ind w:left="1040"/>
        <w:spacing w:after="0"/>
        <w:rPr>
          <w:rFonts w:ascii="Arial" w:cs="Arial" w:eastAsia="Arial" w:hAnsi="Arial"/>
          <w:sz w:val="15"/>
          <w:szCs w:val="15"/>
          <w:b w:val="1"/>
          <w:bCs w:val="1"/>
          <w:color w:val="auto"/>
        </w:rPr>
      </w:pPr>
      <w:r>
        <w:rPr>
          <w:rFonts w:ascii="Arial" w:cs="Arial" w:eastAsia="Arial" w:hAnsi="Arial"/>
          <w:sz w:val="15"/>
          <w:szCs w:val="15"/>
          <w:color w:val="auto"/>
        </w:rPr>
        <w:t>289</w:t>
      </w:r>
    </w:p>
    <w:p>
      <w:pPr>
        <w:spacing w:after="0" w:line="57" w:lineRule="exact"/>
        <w:rPr>
          <w:rFonts w:ascii="Arial" w:cs="Arial" w:eastAsia="Arial" w:hAnsi="Arial"/>
          <w:sz w:val="15"/>
          <w:szCs w:val="15"/>
          <w:b w:val="1"/>
          <w:bCs w:val="1"/>
          <w:color w:val="auto"/>
        </w:rPr>
      </w:pPr>
    </w:p>
    <w:p>
      <w:pPr>
        <w:ind w:left="1040"/>
        <w:spacing w:after="0"/>
        <w:rPr>
          <w:rFonts w:ascii="Arial" w:cs="Arial" w:eastAsia="Arial" w:hAnsi="Arial"/>
          <w:sz w:val="15"/>
          <w:szCs w:val="15"/>
          <w:b w:val="1"/>
          <w:bCs w:val="1"/>
          <w:color w:val="auto"/>
        </w:rPr>
      </w:pPr>
      <w:r>
        <w:rPr>
          <w:rFonts w:ascii="Arial" w:cs="Arial" w:eastAsia="Arial" w:hAnsi="Arial"/>
          <w:sz w:val="15"/>
          <w:szCs w:val="15"/>
          <w:color w:val="auto"/>
        </w:rPr>
        <w:t>504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-262890</wp:posOffset>
            </wp:positionV>
            <wp:extent cx="8826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82650" cy="8890"/>
                    </a:xfrm>
                    <a:prstGeom prst="rect">
                      <a:avLst/>
                    </a:prstGeom>
                    <a:noFill/>
                  </pic:spPr>
                </pic:pic>
              </a:graphicData>
            </a:graphic>
          </wp:anchor>
        </w:drawing>
      </w:r>
    </w:p>
    <w:p>
      <w:pPr>
        <w:spacing w:after="0" w:line="37"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3,416</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3,036</w:t>
      </w:r>
    </w:p>
    <w:p>
      <w:pPr>
        <w:spacing w:after="0" w:line="23" w:lineRule="exact"/>
        <w:rPr>
          <w:sz w:val="20"/>
          <w:szCs w:val="20"/>
          <w:color w:val="auto"/>
        </w:rPr>
      </w:pPr>
    </w:p>
    <w:p>
      <w:pPr>
        <w:sectPr>
          <w:pgSz w:w="11900" w:h="16838" w:orient="portrait"/>
          <w:cols w:equalWidth="0" w:num="2">
            <w:col w:w="9140" w:space="720"/>
            <w:col w:w="1380"/>
          </w:cols>
          <w:pgMar w:left="320" w:top="895"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9840" w:type="dxa"/>
            <w:vAlign w:val="bottom"/>
            <w:tcBorders>
              <w:bottom w:val="single" w:sz="8" w:color="CCEEFF"/>
            </w:tcBorders>
          </w:tcPr>
          <w:p>
            <w:pPr>
              <w:ind w:left="220"/>
              <w:spacing w:after="0"/>
              <w:rPr>
                <w:sz w:val="20"/>
                <w:szCs w:val="20"/>
                <w:color w:val="auto"/>
              </w:rPr>
            </w:pPr>
            <w:r>
              <w:rPr>
                <w:rFonts w:ascii="Arial" w:cs="Arial" w:eastAsia="Arial" w:hAnsi="Arial"/>
                <w:sz w:val="18"/>
                <w:szCs w:val="18"/>
                <w:b w:val="1"/>
                <w:bCs w:val="1"/>
                <w:color w:val="auto"/>
              </w:rPr>
              <w:t>Total liabilities assumed</w:t>
            </w: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7,245</w:t>
            </w:r>
          </w:p>
        </w:tc>
      </w:tr>
      <w:tr>
        <w:trPr>
          <w:trHeight w:val="248"/>
        </w:trPr>
        <w:tc>
          <w:tcPr>
            <w:tcW w:w="98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Net assets acquired</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16,606</w:t>
            </w:r>
          </w:p>
        </w:tc>
      </w:tr>
      <w:tr>
        <w:trPr>
          <w:trHeight w:val="20"/>
        </w:trPr>
        <w:tc>
          <w:tcPr>
            <w:tcW w:w="98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Company determined the identifiable intangible assets were completed technology, customer relationships and a trademark. The fair value of the intangible assets was estimated using the income approach, and the cash flow projections were discounted using a rate of 20%. The cash flows were based on estimates used to price the transaction, and the discount rates applied were benchmarked with reference to the implied rate of return from the transaction model and the weighted average cost of capital. The benefits of adding a viscoelastic diagnostic device to the Company’s portfolio of hemostasis analyzers within the Hospital business unit contributed to an acquisition price in excess of the fair value of net assets acquired for enicor, which resulted in the establishment of goodwill. In addition, the benefits of lower cost manufacturing and complementary sales channels also contributed to the establishment of goodwill for this acquisition. None of the goodwill is expected to be deductible for income tax purposes.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acquired consist of the following:</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4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Pr>
          <w:p>
            <w:pPr>
              <w:spacing w:after="0"/>
              <w:rPr>
                <w:sz w:val="14"/>
                <w:szCs w:val="14"/>
                <w:color w:val="auto"/>
              </w:rPr>
            </w:pPr>
          </w:p>
        </w:tc>
        <w:tc>
          <w:tcPr>
            <w:tcW w:w="96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1780" w:type="dxa"/>
            <w:vAlign w:val="bottom"/>
          </w:tcPr>
          <w:p>
            <w:pPr>
              <w:jc w:val="right"/>
              <w:ind w:right="242"/>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88"/>
        </w:trPr>
        <w:tc>
          <w:tcPr>
            <w:tcW w:w="814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Amortization Period</w:t>
            </w:r>
          </w:p>
        </w:tc>
        <w:tc>
          <w:tcPr>
            <w:tcW w:w="0" w:type="dxa"/>
            <w:vAlign w:val="bottom"/>
          </w:tcPr>
          <w:p>
            <w:pPr>
              <w:spacing w:after="0"/>
              <w:rPr>
                <w:sz w:val="1"/>
                <w:szCs w:val="1"/>
                <w:color w:val="auto"/>
              </w:rPr>
            </w:pPr>
          </w:p>
        </w:tc>
      </w:tr>
      <w:tr>
        <w:trPr>
          <w:trHeight w:val="224"/>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Completed technology</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13,441</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347</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814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14,090</w:t>
            </w:r>
          </w:p>
        </w:tc>
        <w:tc>
          <w:tcPr>
            <w:tcW w:w="1900" w:type="dxa"/>
            <w:vAlign w:val="bottom"/>
            <w:gridSpan w:val="2"/>
          </w:tcPr>
          <w:p>
            <w:pPr>
              <w:jc w:val="right"/>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Acquisition-Related Costs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amount of acquisition-related costs incurred associated with the acquisition was $0.2 million for the three and six months ended September 26, 2020.</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Unaudited Pro Forma Financial Information</w:t>
      </w:r>
    </w:p>
    <w:p>
      <w:pPr>
        <w:spacing w:after="0" w:line="252"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Enicor had an immaterial impact to the Company's net revenues and net income for the period post acquisition through September 26, 2020. The unaudited estimated pro forma impact of the results of the acquisition of enicor as if it was consummated on March 29, 2020 are immaterial.</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5. DIVESTITURES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Fajardo, Puerto Rico Manufacturing Operations</w:t>
      </w:r>
    </w:p>
    <w:p>
      <w:pPr>
        <w:spacing w:after="0" w:line="252"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On June 29, 2020, the Company sold its Fajardo, Puerto Rico, manufacturing operations to GVS, S.p.A ("GVS"), a leading provider of advanced filtration solutions for critical applications for $15.5 million ($8.1 million, net of cash transferred). Under the terms of the agreement, Haemonetics retained all intellectual property rights to its proprietary blood filters currently manufactured at its Fajardo facility and GVS acquired certain assets consisting primarily of property, plant and equipment, inventory and cash and has assumed certain related liabilities. In connection with this transaction, the Company and GVS also entered into a long-term supply and development agreement that, among other things, grants GVS exclusive rights to manufacture and supply the blood filters currently produced at the Fajardo facility for Haemonetics. The Company also agreed to provide certain transition services to GVS, generally for a period of up to three months depending on the nature of the service.</w:t>
      </w:r>
    </w:p>
    <w:p>
      <w:pPr>
        <w:spacing w:after="0" w:line="193" w:lineRule="exact"/>
        <w:rPr>
          <w:sz w:val="20"/>
          <w:szCs w:val="20"/>
          <w:color w:val="auto"/>
        </w:rPr>
      </w:pPr>
    </w:p>
    <w:p>
      <w:pPr>
        <w:ind w:right="140"/>
        <w:spacing w:after="0" w:line="219" w:lineRule="auto"/>
        <w:rPr>
          <w:sz w:val="20"/>
          <w:szCs w:val="20"/>
          <w:color w:val="auto"/>
        </w:rPr>
      </w:pPr>
      <w:r>
        <w:rPr>
          <w:rFonts w:ascii="Arial" w:cs="Arial" w:eastAsia="Arial" w:hAnsi="Arial"/>
          <w:sz w:val="18"/>
          <w:szCs w:val="18"/>
          <w:color w:val="auto"/>
        </w:rPr>
        <w:t>As a result of this transaction, Haemonetics recognized a pre-tax impairment charge of $1.0 million in the first quarter of fiscal 2021 within the Blood Center business unit, as the carrying value of the assets and liabilities in the asset transfer exceeded the net of the $15.5 million of cash proceeds and an additional contingent liability of $1.5 million. The disposal group consisted of $3.3 million of inventory, $7.2 million of fixed assets, $3.1 million of other liabilities, and $0.4 million of goodwill allocated based on fair value to the business.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Blood Donor Management Software</w:t>
      </w:r>
    </w:p>
    <w:p>
      <w:pPr>
        <w:spacing w:after="0" w:line="252"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On July 1, 2020, the Company sold certain U.S. blood donor management software solution assets within its Blood Center business unit to the GPI Group ("GPI") for an upfront cash payment of $14.0 million ($13.6 million, net of working capital adjustments) and up to $14.0 million in additional consideration contingent on the achievement of commercial milestones over the twelve month period immediately following the closing of the transaction. The disposal group consisted $1.4 million of accounts receivable, $0.9 million of intangible assets, other liabilities of $1.8 million and $1.4 million of goodwill allocated based on fair value to the business. The Company recognized an $11.7 million gain upon closing of the transaction in the second quarter of fiscal 2021 and to the extent the additional contingent consideration is earned and realized in a future period then such amounts will be recorded as additional gains in such future period. The Company also agreed to provide certain transition services to GPI, generally for a period of one to nine months depending on the nature of the service.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Inlog Holdings France</w:t>
      </w:r>
    </w:p>
    <w:p>
      <w:pPr>
        <w:spacing w:after="0" w:line="252"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On September 18, 2020, the Company sold its wholly-owned subsidiary Inlog Holdings France SAS to Abénex Capital ("Abénex"), a private equity firm based in France for $30.5 million ($24.5 million, net of cash transferred), of which $29.2 million was received at closing and $1.3 million will be received one-year from the closing date. Inlog Holdings France SAS, through its subsidiary In Log SAS, develops and sells blood bank and hospital software solutions used predominantly in France and in several other countries outside of the U.S. The disposal group included $2.2 million of intangible assets, $2.2 million accounts receivable, $0.3 million other assets, $3.3 million of liabilities and $3.3 million of goodwill allocated based on the fair value of the business which impacted both the Blood Center and Hospital business units. The Company recognized a gain of $19.8 million upon closing of the transaction in the second quarter of fiscal 2021.</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256"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Company conducts business globally and reports its results of operations in a number of foreign jurisdictions in addition to the United States. The Company's reported tax rate is impacted by the jurisdictional mix of earnings in any given period as the foreign jurisdictions in which it operates have tax rates that differ from the U.S. statutory tax rate.</w:t>
      </w:r>
    </w:p>
    <w:p>
      <w:pPr>
        <w:spacing w:after="0" w:line="116"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 xml:space="preserve">For the three and six months ended September 26, 2020, the Company reported income tax expense of $6.9 million and $4.3 million, respectively, representing effective tax rates of 12.5% and 6.8%, respectively. The effective tax rate for the three and six months ended September 26, 2020 includes discrete tax benefits recognized from excess stock compensation deductions of $0.1 million and $4.1 million, respectively. The effective tax rates were also impacted by the jurisdictional mix of earnings including divestiture transactions. During the three and six months ended September 26, 2020, the Company sold its Fajardo, Puerto Rico manufacturing operations, certain U.S. blood donor management software solution assets, and its wholly-owned subsidiary Inlog Holdings France SAS. The tax expense on divestitures, including the associated valuation allowance impacts, were included in the computation of the annual effective tax rate. Refer to Note 5, </w:t>
      </w:r>
      <w:r>
        <w:rPr>
          <w:rFonts w:ascii="Arial" w:cs="Arial" w:eastAsia="Arial" w:hAnsi="Arial"/>
          <w:sz w:val="17"/>
          <w:szCs w:val="17"/>
          <w:i w:val="1"/>
          <w:iCs w:val="1"/>
          <w:color w:val="auto"/>
        </w:rPr>
        <w:t>Divestitures</w:t>
      </w:r>
      <w:r>
        <w:rPr>
          <w:rFonts w:ascii="Arial" w:cs="Arial" w:eastAsia="Arial" w:hAnsi="Arial"/>
          <w:sz w:val="17"/>
          <w:szCs w:val="17"/>
          <w:color w:val="auto"/>
        </w:rPr>
        <w:t>, for information pertaining to these divestitures.</w:t>
      </w:r>
    </w:p>
    <w:p>
      <w:pPr>
        <w:spacing w:after="0" w:line="20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For the three and six months ended September 28, 2019, the Company reported an income tax provision of $7.6 million and a benefit of $1.6 million, respectively, representing effective tax rates of 16.9% and (6.0)%, respectively. The effective tax rate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1" w:name="page12"/>
    <w:bookmarkEnd w:id="11"/>
    <w:p>
      <w:pPr>
        <w:jc w:val="both"/>
        <w:ind w:right="20"/>
        <w:spacing w:after="0" w:line="263" w:lineRule="auto"/>
        <w:rPr>
          <w:sz w:val="20"/>
          <w:szCs w:val="20"/>
          <w:color w:val="auto"/>
        </w:rPr>
      </w:pPr>
      <w:r>
        <w:rPr>
          <w:rFonts w:ascii="Arial" w:cs="Arial" w:eastAsia="Arial" w:hAnsi="Arial"/>
          <w:sz w:val="18"/>
          <w:szCs w:val="18"/>
          <w:color w:val="auto"/>
        </w:rPr>
        <w:t>for the six months ended September 28, 2019 was lower than the U.S. statutory tax rate primarily due to a discrete tax benefit recognized from excess stock compensation deductions of $4.4 million and $9.3 million, respectively. The effective tax rates were also impacted by the jurisdictional mix of earnings and the impact of the divestiture of the Union, South Carolina facility.</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EARNINGS PER SHARE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of the numerators and denominators of the basic and diluted earnings per share computations.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80" w:type="dxa"/>
            <w:vAlign w:val="bottom"/>
            <w:gridSpan w:val="5"/>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6"/>
                <w:szCs w:val="16"/>
                <w:color w:val="auto"/>
              </w:rPr>
            </w:pPr>
          </w:p>
        </w:tc>
        <w:tc>
          <w:tcPr>
            <w:tcW w:w="2380" w:type="dxa"/>
            <w:vAlign w:val="bottom"/>
            <w:gridSpan w:val="4"/>
          </w:tcPr>
          <w:p>
            <w:pPr>
              <w:jc w:val="right"/>
              <w:ind w:right="594"/>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35"/>
        </w:trPr>
        <w:tc>
          <w:tcPr>
            <w:tcW w:w="6100" w:type="dxa"/>
            <w:vAlign w:val="bottom"/>
            <w:vMerge w:val="restart"/>
          </w:tcPr>
          <w:p>
            <w:pPr>
              <w:ind w:left="60"/>
              <w:spacing w:after="0"/>
              <w:rPr>
                <w:sz w:val="20"/>
                <w:szCs w:val="20"/>
                <w:color w:val="auto"/>
              </w:rPr>
            </w:pPr>
            <w:r>
              <w:rPr>
                <w:rFonts w:ascii="Arial" w:cs="Arial" w:eastAsia="Arial" w:hAnsi="Arial"/>
                <w:sz w:val="14"/>
                <w:szCs w:val="14"/>
                <w:i w:val="1"/>
                <w:iCs w:val="1"/>
                <w:color w:val="auto"/>
              </w:rPr>
              <w:t>(In thousands, except per share amounts)</w:t>
            </w:r>
          </w:p>
        </w:tc>
        <w:tc>
          <w:tcPr>
            <w:tcW w:w="1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ind w:left="40"/>
              <w:spacing w:after="0" w:line="135" w:lineRule="exact"/>
              <w:rPr>
                <w:sz w:val="20"/>
                <w:szCs w:val="20"/>
                <w:color w:val="auto"/>
              </w:rPr>
            </w:pPr>
            <w:r>
              <w:rPr>
                <w:rFonts w:ascii="Arial" w:cs="Arial" w:eastAsia="Arial" w:hAnsi="Arial"/>
                <w:sz w:val="14"/>
                <w:szCs w:val="14"/>
                <w:b w:val="1"/>
                <w:bCs w:val="1"/>
                <w:color w:val="auto"/>
              </w:rPr>
              <w:t>September 26,</w:t>
            </w: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74"/>
              <w:spacing w:after="0" w:line="135" w:lineRule="exact"/>
              <w:rPr>
                <w:sz w:val="20"/>
                <w:szCs w:val="20"/>
                <w:color w:val="auto"/>
              </w:rPr>
            </w:pPr>
            <w:r>
              <w:rPr>
                <w:rFonts w:ascii="Arial" w:cs="Arial" w:eastAsia="Arial" w:hAnsi="Arial"/>
                <w:sz w:val="14"/>
                <w:szCs w:val="14"/>
                <w:b w:val="1"/>
                <w:bCs w:val="1"/>
                <w:color w:val="auto"/>
                <w:w w:val="91"/>
              </w:rPr>
              <w:t>September 28,</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ind w:left="40"/>
              <w:spacing w:after="0" w:line="135" w:lineRule="exact"/>
              <w:rPr>
                <w:sz w:val="20"/>
                <w:szCs w:val="20"/>
                <w:color w:val="auto"/>
              </w:rPr>
            </w:pPr>
            <w:r>
              <w:rPr>
                <w:rFonts w:ascii="Arial" w:cs="Arial" w:eastAsia="Arial" w:hAnsi="Arial"/>
                <w:sz w:val="14"/>
                <w:szCs w:val="14"/>
                <w:b w:val="1"/>
                <w:bCs w:val="1"/>
                <w:color w:val="auto"/>
              </w:rPr>
              <w:t>September 26,</w:t>
            </w: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74"/>
              <w:spacing w:after="0" w:line="135" w:lineRule="exact"/>
              <w:rPr>
                <w:sz w:val="20"/>
                <w:szCs w:val="20"/>
                <w:color w:val="auto"/>
              </w:rPr>
            </w:pPr>
            <w:r>
              <w:rPr>
                <w:rFonts w:ascii="Arial" w:cs="Arial" w:eastAsia="Arial" w:hAnsi="Arial"/>
                <w:sz w:val="14"/>
                <w:szCs w:val="14"/>
                <w:b w:val="1"/>
                <w:bCs w:val="1"/>
                <w:color w:val="auto"/>
                <w:w w:val="91"/>
              </w:rPr>
              <w:t>September 28,</w:t>
            </w:r>
          </w:p>
        </w:tc>
        <w:tc>
          <w:tcPr>
            <w:tcW w:w="0" w:type="dxa"/>
            <w:vAlign w:val="bottom"/>
          </w:tcPr>
          <w:p>
            <w:pPr>
              <w:spacing w:after="0"/>
              <w:rPr>
                <w:sz w:val="1"/>
                <w:szCs w:val="1"/>
                <w:color w:val="auto"/>
              </w:rPr>
            </w:pPr>
          </w:p>
        </w:tc>
      </w:tr>
      <w:tr>
        <w:trPr>
          <w:trHeight w:val="188"/>
        </w:trPr>
        <w:tc>
          <w:tcPr>
            <w:tcW w:w="61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4"/>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EPS</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48,101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37,486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58,628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29,007</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w:t>
            </w: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50,696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50,791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50,557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50,901</w:t>
            </w:r>
          </w:p>
        </w:tc>
        <w:tc>
          <w:tcPr>
            <w:tcW w:w="0" w:type="dxa"/>
            <w:vAlign w:val="bottom"/>
          </w:tcPr>
          <w:p>
            <w:pPr>
              <w:spacing w:after="0"/>
              <w:rPr>
                <w:sz w:val="1"/>
                <w:szCs w:val="1"/>
                <w:color w:val="auto"/>
              </w:rPr>
            </w:pPr>
          </w:p>
        </w:tc>
      </w:tr>
      <w:tr>
        <w:trPr>
          <w:trHeight w:val="223"/>
        </w:trPr>
        <w:tc>
          <w:tcPr>
            <w:tcW w:w="6100" w:type="dxa"/>
            <w:vAlign w:val="bottom"/>
          </w:tcPr>
          <w:p>
            <w:pPr>
              <w:ind w:left="20"/>
              <w:spacing w:after="0"/>
              <w:rPr>
                <w:sz w:val="20"/>
                <w:szCs w:val="20"/>
                <w:color w:val="auto"/>
              </w:rPr>
            </w:pPr>
            <w:r>
              <w:rPr>
                <w:rFonts w:ascii="Arial" w:cs="Arial" w:eastAsia="Arial" w:hAnsi="Arial"/>
                <w:sz w:val="18"/>
                <w:szCs w:val="18"/>
                <w:color w:val="auto"/>
              </w:rPr>
              <w:t>Basic income per share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0.95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0.74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0.57</w:t>
            </w:r>
          </w:p>
        </w:tc>
        <w:tc>
          <w:tcPr>
            <w:tcW w:w="0" w:type="dxa"/>
            <w:vAlign w:val="bottom"/>
          </w:tcPr>
          <w:p>
            <w:pPr>
              <w:spacing w:after="0"/>
              <w:rPr>
                <w:sz w:val="1"/>
                <w:szCs w:val="1"/>
                <w:color w:val="auto"/>
              </w:rPr>
            </w:pP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Diluted EPS</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48,101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37,486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58,628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29,007</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weighted average shares</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50,901</w:t>
            </w:r>
          </w:p>
        </w:tc>
        <w:tc>
          <w:tcPr>
            <w:tcW w:w="0" w:type="dxa"/>
            <w:vAlign w:val="bottom"/>
          </w:tcPr>
          <w:p>
            <w:pPr>
              <w:spacing w:after="0"/>
              <w:rPr>
                <w:sz w:val="1"/>
                <w:szCs w:val="1"/>
                <w:color w:val="auto"/>
              </w:rPr>
            </w:pPr>
          </w:p>
        </w:tc>
      </w:tr>
      <w:tr>
        <w:trPr>
          <w:trHeight w:val="230"/>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effect of common stock equivalents</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1,273</w:t>
            </w:r>
          </w:p>
        </w:tc>
        <w:tc>
          <w:tcPr>
            <w:tcW w:w="0" w:type="dxa"/>
            <w:vAlign w:val="bottom"/>
          </w:tcPr>
          <w:p>
            <w:pPr>
              <w:spacing w:after="0"/>
              <w:rPr>
                <w:sz w:val="1"/>
                <w:szCs w:val="1"/>
                <w:color w:val="auto"/>
              </w:rPr>
            </w:pPr>
          </w:p>
        </w:tc>
      </w:tr>
      <w:tr>
        <w:trPr>
          <w:trHeight w:val="223"/>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weighted average shares</w:t>
            </w: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51,093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52,046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51,170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52,174</w:t>
            </w:r>
          </w:p>
        </w:tc>
        <w:tc>
          <w:tcPr>
            <w:tcW w:w="0" w:type="dxa"/>
            <w:vAlign w:val="bottom"/>
          </w:tcPr>
          <w:p>
            <w:pPr>
              <w:spacing w:after="0"/>
              <w:rPr>
                <w:sz w:val="1"/>
                <w:szCs w:val="1"/>
                <w:color w:val="auto"/>
              </w:rPr>
            </w:pPr>
          </w:p>
        </w:tc>
      </w:tr>
      <w:tr>
        <w:trPr>
          <w:trHeight w:val="223"/>
        </w:trPr>
        <w:tc>
          <w:tcPr>
            <w:tcW w:w="6100" w:type="dxa"/>
            <w:vAlign w:val="bottom"/>
          </w:tcPr>
          <w:p>
            <w:pPr>
              <w:ind w:left="20"/>
              <w:spacing w:after="0"/>
              <w:rPr>
                <w:sz w:val="20"/>
                <w:szCs w:val="20"/>
                <w:color w:val="auto"/>
              </w:rPr>
            </w:pPr>
            <w:r>
              <w:rPr>
                <w:rFonts w:ascii="Arial" w:cs="Arial" w:eastAsia="Arial" w:hAnsi="Arial"/>
                <w:sz w:val="18"/>
                <w:szCs w:val="18"/>
                <w:color w:val="auto"/>
              </w:rPr>
              <w:t>Diluted income per share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0.94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0.72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0.56</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Basic earnings per share is calculated using the Company's weighted-average outstanding common stock. Diluted earnings per share is calculated using its weighted-average outstanding common stock including the dilutive effect of stock awards as determined under the treasury stock method. For the three and six months ended September 26, 2020, weighted average shares outstanding, assuming dilution, excludes the impact of 0.8 million and 0.6 million anti-dilutive shares, respectively. For the three and six months ended September 28, 2019, weighted average shares outstanding, assuming dilution, excludes the impact of 12,421 shares and 0.2 million anti-dilutive shares, respectively.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REVENUE</w:t>
      </w:r>
    </w:p>
    <w:p>
      <w:pPr>
        <w:spacing w:after="0" w:line="25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The Company's revenue recognition policy is to recognize revenues from product sales, software and services in accordance with ASC Topic 606, </w:t>
      </w:r>
      <w:r>
        <w:rPr>
          <w:rFonts w:ascii="Arial" w:cs="Arial" w:eastAsia="Arial" w:hAnsi="Arial"/>
          <w:sz w:val="17"/>
          <w:szCs w:val="17"/>
          <w:i w:val="1"/>
          <w:iCs w:val="1"/>
          <w:color w:val="auto"/>
        </w:rPr>
        <w:t>Revenue</w:t>
      </w:r>
      <w:r>
        <w:rPr>
          <w:rFonts w:ascii="Arial" w:cs="Arial" w:eastAsia="Arial" w:hAnsi="Arial"/>
          <w:sz w:val="17"/>
          <w:szCs w:val="17"/>
          <w:color w:val="auto"/>
        </w:rPr>
        <w:t xml:space="preserve"> </w:t>
      </w:r>
      <w:r>
        <w:rPr>
          <w:rFonts w:ascii="Arial" w:cs="Arial" w:eastAsia="Arial" w:hAnsi="Arial"/>
          <w:sz w:val="17"/>
          <w:szCs w:val="17"/>
          <w:i w:val="1"/>
          <w:iCs w:val="1"/>
          <w:color w:val="auto"/>
        </w:rPr>
        <w:t>from Contracts with Customers</w:t>
      </w:r>
      <w:r>
        <w:rPr>
          <w:rFonts w:ascii="Arial" w:cs="Arial" w:eastAsia="Arial" w:hAnsi="Arial"/>
          <w:sz w:val="17"/>
          <w:szCs w:val="17"/>
          <w:color w:val="auto"/>
        </w:rPr>
        <w:t>. Revenue is recognized when obligations under the terms of a contract with a customer are satisfied; this occurs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transfer of control of the Company’s goods or services. The Company considers revenue to be earned when all of the following criteria are met: it has a contract with a customer that creates enforceable rights and obligations; promised products or services are identified; the transaction price, or the consideration it expects to receive for transferring goods or providing services, is determinable and it has transferred control of the promised items to the customer. A promise in a contract to transfer a distinct good or service to the customer is identified as a performance obligation. A contract’s transaction price is allocated to each performance obligation and recognized as revenue when, or as, the performance obligation is satisfied. Some of the Company’s contracts have multiple performance obligations. For contracts with multiple performance obligations, the Company allocates the contract’s transaction price to each performance obligation based on the estimated standalone selling prices of the good or service in the contract. For goods or services for which observable standalone selling prices are not available, the Company uses an expected cost plus a margin approach to estimate the standalone selling price of each performance obligation.</w:t>
      </w:r>
    </w:p>
    <w:p>
      <w:pPr>
        <w:spacing w:after="0" w:line="209"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As of September 26, 2020, the Company had $19.1 million of its transaction price allocated to remaining performance obligations related to executed contracts with an original duration of one year or more. The Company expects to recognize approximately 61% of this amount as revenue within the next twelve months and the remaining balance thereafter.</w:t>
      </w:r>
    </w:p>
    <w:p>
      <w:pPr>
        <w:spacing w:after="0" w:line="21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timing of revenue recognition, billings and cash collections results in billed accounts receivable, unbilled receivables (contract assets), and customer advances and deposits (contract liabilities) on the condensed consolidated balance sheets. The difference in timing between billing and revenue recognition primarily occurs in software licensing arrangements, resulting in contract assets and contract liabilities.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2" w:name="page13"/>
    <w:bookmarkEnd w:id="12"/>
    <w:p>
      <w:pPr>
        <w:spacing w:after="0" w:line="263" w:lineRule="auto"/>
        <w:rPr>
          <w:sz w:val="20"/>
          <w:szCs w:val="20"/>
          <w:color w:val="auto"/>
        </w:rPr>
      </w:pPr>
      <w:r>
        <w:rPr>
          <w:rFonts w:ascii="Arial" w:cs="Arial" w:eastAsia="Arial" w:hAnsi="Arial"/>
          <w:sz w:val="18"/>
          <w:szCs w:val="18"/>
          <w:color w:val="auto"/>
        </w:rPr>
        <w:t>As of September 26, 2020 and March 28, 2020, the Company had contract assets of $6.7 million and $5.0 million, respectively. The change is primarily due to the delay in billings compared to the revenue recognized. Contract assets are classified as other current assets and other long-term assets on the condensed consolidated balance sheets.</w:t>
      </w:r>
    </w:p>
    <w:p>
      <w:pPr>
        <w:spacing w:after="0" w:line="21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As of September 26, 2020 and March 28, 2020, the Company had contract liabilities of $17.5 million and $20.8 million, respectively. During the three and six months ended September 26, 2020, the Company recognized $4.8 million and $13.7 million, respectively, of revenue that was included in the above March 28, 2020 contract liability balance. Contract liabilities decreased by an additional $2.5 million during the three and six months ended September 26, 2020 as a result of the sale of certain U.S. blood donor management software solution assets and the Company's wholly-owned subsidiary Inlog Holdings France SAS. Refer to Note 5, </w:t>
      </w:r>
      <w:r>
        <w:rPr>
          <w:rFonts w:ascii="Arial" w:cs="Arial" w:eastAsia="Arial" w:hAnsi="Arial"/>
          <w:sz w:val="18"/>
          <w:szCs w:val="18"/>
          <w:i w:val="1"/>
          <w:iCs w:val="1"/>
          <w:color w:val="auto"/>
        </w:rPr>
        <w:t>Divestitures</w:t>
      </w:r>
      <w:r>
        <w:rPr>
          <w:rFonts w:ascii="Arial" w:cs="Arial" w:eastAsia="Arial" w:hAnsi="Arial"/>
          <w:sz w:val="18"/>
          <w:szCs w:val="18"/>
          <w:color w:val="auto"/>
        </w:rPr>
        <w:t xml:space="preserve"> for additional detail. Contract liabilities are classified as other liabilities and other long-term liabilities on the condensed consolidated balance sheets.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INVENTORIES</w:t>
      </w:r>
    </w:p>
    <w:p>
      <w:pPr>
        <w:spacing w:after="0" w:line="25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Inventories are stated at the lower of cost or market and include the cost of material, labor and manufacturing overhead. Cost is determined using the first-in, first-out method.</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14"/>
                <w:szCs w:val="14"/>
                <w:color w:val="auto"/>
              </w:rPr>
            </w:pPr>
          </w:p>
        </w:tc>
        <w:tc>
          <w:tcPr>
            <w:tcW w:w="148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26,</w:t>
            </w:r>
          </w:p>
        </w:tc>
        <w:tc>
          <w:tcPr>
            <w:tcW w:w="280" w:type="dxa"/>
            <w:vAlign w:val="bottom"/>
          </w:tcPr>
          <w:p>
            <w:pPr>
              <w:spacing w:after="0"/>
              <w:rPr>
                <w:sz w:val="14"/>
                <w:szCs w:val="14"/>
                <w:color w:val="auto"/>
              </w:rPr>
            </w:pPr>
          </w:p>
        </w:tc>
        <w:tc>
          <w:tcPr>
            <w:tcW w:w="1300" w:type="dxa"/>
            <w:vAlign w:val="bottom"/>
          </w:tcPr>
          <w:p>
            <w:pPr>
              <w:jc w:val="right"/>
              <w:ind w:right="416"/>
              <w:spacing w:after="0"/>
              <w:rPr>
                <w:sz w:val="20"/>
                <w:szCs w:val="20"/>
                <w:color w:val="auto"/>
              </w:rPr>
            </w:pPr>
            <w:r>
              <w:rPr>
                <w:rFonts w:ascii="Arial" w:cs="Arial" w:eastAsia="Arial" w:hAnsi="Arial"/>
                <w:sz w:val="14"/>
                <w:szCs w:val="14"/>
                <w:b w:val="1"/>
                <w:bCs w:val="1"/>
                <w:color w:val="auto"/>
              </w:rPr>
              <w:t>March 28,</w:t>
            </w:r>
          </w:p>
        </w:tc>
        <w:tc>
          <w:tcPr>
            <w:tcW w:w="0" w:type="dxa"/>
            <w:vAlign w:val="bottom"/>
          </w:tcPr>
          <w:p>
            <w:pPr>
              <w:spacing w:after="0"/>
              <w:rPr>
                <w:sz w:val="1"/>
                <w:szCs w:val="1"/>
                <w:color w:val="auto"/>
              </w:rPr>
            </w:pPr>
          </w:p>
        </w:tc>
      </w:tr>
      <w:tr>
        <w:trPr>
          <w:trHeight w:val="188"/>
        </w:trPr>
        <w:tc>
          <w:tcPr>
            <w:tcW w:w="79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ind w:right="556"/>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jc w:val="right"/>
              <w:ind w:right="556"/>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7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82,349</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76,867</w:t>
            </w:r>
          </w:p>
        </w:tc>
        <w:tc>
          <w:tcPr>
            <w:tcW w:w="0" w:type="dxa"/>
            <w:vAlign w:val="bottom"/>
          </w:tcPr>
          <w:p>
            <w:pPr>
              <w:spacing w:after="0"/>
              <w:rPr>
                <w:sz w:val="1"/>
                <w:szCs w:val="1"/>
                <w:color w:val="auto"/>
              </w:rPr>
            </w:pPr>
          </w:p>
        </w:tc>
      </w:tr>
      <w:tr>
        <w:trPr>
          <w:trHeight w:val="229"/>
        </w:trPr>
        <w:tc>
          <w:tcPr>
            <w:tcW w:w="7900" w:type="dxa"/>
            <w:vAlign w:val="bottom"/>
            <w:gridSpan w:val="2"/>
          </w:tcPr>
          <w:p>
            <w:pPr>
              <w:ind w:left="20"/>
              <w:spacing w:after="0"/>
              <w:rPr>
                <w:sz w:val="20"/>
                <w:szCs w:val="20"/>
                <w:color w:val="auto"/>
              </w:rPr>
            </w:pPr>
            <w:r>
              <w:rPr>
                <w:rFonts w:ascii="Arial" w:cs="Arial" w:eastAsia="Arial" w:hAnsi="Arial"/>
                <w:sz w:val="18"/>
                <w:szCs w:val="18"/>
                <w:color w:val="auto"/>
              </w:rPr>
              <w:t>Work-in-process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13,890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11,021</w:t>
            </w:r>
          </w:p>
        </w:tc>
        <w:tc>
          <w:tcPr>
            <w:tcW w:w="0" w:type="dxa"/>
            <w:vAlign w:val="bottom"/>
          </w:tcPr>
          <w:p>
            <w:pPr>
              <w:spacing w:after="0"/>
              <w:rPr>
                <w:sz w:val="1"/>
                <w:szCs w:val="1"/>
                <w:color w:val="auto"/>
              </w:rPr>
            </w:pPr>
          </w:p>
        </w:tc>
      </w:tr>
      <w:tr>
        <w:trPr>
          <w:trHeight w:val="230"/>
        </w:trPr>
        <w:tc>
          <w:tcPr>
            <w:tcW w:w="7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208,985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182,388</w:t>
            </w:r>
          </w:p>
        </w:tc>
        <w:tc>
          <w:tcPr>
            <w:tcW w:w="0" w:type="dxa"/>
            <w:vAlign w:val="bottom"/>
          </w:tcPr>
          <w:p>
            <w:pPr>
              <w:spacing w:after="0"/>
              <w:rPr>
                <w:sz w:val="1"/>
                <w:szCs w:val="1"/>
                <w:color w:val="auto"/>
              </w:rPr>
            </w:pPr>
          </w:p>
        </w:tc>
      </w:tr>
      <w:tr>
        <w:trPr>
          <w:trHeight w:val="223"/>
        </w:trPr>
        <w:tc>
          <w:tcPr>
            <w:tcW w:w="790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inventories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305,224</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270,276</w:t>
            </w:r>
          </w:p>
        </w:tc>
        <w:tc>
          <w:tcPr>
            <w:tcW w:w="0" w:type="dxa"/>
            <w:vAlign w:val="bottom"/>
          </w:tcPr>
          <w:p>
            <w:pPr>
              <w:spacing w:after="0"/>
              <w:rPr>
                <w:sz w:val="1"/>
                <w:szCs w:val="1"/>
                <w:color w:val="auto"/>
              </w:rPr>
            </w:pPr>
          </w:p>
        </w:tc>
      </w:tr>
      <w:tr>
        <w:trPr>
          <w:trHeight w:val="21"/>
        </w:trPr>
        <w:tc>
          <w:tcPr>
            <w:tcW w:w="7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LEASES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 Activity</w:t>
      </w:r>
    </w:p>
    <w:p>
      <w:pPr>
        <w:spacing w:after="0" w:line="25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During the first quarter of fiscal 2021, the Company entered into a lease for manufacturing space in Clinton, PA. The Company's current manufacturing operations in Leetsdale, PA will be relocated. The lease term associated with the new manufacturing facility is 15 years and 7 months and includes two five year renewal options followed by one four year renewal option. During the first quarter of fiscal 2021, the Company recorded a right-of-use asset of $11.3 million and corresponding liabilities of $15.4 million upon commencement of the lease term in May 2020. In addition, the Company recorded a $4.1 million lease incentive receivable associated with this lease agreement.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 Activity</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Assets on the Company's balance sheet classified as Haemonetics equipment primarily consists of medical devices installed at customer sites but owned by Haemonetics. These devices are leased to customers under contractual arrangements that typically include an operating or sales-type lease as well as the purchase and consumption of a certain level of disposable products. Sales-type leases are not significant. Contract terms vary by customer and may include options to terminate the contract or options to extend the contract. Where devices are provided under operating lease arrangements, a substantial majority of the entire lease revenue is variable and subject to subsequent non-lease component (disposable products) sales. The allocation of revenue between the lease and non-lease components is based on stand-alone selling prices. Operating lease revenue represents less than 3 percent of the Company's total net sales.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NOTES PAYABLE AND LONG-TERM DEBT</w:t>
      </w:r>
    </w:p>
    <w:p>
      <w:pPr>
        <w:spacing w:after="0" w:line="256" w:lineRule="exact"/>
        <w:rPr>
          <w:sz w:val="20"/>
          <w:szCs w:val="20"/>
          <w:color w:val="auto"/>
        </w:rPr>
      </w:pPr>
    </w:p>
    <w:p>
      <w:pPr>
        <w:ind w:right="120"/>
        <w:spacing w:after="0" w:line="272" w:lineRule="auto"/>
        <w:rPr>
          <w:sz w:val="20"/>
          <w:szCs w:val="20"/>
          <w:color w:val="auto"/>
        </w:rPr>
      </w:pPr>
      <w:r>
        <w:rPr>
          <w:rFonts w:ascii="Arial" w:cs="Arial" w:eastAsia="Arial" w:hAnsi="Arial"/>
          <w:sz w:val="16"/>
          <w:szCs w:val="16"/>
          <w:color w:val="auto"/>
        </w:rPr>
        <w:t>On June 15, 2018, the Company entered into a credit agreement with certain lenders which provided for a $350.0 million term loan (the "Term Loan") and a $350.0 million revolving loan (the "Revolving Credit Facility" and together with the Term Loan, the "Credit Facilities"). The Credit Facilities expire on June 15, 2023. Interest on the Credit Facilities is established using LIBOR plus 1.13% - 1.75%, depending on the Company's leverage ratio. Under the Credit Facilities, the Company is required to maintain certain leverage and interest coverage ratios specified in the credit agreement as well as other customary non-financial affirmative and negative covenants. At September 26, 2020, $315.0 million was outstanding under the Term Loan with an effective interest rate of 1.4% and $150.0 million was outstanding on the Revolving Credit Facility. On October 8, 2020, subsequent to the balance sheet date, the Company reduced its borrowings on the Revolving Credit Facility by $150.0 million. The Company also has $26.2 million of uncommitted operating lines of credit to fund its global operations under which there were no outstanding borrowings as of September 26, 2020.</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3" w:name="page14"/>
    <w:bookmarkEnd w:id="13"/>
    <w:p>
      <w:pPr>
        <w:ind w:right="300"/>
        <w:spacing w:after="0" w:line="277" w:lineRule="auto"/>
        <w:rPr>
          <w:sz w:val="20"/>
          <w:szCs w:val="20"/>
          <w:color w:val="auto"/>
        </w:rPr>
      </w:pPr>
      <w:r>
        <w:rPr>
          <w:rFonts w:ascii="Arial" w:cs="Arial" w:eastAsia="Arial" w:hAnsi="Arial"/>
          <w:sz w:val="18"/>
          <w:szCs w:val="18"/>
          <w:color w:val="auto"/>
        </w:rPr>
        <w:t>The Company has required scheduled principal payments of $13.1 million during the remainder of fiscal 2021, $17.5 million during fiscal 2022, $214.4 million during fiscal 2023 and $70.0 million during fiscal 2024.</w:t>
      </w:r>
    </w:p>
    <w:p>
      <w:pPr>
        <w:spacing w:after="0" w:line="19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Company was in compliance with the leverage and interest coverage ratios specified in the Credit Facilities as well as all other bank covenants as of September 26, 2020.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FINANCIAL INSTRUMENTS AND FAIR VALUE MEASUREMENTS</w:t>
      </w:r>
    </w:p>
    <w:p>
      <w:pPr>
        <w:spacing w:after="0" w:line="256"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The Company manufactures, markets and sells its products globally. During the three and six months ended September 26, 2020, 40.8% and 42.0%, respectively, of the Company's sales were generated outside the U.S., generally in foreign currencies. The Company also incurs certain manufacturing, marketing and selling costs in international markets in local currency.</w:t>
      </w:r>
    </w:p>
    <w:p>
      <w:pPr>
        <w:spacing w:after="0" w:line="21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Accordingly, earnings and cash flows are exposed to market risk from changes in foreign currency exchange rates relative to the U.S. Dollar, the Company's reporting currency. The Company has a program in place that is designed to mitigate the exposure to changes in foreign currency exchange rates. That program includes the use of derivative financial instruments to minimize, for a period of time, the impact on its financial results from changes in foreign exchange rates. The Company utilizes foreign currency forward contracts to hedge the anticipated cash flows from transactions denominated in foreign currencies, primarily the Japanese Yen and the Euro, and to a lesser extent the Swiss Franc, Australian Dollar, Canadian Dollar and the Mexican Peso. This does not eliminate the impact of the volatility of foreign exchange rates. However, because the Company generally enters into forward contracts one year out, rates are fixed for a one-year period, thereby facilitating financial planning and resource allocation.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Designated Foreign Currency Hedge Contracts</w:t>
      </w:r>
    </w:p>
    <w:p>
      <w:pPr>
        <w:spacing w:after="0" w:line="25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All of the Company's designated foreign currency hedge contracts as of September 26, 2020 and March 28, 2020 were cash flow hedges under ASC 815, </w:t>
      </w:r>
      <w:r>
        <w:rPr>
          <w:rFonts w:ascii="Arial" w:cs="Arial" w:eastAsia="Arial" w:hAnsi="Arial"/>
          <w:sz w:val="16"/>
          <w:szCs w:val="16"/>
          <w:i w:val="1"/>
          <w:iCs w:val="1"/>
          <w:color w:val="auto"/>
        </w:rPr>
        <w:t xml:space="preserve">Derivatives and Hedging </w:t>
      </w:r>
      <w:r>
        <w:rPr>
          <w:rFonts w:ascii="Arial" w:cs="Arial" w:eastAsia="Arial" w:hAnsi="Arial"/>
          <w:sz w:val="16"/>
          <w:szCs w:val="16"/>
          <w:color w:val="auto"/>
        </w:rPr>
        <w:t>("ASC 815"). The Company records the effective portion of any change in the fair value of designated foreign currency hedge</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contracts in other comprehensive income until the related third-party transaction occurs. Once the related third-party transaction occurs, the Company reclassifies the effective portion of any related gain or loss on the designated foreign currency hedge contracts to earnings. In the event the hedged forecasted transaction does not occur, or it becomes probable that it will not occur, the Company would reclassify the amount of any gain or loss on the related cash flow hedge to earnings at that time. The Company had designated foreign currency hedge contracts outstanding in the contract amount of $42.5 million as of September 26, 2020 and $93.8 million as of March 28, 2020. At September 26, 2020, a gain of $1.6 million, net of tax, will be reclassified to earnings within the next twelve months. Substantially all currency cash flow hedges outstanding as of September 26, 2020 mature within twelve months.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Non-Designated Foreign Currency Contracts</w:t>
      </w:r>
    </w:p>
    <w:p>
      <w:pPr>
        <w:spacing w:after="0" w:line="25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manages its exposure to changes in foreign currency on a consolidated basis to take advantage of offsetting transactions and balances. It uses foreign currency forward contracts as a part of its strategy to manage exposure related to foreign currency denominated monetary assets and liabilities. These foreign currency forward contracts are entered into for periods consistent with currency transaction exposures, generally one month. They are not designated as cash flow or fair value hedges under ASC 815. These forward contracts are marked-to-market with changes in fair value recorded to earnings. The Company had non-designated foreign currency hedge contracts under ASC 815 outstanding in the contract amount of $94.7 million as of September 26, 2020 and $98.0 million as of March 28, 2020.</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Swaps</w:t>
      </w:r>
    </w:p>
    <w:p>
      <w:pPr>
        <w:spacing w:after="0" w:line="25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June 15, 2018, the Company entered into Credit Facilities which provided for a $350.0 million Term Loan and a $350.0 million Revolving Credit Facility. Under the terms of the Credit Facilities, interest is established using LIBOR plus 1.13% - 1.75%. As a result, the Company's earnings and cash flows are exposed to interest rate risk from changes to LIBOR. Part of the Company's interest rate risk management strategy includes the use of interest rate swaps to mitigate its exposure to changes in variable interest rates. The Company's objective in using interest rate swaps is to add stability to interest expense and to manage and reduce the risk inherent in interest rate fluctuations.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4" w:name="page15"/>
    <w:bookmarkEnd w:id="14"/>
    <w:p>
      <w:pPr>
        <w:ind w:right="20"/>
        <w:spacing w:after="0" w:line="275" w:lineRule="auto"/>
        <w:rPr>
          <w:sz w:val="20"/>
          <w:szCs w:val="20"/>
          <w:color w:val="auto"/>
        </w:rPr>
      </w:pPr>
      <w:r>
        <w:rPr>
          <w:rFonts w:ascii="Arial" w:cs="Arial" w:eastAsia="Arial" w:hAnsi="Arial"/>
          <w:sz w:val="17"/>
          <w:szCs w:val="17"/>
          <w:color w:val="auto"/>
        </w:rPr>
        <w:t>In August 2018, the Company entered into two interest rate swap agreements (the "Swaps") to pay an average fixed rate of 2.80% on a total notional value of $241.9 million of debt. As a result of the Swaps, 70% of the Term Loan previously exposed to interest rate risk from changes in LIBOR is now fixed at a rate of 4.05%. The Swaps mature on June 15, 2023. The Company designated the Swaps as cash flow hedges of variable interest rate risk associated with $345.6 million of indebtedness. For the six months ended September 26, 2020, a gain of $2.2 million, net of tax, was recorded in accumulated other comprehensive loss to recognize the effective portion of the fair value of the Swaps that qualify as cash flow hedges.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 Receivables</w:t>
      </w:r>
    </w:p>
    <w:p>
      <w:pPr>
        <w:spacing w:after="0" w:line="256" w:lineRule="exact"/>
        <w:rPr>
          <w:sz w:val="20"/>
          <w:szCs w:val="20"/>
          <w:color w:val="auto"/>
        </w:rPr>
      </w:pPr>
    </w:p>
    <w:p>
      <w:pPr>
        <w:ind w:right="520"/>
        <w:spacing w:after="0" w:line="294" w:lineRule="auto"/>
        <w:rPr>
          <w:sz w:val="20"/>
          <w:szCs w:val="20"/>
          <w:color w:val="auto"/>
        </w:rPr>
      </w:pPr>
      <w:r>
        <w:rPr>
          <w:rFonts w:ascii="Arial" w:cs="Arial" w:eastAsia="Arial" w:hAnsi="Arial"/>
          <w:sz w:val="16"/>
          <w:szCs w:val="16"/>
          <w:color w:val="auto"/>
        </w:rPr>
        <w:t>In the ordinary course of business, the Company grants trade credit to its customers on normal credit terms. In an effort to reduce its credit risk, the Company (i) establishes credit limits for all customers, (ii) performs ongoing credit evaluations of customers’ financial condition, (iii) monitors the payment history and aging of customers’ receivables, and (iv) monitors open orders against an individual customer’s outstanding receivable balance.</w:t>
      </w:r>
    </w:p>
    <w:p>
      <w:pPr>
        <w:spacing w:after="0" w:line="174"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 xml:space="preserve">The Company's allowance for credit losses is maintained for trade accounts receivable based on the expected collectability, the historical collection experience, the length of time an account is outstanding, the financial position of the customer and information provided by credit rating services. Effective March 29, 2020, the Company adopted Update No. 2016-13, </w:t>
      </w:r>
      <w:r>
        <w:rPr>
          <w:rFonts w:ascii="Arial" w:cs="Arial" w:eastAsia="Arial" w:hAnsi="Arial"/>
          <w:sz w:val="16"/>
          <w:szCs w:val="16"/>
          <w:i w:val="1"/>
          <w:iCs w:val="1"/>
          <w:color w:val="auto"/>
        </w:rPr>
        <w:t>Financial Instruments – Credit Losses (Topic 326)</w:t>
      </w:r>
      <w:r>
        <w:rPr>
          <w:rFonts w:ascii="Arial" w:cs="Arial" w:eastAsia="Arial" w:hAnsi="Arial"/>
          <w:sz w:val="16"/>
          <w:szCs w:val="16"/>
          <w:color w:val="auto"/>
        </w:rPr>
        <w:t xml:space="preserve"> which requires consideration of events or circumstances indicating historic collection rates may not be indicative of future collectability. For example, potential adverse changes to customer liquidity from new macroeconomic events such as the COVID-19 pandemic must be taken into consideration. To date, the Company has not experienced significant customer payment defaults, or identified other significant collectability concerns as a result of the pandemic.</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rollforward of the allowance for credit losses: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640" w:type="dxa"/>
            <w:vAlign w:val="bottom"/>
            <w:tcBorders>
              <w:bottom w:val="single" w:sz="8" w:color="auto"/>
            </w:tcBorders>
            <w:gridSpan w:val="3"/>
          </w:tcPr>
          <w:p>
            <w:pPr>
              <w:jc w:val="right"/>
              <w:ind w:right="996"/>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140" w:type="dxa"/>
            <w:vAlign w:val="bottom"/>
            <w:tcBorders>
              <w:bottom w:val="single" w:sz="8" w:color="auto"/>
            </w:tcBorders>
            <w:gridSpan w:val="4"/>
          </w:tcPr>
          <w:p>
            <w:pPr>
              <w:jc w:val="right"/>
              <w:ind w:right="1554"/>
              <w:spacing w:after="0"/>
              <w:rPr>
                <w:sz w:val="20"/>
                <w:szCs w:val="20"/>
                <w:color w:val="auto"/>
              </w:rPr>
            </w:pPr>
            <w:r>
              <w:rPr>
                <w:rFonts w:ascii="Arial" w:cs="Arial" w:eastAsia="Arial" w:hAnsi="Arial"/>
                <w:sz w:val="14"/>
                <w:szCs w:val="14"/>
                <w:b w:val="1"/>
                <w:bCs w:val="1"/>
                <w:color w:val="auto"/>
              </w:rPr>
              <w:t>Six Months Ended</w:t>
            </w:r>
          </w:p>
        </w:tc>
      </w:tr>
      <w:tr>
        <w:trPr>
          <w:trHeight w:val="188"/>
        </w:trPr>
        <w:tc>
          <w:tcPr>
            <w:tcW w:w="23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Pr>
          <w:p>
            <w:pPr>
              <w:spacing w:after="0"/>
              <w:rPr>
                <w:sz w:val="16"/>
                <w:szCs w:val="16"/>
                <w:color w:val="auto"/>
              </w:rPr>
            </w:pPr>
          </w:p>
        </w:tc>
        <w:tc>
          <w:tcPr>
            <w:tcW w:w="1960" w:type="dxa"/>
            <w:vAlign w:val="bottom"/>
            <w:gridSpan w:val="2"/>
          </w:tcPr>
          <w:p>
            <w:pPr>
              <w:ind w:left="180"/>
              <w:spacing w:after="0"/>
              <w:rPr>
                <w:sz w:val="20"/>
                <w:szCs w:val="20"/>
                <w:color w:val="auto"/>
              </w:rPr>
            </w:pPr>
            <w:r>
              <w:rPr>
                <w:rFonts w:ascii="Arial" w:cs="Arial" w:eastAsia="Arial" w:hAnsi="Arial"/>
                <w:sz w:val="14"/>
                <w:szCs w:val="14"/>
                <w:b w:val="1"/>
                <w:bCs w:val="1"/>
                <w:color w:val="auto"/>
              </w:rPr>
              <w:t>September 26, 2020</w:t>
            </w:r>
          </w:p>
        </w:tc>
        <w:tc>
          <w:tcPr>
            <w:tcW w:w="1680" w:type="dxa"/>
            <w:vAlign w:val="bottom"/>
          </w:tcPr>
          <w:p>
            <w:pPr>
              <w:jc w:val="right"/>
              <w:spacing w:after="0"/>
              <w:rPr>
                <w:sz w:val="20"/>
                <w:szCs w:val="20"/>
                <w:color w:val="auto"/>
              </w:rPr>
            </w:pPr>
            <w:r>
              <w:rPr>
                <w:rFonts w:ascii="Arial" w:cs="Arial" w:eastAsia="Arial" w:hAnsi="Arial"/>
                <w:sz w:val="14"/>
                <w:szCs w:val="14"/>
                <w:b w:val="1"/>
                <w:bCs w:val="1"/>
                <w:color w:val="auto"/>
              </w:rPr>
              <w:t>September 28, 2019</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80" w:type="dxa"/>
            <w:vAlign w:val="bottom"/>
            <w:gridSpan w:val="2"/>
          </w:tcPr>
          <w:p>
            <w:pPr>
              <w:ind w:left="200"/>
              <w:spacing w:after="0"/>
              <w:rPr>
                <w:sz w:val="20"/>
                <w:szCs w:val="20"/>
                <w:color w:val="auto"/>
              </w:rPr>
            </w:pPr>
            <w:r>
              <w:rPr>
                <w:rFonts w:ascii="Arial" w:cs="Arial" w:eastAsia="Arial" w:hAnsi="Arial"/>
                <w:sz w:val="14"/>
                <w:szCs w:val="14"/>
                <w:b w:val="1"/>
                <w:bCs w:val="1"/>
                <w:color w:val="auto"/>
              </w:rPr>
              <w:t>September 26, 2020</w:t>
            </w:r>
          </w:p>
        </w:tc>
        <w:tc>
          <w:tcPr>
            <w:tcW w:w="300" w:type="dxa"/>
            <w:vAlign w:val="bottom"/>
          </w:tcPr>
          <w:p>
            <w:pPr>
              <w:spacing w:after="0"/>
              <w:rPr>
                <w:sz w:val="16"/>
                <w:szCs w:val="16"/>
                <w:color w:val="auto"/>
              </w:rPr>
            </w:pPr>
          </w:p>
        </w:tc>
        <w:tc>
          <w:tcPr>
            <w:tcW w:w="1860" w:type="dxa"/>
            <w:vAlign w:val="bottom"/>
          </w:tcPr>
          <w:p>
            <w:pPr>
              <w:jc w:val="right"/>
              <w:ind w:right="394"/>
              <w:spacing w:after="0"/>
              <w:rPr>
                <w:sz w:val="20"/>
                <w:szCs w:val="20"/>
                <w:color w:val="auto"/>
              </w:rPr>
            </w:pPr>
            <w:r>
              <w:rPr>
                <w:rFonts w:ascii="Arial" w:cs="Arial" w:eastAsia="Arial" w:hAnsi="Arial"/>
                <w:sz w:val="14"/>
                <w:szCs w:val="14"/>
                <w:b w:val="1"/>
                <w:bCs w:val="1"/>
                <w:color w:val="auto"/>
              </w:rPr>
              <w:t>September 28, 2019</w:t>
            </w:r>
          </w:p>
        </w:tc>
      </w:tr>
      <w:tr>
        <w:trPr>
          <w:trHeight w:val="224"/>
        </w:trPr>
        <w:tc>
          <w:tcPr>
            <w:tcW w:w="2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Beginning balance</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3,446</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ind w:right="1496"/>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3,624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3,824</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3,937</w:t>
            </w:r>
          </w:p>
        </w:tc>
      </w:tr>
      <w:tr>
        <w:trPr>
          <w:trHeight w:val="229"/>
        </w:trPr>
        <w:tc>
          <w:tcPr>
            <w:tcW w:w="2300" w:type="dxa"/>
            <w:vAlign w:val="bottom"/>
          </w:tcPr>
          <w:p>
            <w:pPr>
              <w:ind w:left="200"/>
              <w:spacing w:after="0"/>
              <w:rPr>
                <w:sz w:val="20"/>
                <w:szCs w:val="20"/>
                <w:color w:val="auto"/>
              </w:rPr>
            </w:pPr>
            <w:r>
              <w:rPr>
                <w:rFonts w:ascii="Arial" w:cs="Arial" w:eastAsia="Arial" w:hAnsi="Arial"/>
                <w:sz w:val="18"/>
                <w:szCs w:val="18"/>
                <w:color w:val="auto"/>
              </w:rPr>
              <w:t>Credit (gain) loss</w:t>
            </w: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(483)</w:t>
            </w: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586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(742)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286</w:t>
            </w:r>
          </w:p>
        </w:tc>
      </w:tr>
      <w:tr>
        <w:trPr>
          <w:trHeight w:val="229"/>
        </w:trPr>
        <w:tc>
          <w:tcPr>
            <w:tcW w:w="2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Write-offs</w:t>
            </w:r>
          </w:p>
        </w:tc>
        <w:tc>
          <w:tcPr>
            <w:tcW w:w="3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23"/>
        </w:trPr>
        <w:tc>
          <w:tcPr>
            <w:tcW w:w="2300" w:type="dxa"/>
            <w:vAlign w:val="bottom"/>
          </w:tcPr>
          <w:p>
            <w:pPr>
              <w:ind w:left="20"/>
              <w:spacing w:after="0"/>
              <w:rPr>
                <w:sz w:val="20"/>
                <w:szCs w:val="20"/>
                <w:color w:val="auto"/>
              </w:rPr>
            </w:pPr>
            <w:r>
              <w:rPr>
                <w:rFonts w:ascii="Arial" w:cs="Arial" w:eastAsia="Arial" w:hAnsi="Arial"/>
                <w:sz w:val="18"/>
                <w:szCs w:val="18"/>
                <w:b w:val="1"/>
                <w:bCs w:val="1"/>
                <w:color w:val="auto"/>
              </w:rPr>
              <w:t>Ending balance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2,699</w:t>
            </w:r>
          </w:p>
        </w:tc>
        <w:tc>
          <w:tcPr>
            <w:tcW w:w="100" w:type="dxa"/>
            <w:vAlign w:val="bottom"/>
          </w:tcPr>
          <w:p>
            <w:pPr>
              <w:spacing w:after="0"/>
              <w:rPr>
                <w:sz w:val="19"/>
                <w:szCs w:val="19"/>
                <w:color w:val="auto"/>
              </w:rPr>
            </w:pPr>
          </w:p>
        </w:tc>
        <w:tc>
          <w:tcPr>
            <w:tcW w:w="1680" w:type="dxa"/>
            <w:vAlign w:val="bottom"/>
            <w:tcBorders>
              <w:bottom w:val="single" w:sz="8" w:color="auto"/>
            </w:tcBorders>
          </w:tcPr>
          <w:p>
            <w:pPr>
              <w:jc w:val="right"/>
              <w:ind w:right="1496"/>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4,108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2,699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4,108</w:t>
            </w:r>
          </w:p>
        </w:tc>
      </w:tr>
      <w:tr>
        <w:trPr>
          <w:trHeight w:val="20"/>
        </w:trPr>
        <w:tc>
          <w:tcPr>
            <w:tcW w:w="2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Derivative Instruments</w:t>
      </w:r>
    </w:p>
    <w:p>
      <w:pPr>
        <w:spacing w:after="0" w:line="256"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The following table presents the effect of the Company's derivative instruments designated as cash flow hedges and those not designated as hedging instruments under ASC 815 in its condensed consolidated statements of income and comprehensive income for the six months ended September 26, 2020:</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vMerge w:val="restart"/>
          </w:tcPr>
          <w:p>
            <w:pPr>
              <w:jc w:val="center"/>
              <w:ind w:right="220"/>
              <w:spacing w:after="0"/>
              <w:rPr>
                <w:sz w:val="20"/>
                <w:szCs w:val="20"/>
                <w:color w:val="auto"/>
              </w:rPr>
            </w:pPr>
            <w:r>
              <w:rPr>
                <w:rFonts w:ascii="Arial" w:cs="Arial" w:eastAsia="Arial" w:hAnsi="Arial"/>
                <w:sz w:val="14"/>
                <w:szCs w:val="14"/>
                <w:color w:val="auto"/>
                <w:w w:val="96"/>
              </w:rPr>
              <w:t>Amount of Gain</w:t>
            </w:r>
          </w:p>
        </w:tc>
        <w:tc>
          <w:tcPr>
            <w:tcW w:w="1620" w:type="dxa"/>
            <w:vAlign w:val="bottom"/>
            <w:gridSpan w:val="3"/>
          </w:tcPr>
          <w:p>
            <w:pPr>
              <w:jc w:val="center"/>
              <w:ind w:right="120"/>
              <w:spacing w:after="0"/>
              <w:rPr>
                <w:sz w:val="20"/>
                <w:szCs w:val="20"/>
                <w:color w:val="auto"/>
              </w:rPr>
            </w:pPr>
            <w:r>
              <w:rPr>
                <w:rFonts w:ascii="Arial" w:cs="Arial" w:eastAsia="Arial" w:hAnsi="Arial"/>
                <w:sz w:val="14"/>
                <w:szCs w:val="14"/>
                <w:color w:val="auto"/>
                <w:w w:val="95"/>
              </w:rPr>
              <w:t>Amount of Gain (Loss)</w:t>
            </w:r>
          </w:p>
        </w:tc>
        <w:tc>
          <w:tcPr>
            <w:tcW w:w="196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7"/>
              </w:rPr>
              <w:t>Location in</w:t>
            </w:r>
          </w:p>
        </w:tc>
        <w:tc>
          <w:tcPr>
            <w:tcW w:w="14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color w:val="auto"/>
                <w:w w:val="98"/>
              </w:rPr>
              <w:t>Amount of Gain</w:t>
            </w:r>
          </w:p>
        </w:tc>
        <w:tc>
          <w:tcPr>
            <w:tcW w:w="1800" w:type="dxa"/>
            <w:vAlign w:val="bottom"/>
            <w:vMerge w:val="restart"/>
          </w:tcPr>
          <w:p>
            <w:pPr>
              <w:jc w:val="center"/>
              <w:spacing w:after="0"/>
              <w:rPr>
                <w:sz w:val="20"/>
                <w:szCs w:val="20"/>
                <w:color w:val="auto"/>
              </w:rPr>
            </w:pPr>
            <w:r>
              <w:rPr>
                <w:rFonts w:ascii="Arial" w:cs="Arial" w:eastAsia="Arial" w:hAnsi="Arial"/>
                <w:sz w:val="14"/>
                <w:szCs w:val="14"/>
                <w:color w:val="auto"/>
                <w:w w:val="97"/>
              </w:rPr>
              <w:t>Location in</w:t>
            </w:r>
          </w:p>
        </w:tc>
        <w:tc>
          <w:tcPr>
            <w:tcW w:w="0" w:type="dxa"/>
            <w:vAlign w:val="bottom"/>
          </w:tcPr>
          <w:p>
            <w:pPr>
              <w:spacing w:after="0"/>
              <w:rPr>
                <w:sz w:val="1"/>
                <w:szCs w:val="1"/>
                <w:color w:val="auto"/>
              </w:rPr>
            </w:pPr>
          </w:p>
        </w:tc>
      </w:tr>
      <w:tr>
        <w:trPr>
          <w:trHeight w:val="68"/>
        </w:trPr>
        <w:tc>
          <w:tcPr>
            <w:tcW w:w="2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1360" w:type="dxa"/>
            <w:vAlign w:val="bottom"/>
            <w:gridSpan w:val="2"/>
            <w:vMerge w:val="restart"/>
          </w:tcPr>
          <w:p>
            <w:pPr>
              <w:jc w:val="center"/>
              <w:ind w:right="380"/>
              <w:spacing w:after="0" w:line="135" w:lineRule="exact"/>
              <w:rPr>
                <w:sz w:val="20"/>
                <w:szCs w:val="20"/>
                <w:color w:val="auto"/>
              </w:rPr>
            </w:pPr>
            <w:r>
              <w:rPr>
                <w:rFonts w:ascii="Arial" w:cs="Arial" w:eastAsia="Arial" w:hAnsi="Arial"/>
                <w:sz w:val="14"/>
                <w:szCs w:val="14"/>
                <w:color w:val="auto"/>
                <w:w w:val="92"/>
              </w:rPr>
              <w:t>Reclassified</w:t>
            </w:r>
          </w:p>
        </w:tc>
        <w:tc>
          <w:tcPr>
            <w:tcW w:w="19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gridSpan w:val="2"/>
            <w:vMerge w:val="restart"/>
          </w:tcPr>
          <w:p>
            <w:pPr>
              <w:jc w:val="center"/>
              <w:ind w:right="260"/>
              <w:spacing w:after="0" w:line="135" w:lineRule="exact"/>
              <w:rPr>
                <w:sz w:val="20"/>
                <w:szCs w:val="20"/>
                <w:color w:val="auto"/>
              </w:rPr>
            </w:pPr>
            <w:r>
              <w:rPr>
                <w:rFonts w:ascii="Arial" w:cs="Arial" w:eastAsia="Arial" w:hAnsi="Arial"/>
                <w:sz w:val="14"/>
                <w:szCs w:val="14"/>
                <w:color w:val="auto"/>
                <w:w w:val="95"/>
              </w:rPr>
              <w:t>(Loss) Excluded</w:t>
            </w:r>
          </w:p>
        </w:tc>
        <w:tc>
          <w:tcPr>
            <w:tcW w:w="1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20" w:type="dxa"/>
            <w:vAlign w:val="bottom"/>
            <w:gridSpan w:val="2"/>
            <w:vMerge w:val="restart"/>
          </w:tcPr>
          <w:p>
            <w:pPr>
              <w:jc w:val="center"/>
              <w:ind w:right="200"/>
              <w:spacing w:after="0" w:line="135" w:lineRule="exact"/>
              <w:rPr>
                <w:sz w:val="20"/>
                <w:szCs w:val="20"/>
                <w:color w:val="auto"/>
              </w:rPr>
            </w:pPr>
            <w:r>
              <w:rPr>
                <w:rFonts w:ascii="Arial" w:cs="Arial" w:eastAsia="Arial" w:hAnsi="Arial"/>
                <w:sz w:val="14"/>
                <w:szCs w:val="14"/>
                <w:color w:val="auto"/>
                <w:w w:val="92"/>
              </w:rPr>
              <w:t>(Loss) Recognized</w:t>
            </w:r>
          </w:p>
        </w:tc>
        <w:tc>
          <w:tcPr>
            <w:tcW w:w="260" w:type="dxa"/>
            <w:vAlign w:val="bottom"/>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1960" w:type="dxa"/>
            <w:vAlign w:val="bottom"/>
            <w:gridSpan w:val="2"/>
            <w:vMerge w:val="restart"/>
          </w:tcPr>
          <w:p>
            <w:pPr>
              <w:jc w:val="center"/>
              <w:ind w:right="120"/>
              <w:spacing w:after="0" w:line="135" w:lineRule="exact"/>
              <w:rPr>
                <w:sz w:val="20"/>
                <w:szCs w:val="20"/>
                <w:color w:val="auto"/>
              </w:rPr>
            </w:pPr>
            <w:r>
              <w:rPr>
                <w:rFonts w:ascii="Arial" w:cs="Arial" w:eastAsia="Arial" w:hAnsi="Arial"/>
                <w:sz w:val="14"/>
                <w:szCs w:val="14"/>
                <w:color w:val="auto"/>
                <w:w w:val="91"/>
              </w:rPr>
              <w:t>Condensed Consolidated</w:t>
            </w:r>
          </w:p>
        </w:tc>
        <w:tc>
          <w:tcPr>
            <w:tcW w:w="1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800" w:type="dxa"/>
            <w:vAlign w:val="bottom"/>
            <w:vMerge w:val="restart"/>
          </w:tcPr>
          <w:p>
            <w:pPr>
              <w:jc w:val="center"/>
              <w:spacing w:after="0" w:line="135" w:lineRule="exact"/>
              <w:rPr>
                <w:sz w:val="20"/>
                <w:szCs w:val="20"/>
                <w:color w:val="auto"/>
              </w:rPr>
            </w:pPr>
            <w:r>
              <w:rPr>
                <w:rFonts w:ascii="Arial" w:cs="Arial" w:eastAsia="Arial" w:hAnsi="Arial"/>
                <w:sz w:val="14"/>
                <w:szCs w:val="14"/>
                <w:color w:val="auto"/>
                <w:w w:val="91"/>
              </w:rPr>
              <w:t>Condensed Consolidated</w:t>
            </w:r>
          </w:p>
        </w:tc>
        <w:tc>
          <w:tcPr>
            <w:tcW w:w="0" w:type="dxa"/>
            <w:vAlign w:val="bottom"/>
          </w:tcPr>
          <w:p>
            <w:pPr>
              <w:spacing w:after="0"/>
              <w:rPr>
                <w:sz w:val="1"/>
                <w:szCs w:val="1"/>
                <w:color w:val="auto"/>
              </w:rPr>
            </w:pPr>
          </w:p>
        </w:tc>
      </w:tr>
      <w:tr>
        <w:trPr>
          <w:trHeight w:val="68"/>
        </w:trPr>
        <w:tc>
          <w:tcPr>
            <w:tcW w:w="2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20" w:type="dxa"/>
            <w:vAlign w:val="bottom"/>
            <w:gridSpan w:val="2"/>
            <w:vMerge w:val="continue"/>
          </w:tcPr>
          <w:p>
            <w:pPr>
              <w:spacing w:after="0"/>
              <w:rPr>
                <w:sz w:val="5"/>
                <w:szCs w:val="5"/>
                <w:color w:val="auto"/>
              </w:rPr>
            </w:pPr>
          </w:p>
        </w:tc>
        <w:tc>
          <w:tcPr>
            <w:tcW w:w="1620" w:type="dxa"/>
            <w:vAlign w:val="bottom"/>
            <w:gridSpan w:val="3"/>
            <w:vMerge w:val="restart"/>
          </w:tcPr>
          <w:p>
            <w:pPr>
              <w:ind w:left="20"/>
              <w:spacing w:after="0" w:line="135" w:lineRule="exact"/>
              <w:rPr>
                <w:sz w:val="20"/>
                <w:szCs w:val="20"/>
                <w:color w:val="auto"/>
              </w:rPr>
            </w:pPr>
            <w:r>
              <w:rPr>
                <w:rFonts w:ascii="Arial" w:cs="Arial" w:eastAsia="Arial" w:hAnsi="Arial"/>
                <w:sz w:val="14"/>
                <w:szCs w:val="14"/>
                <w:color w:val="auto"/>
              </w:rPr>
              <w:t>from Accumulated Other</w:t>
            </w:r>
          </w:p>
        </w:tc>
        <w:tc>
          <w:tcPr>
            <w:tcW w:w="19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gridSpan w:val="2"/>
            <w:vMerge w:val="restart"/>
          </w:tcPr>
          <w:p>
            <w:pPr>
              <w:jc w:val="center"/>
              <w:ind w:right="260"/>
              <w:spacing w:after="0" w:line="135" w:lineRule="exact"/>
              <w:rPr>
                <w:sz w:val="20"/>
                <w:szCs w:val="20"/>
                <w:color w:val="auto"/>
              </w:rPr>
            </w:pPr>
            <w:r>
              <w:rPr>
                <w:rFonts w:ascii="Arial" w:cs="Arial" w:eastAsia="Arial" w:hAnsi="Arial"/>
                <w:sz w:val="14"/>
                <w:szCs w:val="14"/>
                <w:color w:val="auto"/>
                <w:w w:val="99"/>
              </w:rPr>
              <w:t>from</w:t>
            </w:r>
          </w:p>
        </w:tc>
        <w:tc>
          <w:tcPr>
            <w:tcW w:w="1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20" w:type="dxa"/>
            <w:vAlign w:val="bottom"/>
            <w:gridSpan w:val="2"/>
            <w:vMerge w:val="restart"/>
          </w:tcPr>
          <w:p>
            <w:pPr>
              <w:jc w:val="center"/>
              <w:ind w:right="200"/>
              <w:spacing w:after="0" w:line="135" w:lineRule="exact"/>
              <w:rPr>
                <w:sz w:val="20"/>
                <w:szCs w:val="20"/>
                <w:color w:val="auto"/>
              </w:rPr>
            </w:pPr>
            <w:r>
              <w:rPr>
                <w:rFonts w:ascii="Arial" w:cs="Arial" w:eastAsia="Arial" w:hAnsi="Arial"/>
                <w:sz w:val="14"/>
                <w:szCs w:val="14"/>
                <w:color w:val="auto"/>
                <w:w w:val="95"/>
              </w:rPr>
              <w:t>in Accumulated Other</w:t>
            </w:r>
          </w:p>
        </w:tc>
        <w:tc>
          <w:tcPr>
            <w:tcW w:w="1620" w:type="dxa"/>
            <w:vAlign w:val="bottom"/>
            <w:gridSpan w:val="3"/>
            <w:vMerge w:val="continue"/>
          </w:tcPr>
          <w:p>
            <w:pPr>
              <w:spacing w:after="0"/>
              <w:rPr>
                <w:sz w:val="5"/>
                <w:szCs w:val="5"/>
                <w:color w:val="auto"/>
              </w:rPr>
            </w:pPr>
          </w:p>
        </w:tc>
        <w:tc>
          <w:tcPr>
            <w:tcW w:w="1960" w:type="dxa"/>
            <w:vAlign w:val="bottom"/>
            <w:gridSpan w:val="2"/>
            <w:vMerge w:val="restart"/>
          </w:tcPr>
          <w:p>
            <w:pPr>
              <w:jc w:val="center"/>
              <w:ind w:right="120"/>
              <w:spacing w:after="0" w:line="135" w:lineRule="exact"/>
              <w:rPr>
                <w:sz w:val="20"/>
                <w:szCs w:val="20"/>
                <w:color w:val="auto"/>
              </w:rPr>
            </w:pPr>
            <w:r>
              <w:rPr>
                <w:rFonts w:ascii="Arial" w:cs="Arial" w:eastAsia="Arial" w:hAnsi="Arial"/>
                <w:sz w:val="14"/>
                <w:szCs w:val="14"/>
                <w:color w:val="auto"/>
                <w:w w:val="90"/>
              </w:rPr>
              <w:t>Statements of Income and</w:t>
            </w:r>
          </w:p>
        </w:tc>
        <w:tc>
          <w:tcPr>
            <w:tcW w:w="1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800" w:type="dxa"/>
            <w:vAlign w:val="bottom"/>
            <w:vMerge w:val="restart"/>
          </w:tcPr>
          <w:p>
            <w:pPr>
              <w:jc w:val="center"/>
              <w:spacing w:after="0" w:line="135" w:lineRule="exact"/>
              <w:rPr>
                <w:sz w:val="20"/>
                <w:szCs w:val="20"/>
                <w:color w:val="auto"/>
              </w:rPr>
            </w:pPr>
            <w:r>
              <w:rPr>
                <w:rFonts w:ascii="Arial" w:cs="Arial" w:eastAsia="Arial" w:hAnsi="Arial"/>
                <w:sz w:val="14"/>
                <w:szCs w:val="14"/>
                <w:color w:val="auto"/>
                <w:w w:val="91"/>
              </w:rPr>
              <w:t>Statements of Income and</w:t>
            </w:r>
          </w:p>
        </w:tc>
        <w:tc>
          <w:tcPr>
            <w:tcW w:w="0" w:type="dxa"/>
            <w:vAlign w:val="bottom"/>
          </w:tcPr>
          <w:p>
            <w:pPr>
              <w:spacing w:after="0"/>
              <w:rPr>
                <w:sz w:val="1"/>
                <w:szCs w:val="1"/>
                <w:color w:val="auto"/>
              </w:rPr>
            </w:pPr>
          </w:p>
        </w:tc>
      </w:tr>
      <w:tr>
        <w:trPr>
          <w:trHeight w:val="68"/>
        </w:trPr>
        <w:tc>
          <w:tcPr>
            <w:tcW w:w="2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20" w:type="dxa"/>
            <w:vAlign w:val="bottom"/>
            <w:gridSpan w:val="2"/>
            <w:vMerge w:val="continue"/>
          </w:tcPr>
          <w:p>
            <w:pPr>
              <w:spacing w:after="0"/>
              <w:rPr>
                <w:sz w:val="5"/>
                <w:szCs w:val="5"/>
                <w:color w:val="auto"/>
              </w:rPr>
            </w:pPr>
          </w:p>
        </w:tc>
        <w:tc>
          <w:tcPr>
            <w:tcW w:w="1620" w:type="dxa"/>
            <w:vAlign w:val="bottom"/>
            <w:gridSpan w:val="3"/>
            <w:vMerge w:val="restart"/>
          </w:tcPr>
          <w:p>
            <w:pPr>
              <w:ind w:left="20"/>
              <w:spacing w:after="0" w:line="135" w:lineRule="exact"/>
              <w:rPr>
                <w:sz w:val="20"/>
                <w:szCs w:val="20"/>
                <w:color w:val="auto"/>
              </w:rPr>
            </w:pPr>
            <w:r>
              <w:rPr>
                <w:rFonts w:ascii="Arial" w:cs="Arial" w:eastAsia="Arial" w:hAnsi="Arial"/>
                <w:sz w:val="14"/>
                <w:szCs w:val="14"/>
                <w:color w:val="auto"/>
              </w:rPr>
              <w:t>Comprehensive Loss into</w:t>
            </w:r>
          </w:p>
        </w:tc>
        <w:tc>
          <w:tcPr>
            <w:tcW w:w="19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gridSpan w:val="2"/>
            <w:vMerge w:val="restart"/>
          </w:tcPr>
          <w:p>
            <w:pPr>
              <w:jc w:val="center"/>
              <w:ind w:right="260"/>
              <w:spacing w:after="0" w:line="135" w:lineRule="exact"/>
              <w:rPr>
                <w:sz w:val="20"/>
                <w:szCs w:val="20"/>
                <w:color w:val="auto"/>
              </w:rPr>
            </w:pPr>
            <w:r>
              <w:rPr>
                <w:rFonts w:ascii="Arial" w:cs="Arial" w:eastAsia="Arial" w:hAnsi="Arial"/>
                <w:sz w:val="14"/>
                <w:szCs w:val="14"/>
                <w:color w:val="auto"/>
                <w:w w:val="91"/>
              </w:rPr>
              <w:t>Effectiveness</w:t>
            </w:r>
          </w:p>
        </w:tc>
        <w:tc>
          <w:tcPr>
            <w:tcW w:w="1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20" w:type="dxa"/>
            <w:vAlign w:val="bottom"/>
            <w:gridSpan w:val="2"/>
            <w:vMerge w:val="restart"/>
          </w:tcPr>
          <w:p>
            <w:pPr>
              <w:jc w:val="center"/>
              <w:ind w:right="220"/>
              <w:spacing w:after="0"/>
              <w:rPr>
                <w:sz w:val="20"/>
                <w:szCs w:val="20"/>
                <w:color w:val="auto"/>
              </w:rPr>
            </w:pPr>
            <w:r>
              <w:rPr>
                <w:rFonts w:ascii="Arial" w:cs="Arial" w:eastAsia="Arial" w:hAnsi="Arial"/>
                <w:sz w:val="14"/>
                <w:szCs w:val="14"/>
                <w:color w:val="auto"/>
                <w:w w:val="92"/>
              </w:rPr>
              <w:t>Comprehensive Loss</w:t>
            </w:r>
          </w:p>
        </w:tc>
        <w:tc>
          <w:tcPr>
            <w:tcW w:w="1620" w:type="dxa"/>
            <w:vAlign w:val="bottom"/>
            <w:gridSpan w:val="3"/>
            <w:vMerge w:val="continue"/>
          </w:tcPr>
          <w:p>
            <w:pPr>
              <w:spacing w:after="0"/>
              <w:rPr>
                <w:sz w:val="5"/>
                <w:szCs w:val="5"/>
                <w:color w:val="auto"/>
              </w:rPr>
            </w:pPr>
          </w:p>
        </w:tc>
        <w:tc>
          <w:tcPr>
            <w:tcW w:w="196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1"/>
              </w:rPr>
              <w:t>Comprehensive Income</w:t>
            </w:r>
          </w:p>
        </w:tc>
        <w:tc>
          <w:tcPr>
            <w:tcW w:w="1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800" w:type="dxa"/>
            <w:vAlign w:val="bottom"/>
            <w:vMerge w:val="restart"/>
          </w:tcPr>
          <w:p>
            <w:pPr>
              <w:jc w:val="center"/>
              <w:spacing w:after="0"/>
              <w:rPr>
                <w:sz w:val="20"/>
                <w:szCs w:val="20"/>
                <w:color w:val="auto"/>
              </w:rPr>
            </w:pPr>
            <w:r>
              <w:rPr>
                <w:rFonts w:ascii="Arial" w:cs="Arial" w:eastAsia="Arial" w:hAnsi="Arial"/>
                <w:sz w:val="14"/>
                <w:szCs w:val="14"/>
                <w:color w:val="auto"/>
                <w:w w:val="91"/>
              </w:rPr>
              <w:t>Comprehensive Income</w:t>
            </w:r>
          </w:p>
        </w:tc>
        <w:tc>
          <w:tcPr>
            <w:tcW w:w="0" w:type="dxa"/>
            <w:vAlign w:val="bottom"/>
          </w:tcPr>
          <w:p>
            <w:pPr>
              <w:spacing w:after="0"/>
              <w:rPr>
                <w:sz w:val="1"/>
                <w:szCs w:val="1"/>
                <w:color w:val="auto"/>
              </w:rPr>
            </w:pPr>
          </w:p>
        </w:tc>
      </w:tr>
      <w:tr>
        <w:trPr>
          <w:trHeight w:val="115"/>
        </w:trPr>
        <w:tc>
          <w:tcPr>
            <w:tcW w:w="27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1360" w:type="dxa"/>
            <w:vAlign w:val="bottom"/>
            <w:gridSpan w:val="2"/>
            <w:vMerge w:val="restart"/>
          </w:tcPr>
          <w:p>
            <w:pPr>
              <w:jc w:val="center"/>
              <w:ind w:right="380"/>
              <w:spacing w:after="0"/>
              <w:rPr>
                <w:sz w:val="20"/>
                <w:szCs w:val="20"/>
                <w:color w:val="auto"/>
              </w:rPr>
            </w:pPr>
            <w:r>
              <w:rPr>
                <w:rFonts w:ascii="Arial" w:cs="Arial" w:eastAsia="Arial" w:hAnsi="Arial"/>
                <w:sz w:val="14"/>
                <w:szCs w:val="14"/>
                <w:color w:val="auto"/>
                <w:w w:val="90"/>
              </w:rPr>
              <w:t>Earnings</w:t>
            </w:r>
          </w:p>
        </w:tc>
        <w:tc>
          <w:tcPr>
            <w:tcW w:w="19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gridSpan w:val="2"/>
            <w:vMerge w:val="restart"/>
          </w:tcPr>
          <w:p>
            <w:pPr>
              <w:jc w:val="center"/>
              <w:ind w:right="240"/>
              <w:spacing w:after="0"/>
              <w:rPr>
                <w:sz w:val="20"/>
                <w:szCs w:val="20"/>
                <w:color w:val="auto"/>
              </w:rPr>
            </w:pPr>
            <w:r>
              <w:rPr>
                <w:rFonts w:ascii="Arial" w:cs="Arial" w:eastAsia="Arial" w:hAnsi="Arial"/>
                <w:sz w:val="14"/>
                <w:szCs w:val="14"/>
                <w:color w:val="auto"/>
                <w:w w:val="91"/>
              </w:rPr>
              <w:t>Testing</w:t>
            </w:r>
          </w:p>
        </w:tc>
        <w:tc>
          <w:tcPr>
            <w:tcW w:w="1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1"/>
        </w:trPr>
        <w:tc>
          <w:tcPr>
            <w:tcW w:w="2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60" w:type="dxa"/>
            <w:vAlign w:val="bottom"/>
            <w:gridSpan w:val="2"/>
            <w:vMerge w:val="continue"/>
          </w:tcPr>
          <w:p>
            <w:pPr>
              <w:spacing w:after="0"/>
              <w:rPr>
                <w:sz w:val="6"/>
                <w:szCs w:val="6"/>
                <w:color w:val="auto"/>
              </w:rPr>
            </w:pPr>
          </w:p>
        </w:tc>
        <w:tc>
          <w:tcPr>
            <w:tcW w:w="1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2780" w:type="dxa"/>
            <w:vAlign w:val="bottom"/>
            <w:tcBorders>
              <w:top w:val="single" w:sz="8" w:color="CCEEFF"/>
            </w:tcBorders>
            <w:shd w:val="clear" w:color="auto" w:fill="CCEEFF"/>
          </w:tcPr>
          <w:p>
            <w:pPr>
              <w:ind w:left="20"/>
              <w:spacing w:after="0" w:line="172" w:lineRule="exact"/>
              <w:rPr>
                <w:sz w:val="20"/>
                <w:szCs w:val="20"/>
                <w:color w:val="auto"/>
              </w:rPr>
            </w:pPr>
            <w:r>
              <w:rPr>
                <w:rFonts w:ascii="Arial" w:cs="Arial" w:eastAsia="Arial" w:hAnsi="Arial"/>
                <w:sz w:val="18"/>
                <w:szCs w:val="18"/>
                <w:color w:val="auto"/>
                <w:w w:val="97"/>
              </w:rPr>
              <w:t>Designated foreign currency hedge</w:t>
            </w: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(1,610)</w:t>
            </w:r>
          </w:p>
        </w:tc>
        <w:tc>
          <w:tcPr>
            <w:tcW w:w="1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20" w:type="dxa"/>
            <w:vAlign w:val="bottom"/>
            <w:tcBorders>
              <w:top w:val="single" w:sz="8" w:color="CCEEFF"/>
            </w:tcBorders>
            <w:shd w:val="clear" w:color="auto" w:fill="CCEEFF"/>
          </w:tcPr>
          <w:p>
            <w:pPr>
              <w:spacing w:after="0"/>
              <w:rPr>
                <w:sz w:val="14"/>
                <w:szCs w:val="14"/>
                <w:color w:val="auto"/>
              </w:rPr>
            </w:pPr>
          </w:p>
        </w:tc>
        <w:tc>
          <w:tcPr>
            <w:tcW w:w="1840" w:type="dxa"/>
            <w:vAlign w:val="bottom"/>
            <w:tcBorders>
              <w:top w:val="single" w:sz="8" w:color="auto"/>
            </w:tcBorders>
            <w:shd w:val="clear" w:color="auto" w:fill="CCEEFF"/>
          </w:tcPr>
          <w:p>
            <w:pPr>
              <w:ind w:left="20"/>
              <w:spacing w:after="0" w:line="172" w:lineRule="exact"/>
              <w:rPr>
                <w:sz w:val="20"/>
                <w:szCs w:val="20"/>
                <w:color w:val="auto"/>
              </w:rPr>
            </w:pPr>
            <w:r>
              <w:rPr>
                <w:rFonts w:ascii="Arial" w:cs="Arial" w:eastAsia="Arial" w:hAnsi="Arial"/>
                <w:sz w:val="18"/>
                <w:szCs w:val="18"/>
                <w:color w:val="auto"/>
              </w:rPr>
              <w:t>Net revenues, COGS</w:t>
            </w: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20" w:type="dxa"/>
            <w:vAlign w:val="bottom"/>
            <w:tcBorders>
              <w:top w:val="single" w:sz="8" w:color="CCEEFF"/>
            </w:tcBorders>
            <w:shd w:val="clear" w:color="auto" w:fill="CCEEFF"/>
          </w:tcPr>
          <w:p>
            <w:pPr>
              <w:spacing w:after="0"/>
              <w:rPr>
                <w:sz w:val="14"/>
                <w:szCs w:val="14"/>
                <w:color w:val="auto"/>
              </w:rPr>
            </w:pPr>
          </w:p>
        </w:tc>
        <w:tc>
          <w:tcPr>
            <w:tcW w:w="1800" w:type="dxa"/>
            <w:vAlign w:val="bottom"/>
            <w:tcBorders>
              <w:top w:val="single" w:sz="8" w:color="auto"/>
            </w:tcBorders>
            <w:shd w:val="clear" w:color="auto" w:fill="CCEEFF"/>
          </w:tcPr>
          <w:p>
            <w:pPr>
              <w:ind w:left="20"/>
              <w:spacing w:after="0" w:line="172" w:lineRule="exact"/>
              <w:rPr>
                <w:sz w:val="20"/>
                <w:szCs w:val="20"/>
                <w:color w:val="auto"/>
              </w:rPr>
            </w:pPr>
            <w:r>
              <w:rPr>
                <w:rFonts w:ascii="Arial" w:cs="Arial" w:eastAsia="Arial" w:hAnsi="Arial"/>
                <w:sz w:val="18"/>
                <w:szCs w:val="18"/>
                <w:color w:val="auto"/>
              </w:rPr>
              <w:t>Interest and other</w:t>
            </w:r>
          </w:p>
        </w:tc>
        <w:tc>
          <w:tcPr>
            <w:tcW w:w="0" w:type="dxa"/>
            <w:vAlign w:val="bottom"/>
          </w:tcPr>
          <w:p>
            <w:pPr>
              <w:spacing w:after="0"/>
              <w:rPr>
                <w:sz w:val="1"/>
                <w:szCs w:val="1"/>
                <w:color w:val="auto"/>
              </w:rPr>
            </w:pPr>
          </w:p>
        </w:tc>
      </w:tr>
      <w:tr>
        <w:trPr>
          <w:trHeight w:val="229"/>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contracts, net of tax</w:t>
            </w:r>
          </w:p>
        </w:tc>
        <w:tc>
          <w:tcPr>
            <w:tcW w:w="100" w:type="dxa"/>
            <w:vAlign w:val="bottom"/>
            <w:vMerge w:val="continue"/>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and SG&amp;A</w:t>
            </w:r>
          </w:p>
        </w:tc>
        <w:tc>
          <w:tcPr>
            <w:tcW w:w="140" w:type="dxa"/>
            <w:vAlign w:val="bottom"/>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 net</w:t>
            </w:r>
          </w:p>
        </w:tc>
        <w:tc>
          <w:tcPr>
            <w:tcW w:w="0" w:type="dxa"/>
            <w:vAlign w:val="bottom"/>
          </w:tcPr>
          <w:p>
            <w:pPr>
              <w:spacing w:after="0"/>
              <w:rPr>
                <w:sz w:val="1"/>
                <w:szCs w:val="1"/>
                <w:color w:val="auto"/>
              </w:rPr>
            </w:pPr>
          </w:p>
        </w:tc>
      </w:tr>
      <w:tr>
        <w:trPr>
          <w:trHeight w:val="176"/>
        </w:trPr>
        <w:tc>
          <w:tcPr>
            <w:tcW w:w="2780" w:type="dxa"/>
            <w:vAlign w:val="bottom"/>
          </w:tcPr>
          <w:p>
            <w:pPr>
              <w:ind w:left="20"/>
              <w:spacing w:after="0" w:line="176" w:lineRule="exact"/>
              <w:rPr>
                <w:sz w:val="20"/>
                <w:szCs w:val="20"/>
                <w:color w:val="auto"/>
              </w:rPr>
            </w:pPr>
            <w:r>
              <w:rPr>
                <w:rFonts w:ascii="Arial" w:cs="Arial" w:eastAsia="Arial" w:hAnsi="Arial"/>
                <w:sz w:val="18"/>
                <w:szCs w:val="18"/>
                <w:color w:val="auto"/>
              </w:rPr>
              <w:t>Non-designated foreign currency</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vMerge w:val="restart"/>
          </w:tcPr>
          <w:p>
            <w:pPr>
              <w:ind w:left="1160"/>
              <w:spacing w:after="0"/>
              <w:rPr>
                <w:sz w:val="20"/>
                <w:szCs w:val="20"/>
                <w:color w:val="auto"/>
              </w:rPr>
            </w:pPr>
            <w:r>
              <w:rPr>
                <w:rFonts w:ascii="Arial" w:cs="Arial" w:eastAsia="Arial" w:hAnsi="Arial"/>
                <w:sz w:val="18"/>
                <w:szCs w:val="18"/>
                <w:color w:val="auto"/>
              </w:rPr>
              <w:t>—</w:t>
            </w:r>
          </w:p>
        </w:tc>
        <w:tc>
          <w:tcPr>
            <w:tcW w:w="26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1360" w:type="dxa"/>
            <w:vAlign w:val="bottom"/>
            <w:gridSpan w:val="2"/>
            <w:vMerge w:val="restart"/>
          </w:tcPr>
          <w:p>
            <w:pPr>
              <w:ind w:left="1000"/>
              <w:spacing w:after="0"/>
              <w:rPr>
                <w:sz w:val="20"/>
                <w:szCs w:val="20"/>
                <w:color w:val="auto"/>
              </w:rPr>
            </w:pPr>
            <w:r>
              <w:rPr>
                <w:rFonts w:ascii="Arial" w:cs="Arial" w:eastAsia="Arial" w:hAnsi="Arial"/>
                <w:sz w:val="18"/>
                <w:szCs w:val="18"/>
                <w:color w:val="auto"/>
              </w:rPr>
              <w:t>—</w:t>
            </w: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(3,907)</w:t>
            </w:r>
          </w:p>
        </w:tc>
        <w:tc>
          <w:tcPr>
            <w:tcW w:w="120" w:type="dxa"/>
            <w:vAlign w:val="bottom"/>
          </w:tcPr>
          <w:p>
            <w:pPr>
              <w:spacing w:after="0"/>
              <w:rPr>
                <w:sz w:val="15"/>
                <w:szCs w:val="15"/>
                <w:color w:val="auto"/>
              </w:rPr>
            </w:pPr>
          </w:p>
        </w:tc>
        <w:tc>
          <w:tcPr>
            <w:tcW w:w="1800" w:type="dxa"/>
            <w:vAlign w:val="bottom"/>
          </w:tcPr>
          <w:p>
            <w:pPr>
              <w:ind w:left="20"/>
              <w:spacing w:after="0" w:line="176" w:lineRule="exact"/>
              <w:rPr>
                <w:sz w:val="20"/>
                <w:szCs w:val="20"/>
                <w:color w:val="auto"/>
              </w:rPr>
            </w:pPr>
            <w:r>
              <w:rPr>
                <w:rFonts w:ascii="Arial" w:cs="Arial" w:eastAsia="Arial" w:hAnsi="Arial"/>
                <w:sz w:val="18"/>
                <w:szCs w:val="18"/>
                <w:color w:val="auto"/>
              </w:rPr>
              <w:t>Interest and other</w:t>
            </w:r>
          </w:p>
        </w:tc>
        <w:tc>
          <w:tcPr>
            <w:tcW w:w="0" w:type="dxa"/>
            <w:vAlign w:val="bottom"/>
          </w:tcPr>
          <w:p>
            <w:pPr>
              <w:spacing w:after="0"/>
              <w:rPr>
                <w:sz w:val="1"/>
                <w:szCs w:val="1"/>
                <w:color w:val="auto"/>
              </w:rPr>
            </w:pPr>
          </w:p>
        </w:tc>
      </w:tr>
      <w:tr>
        <w:trPr>
          <w:trHeight w:val="229"/>
        </w:trPr>
        <w:tc>
          <w:tcPr>
            <w:tcW w:w="2780" w:type="dxa"/>
            <w:vAlign w:val="bottom"/>
          </w:tcPr>
          <w:p>
            <w:pPr>
              <w:ind w:left="20"/>
              <w:spacing w:after="0"/>
              <w:rPr>
                <w:sz w:val="20"/>
                <w:szCs w:val="20"/>
                <w:color w:val="auto"/>
              </w:rPr>
            </w:pPr>
            <w:r>
              <w:rPr>
                <w:rFonts w:ascii="Arial" w:cs="Arial" w:eastAsia="Arial" w:hAnsi="Arial"/>
                <w:sz w:val="18"/>
                <w:szCs w:val="18"/>
                <w:color w:val="auto"/>
              </w:rPr>
              <w:t>hedge contracts</w:t>
            </w:r>
          </w:p>
        </w:tc>
        <w:tc>
          <w:tcPr>
            <w:tcW w:w="100" w:type="dxa"/>
            <w:vAlign w:val="bottom"/>
            <w:vMerge w:val="continue"/>
          </w:tcPr>
          <w:p>
            <w:pPr>
              <w:spacing w:after="0"/>
              <w:rPr>
                <w:sz w:val="19"/>
                <w:szCs w:val="19"/>
                <w:color w:val="auto"/>
              </w:rPr>
            </w:pPr>
          </w:p>
        </w:tc>
        <w:tc>
          <w:tcPr>
            <w:tcW w:w="1520" w:type="dxa"/>
            <w:vAlign w:val="bottom"/>
            <w:gridSpan w:val="2"/>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ind w:left="20"/>
              <w:spacing w:after="0"/>
              <w:rPr>
                <w:sz w:val="20"/>
                <w:szCs w:val="20"/>
                <w:color w:val="auto"/>
              </w:rPr>
            </w:pPr>
            <w:r>
              <w:rPr>
                <w:rFonts w:ascii="Arial" w:cs="Arial" w:eastAsia="Arial" w:hAnsi="Arial"/>
                <w:sz w:val="18"/>
                <w:szCs w:val="18"/>
                <w:color w:val="auto"/>
              </w:rPr>
              <w:t>expense, net</w:t>
            </w:r>
          </w:p>
        </w:tc>
        <w:tc>
          <w:tcPr>
            <w:tcW w:w="0" w:type="dxa"/>
            <w:vAlign w:val="bottom"/>
          </w:tcPr>
          <w:p>
            <w:pPr>
              <w:spacing w:after="0"/>
              <w:rPr>
                <w:sz w:val="1"/>
                <w:szCs w:val="1"/>
                <w:color w:val="auto"/>
              </w:rPr>
            </w:pPr>
          </w:p>
        </w:tc>
      </w:tr>
      <w:tr>
        <w:trPr>
          <w:trHeight w:val="176"/>
        </w:trPr>
        <w:tc>
          <w:tcPr>
            <w:tcW w:w="27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7"/>
              </w:rPr>
              <w:t>Designated interest rate swaps, net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vMerge w:val="restart"/>
            <w:shd w:val="clear" w:color="auto" w:fill="CCEEFF"/>
          </w:tcPr>
          <w:p>
            <w:pPr>
              <w:ind w:left="116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(2,178)</w:t>
            </w:r>
          </w:p>
        </w:tc>
        <w:tc>
          <w:tcPr>
            <w:tcW w:w="120" w:type="dxa"/>
            <w:vAlign w:val="bottom"/>
            <w:shd w:val="clear" w:color="auto" w:fill="CCEEFF"/>
          </w:tcPr>
          <w:p>
            <w:pPr>
              <w:spacing w:after="0"/>
              <w:rPr>
                <w:sz w:val="15"/>
                <w:szCs w:val="15"/>
                <w:color w:val="auto"/>
              </w:rPr>
            </w:pPr>
          </w:p>
        </w:tc>
        <w:tc>
          <w:tcPr>
            <w:tcW w:w="19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Interest and other</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vMerge w:val="restart"/>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 tax</w:t>
            </w:r>
          </w:p>
        </w:tc>
        <w:tc>
          <w:tcPr>
            <w:tcW w:w="100" w:type="dxa"/>
            <w:vAlign w:val="bottom"/>
            <w:vMerge w:val="continue"/>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expense, net</w:t>
            </w:r>
          </w:p>
        </w:tc>
        <w:tc>
          <w:tcPr>
            <w:tcW w:w="140" w:type="dxa"/>
            <w:vAlign w:val="bottom"/>
            <w:vMerge w:val="continue"/>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Company did not have fair value hedges or net investment hedges outstanding as of September 26, 2020 or March 28, 2020. As of September 26, 2020, no material deferred tax assets were recognized for designated foreign currency hedges.</w:t>
      </w:r>
    </w:p>
    <w:p>
      <w:pPr>
        <w:spacing w:after="0" w:line="19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 xml:space="preserve">ASC 815 requires all derivative instruments to be recognized at their fair values as either assets or liabilities on the balance sheet. The Company determines the fair value of its derivative instruments using the framework prescribed by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by considering the estimated amount it would receive or pay to sell or transfer these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5" w:name="page16"/>
    <w:bookmarkEnd w:id="15"/>
    <w:p>
      <w:pPr>
        <w:spacing w:after="0" w:line="254" w:lineRule="auto"/>
        <w:rPr>
          <w:sz w:val="20"/>
          <w:szCs w:val="20"/>
          <w:color w:val="auto"/>
        </w:rPr>
      </w:pPr>
      <w:r>
        <w:rPr>
          <w:rFonts w:ascii="Arial" w:cs="Arial" w:eastAsia="Arial" w:hAnsi="Arial"/>
          <w:sz w:val="18"/>
          <w:szCs w:val="18"/>
          <w:color w:val="auto"/>
        </w:rPr>
        <w:t>instruments at the reporting date and by taking into account current interest rates, currency exchange rates, current interest rate curves, interest rate volatilities, the creditworthiness of the counterparty for assets, and its creditworthiness for liabilities. In certain instances, the Company may utilize financial models to measure fair value. Generally, it uses inputs that include quoted prices for similar assets or liabilities in active markets; quoted prices for identical or similar assets or liabilities in markets that are not active; other observable inputs for the asset or liability; and inputs derived principally from, or corroborated by, observable market data by correlation or other means. As of September 26, 2020, the Company has classified its derivative assets and liabilities within Level 2 of the fair value hierarchy prescribed by ASC 815, as discussed below, because these observable inputs are available for substantially the full term of its derivative instruments.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present the fair value of the Company's derivative instruments as they appear in its condensed consolidated balance sheets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26, 2020 and March 28, 2020:</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40" w:type="dxa"/>
            <w:vAlign w:val="bottom"/>
            <w:gridSpan w:val="2"/>
          </w:tcPr>
          <w:p>
            <w:pPr>
              <w:ind w:left="240"/>
              <w:spacing w:after="0"/>
              <w:rPr>
                <w:sz w:val="20"/>
                <w:szCs w:val="20"/>
                <w:color w:val="auto"/>
              </w:rPr>
            </w:pPr>
            <w:r>
              <w:rPr>
                <w:rFonts w:ascii="Arial" w:cs="Arial" w:eastAsia="Arial" w:hAnsi="Arial"/>
                <w:sz w:val="14"/>
                <w:szCs w:val="14"/>
                <w:color w:val="auto"/>
              </w:rPr>
              <w:t>Location in Condensed Consolidated</w:t>
            </w:r>
          </w:p>
        </w:tc>
        <w:tc>
          <w:tcPr>
            <w:tcW w:w="220" w:type="dxa"/>
            <w:vAlign w:val="bottom"/>
          </w:tcPr>
          <w:p>
            <w:pPr>
              <w:spacing w:after="0"/>
              <w:rPr>
                <w:sz w:val="14"/>
                <w:szCs w:val="14"/>
                <w:color w:val="auto"/>
              </w:rPr>
            </w:pPr>
          </w:p>
        </w:tc>
        <w:tc>
          <w:tcPr>
            <w:tcW w:w="17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As of</w:t>
            </w:r>
          </w:p>
        </w:tc>
        <w:tc>
          <w:tcPr>
            <w:tcW w:w="280" w:type="dxa"/>
            <w:vAlign w:val="bottom"/>
          </w:tcPr>
          <w:p>
            <w:pPr>
              <w:spacing w:after="0"/>
              <w:rPr>
                <w:sz w:val="14"/>
                <w:szCs w:val="14"/>
                <w:color w:val="auto"/>
              </w:rPr>
            </w:pPr>
          </w:p>
        </w:tc>
        <w:tc>
          <w:tcPr>
            <w:tcW w:w="1620" w:type="dxa"/>
            <w:vAlign w:val="bottom"/>
          </w:tcPr>
          <w:p>
            <w:pPr>
              <w:jc w:val="right"/>
              <w:ind w:right="714"/>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82"/>
        </w:trPr>
        <w:tc>
          <w:tcPr>
            <w:tcW w:w="460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740" w:type="dxa"/>
            <w:vAlign w:val="bottom"/>
            <w:gridSpan w:val="2"/>
          </w:tcPr>
          <w:p>
            <w:pPr>
              <w:ind w:left="880"/>
              <w:spacing w:after="0"/>
              <w:rPr>
                <w:sz w:val="20"/>
                <w:szCs w:val="20"/>
                <w:color w:val="auto"/>
              </w:rPr>
            </w:pPr>
            <w:r>
              <w:rPr>
                <w:rFonts w:ascii="Arial" w:cs="Arial" w:eastAsia="Arial" w:hAnsi="Arial"/>
                <w:sz w:val="14"/>
                <w:szCs w:val="14"/>
                <w:color w:val="auto"/>
              </w:rPr>
              <w:t>Balance Sheets</w:t>
            </w:r>
          </w:p>
        </w:tc>
        <w:tc>
          <w:tcPr>
            <w:tcW w:w="220" w:type="dxa"/>
            <w:vAlign w:val="bottom"/>
          </w:tcPr>
          <w:p>
            <w:pPr>
              <w:spacing w:after="0"/>
              <w:rPr>
                <w:sz w:val="15"/>
                <w:szCs w:val="15"/>
                <w:color w:val="auto"/>
              </w:rPr>
            </w:pPr>
          </w:p>
        </w:tc>
        <w:tc>
          <w:tcPr>
            <w:tcW w:w="17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1"/>
              </w:rPr>
              <w:t>September 26, 2020</w:t>
            </w:r>
          </w:p>
        </w:tc>
        <w:tc>
          <w:tcPr>
            <w:tcW w:w="280" w:type="dxa"/>
            <w:vAlign w:val="bottom"/>
          </w:tcPr>
          <w:p>
            <w:pPr>
              <w:spacing w:after="0"/>
              <w:rPr>
                <w:sz w:val="15"/>
                <w:szCs w:val="15"/>
                <w:color w:val="auto"/>
              </w:rPr>
            </w:pPr>
          </w:p>
        </w:tc>
        <w:tc>
          <w:tcPr>
            <w:tcW w:w="162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March 28, 2020</w:t>
            </w:r>
          </w:p>
        </w:tc>
        <w:tc>
          <w:tcPr>
            <w:tcW w:w="0" w:type="dxa"/>
            <w:vAlign w:val="bottom"/>
          </w:tcPr>
          <w:p>
            <w:pPr>
              <w:spacing w:after="0"/>
              <w:rPr>
                <w:sz w:val="1"/>
                <w:szCs w:val="1"/>
                <w:color w:val="auto"/>
              </w:rPr>
            </w:pPr>
          </w:p>
        </w:tc>
      </w:tr>
      <w:tr>
        <w:trPr>
          <w:trHeight w:val="55"/>
        </w:trPr>
        <w:tc>
          <w:tcPr>
            <w:tcW w:w="4600" w:type="dxa"/>
            <w:vAlign w:val="bottom"/>
            <w:gridSpan w:val="2"/>
            <w:vMerge w:val="continue"/>
          </w:tcPr>
          <w:p>
            <w:pPr>
              <w:spacing w:after="0"/>
              <w:rPr>
                <w:sz w:val="4"/>
                <w:szCs w:val="4"/>
                <w:color w:val="auto"/>
              </w:rPr>
            </w:pPr>
          </w:p>
        </w:tc>
        <w:tc>
          <w:tcPr>
            <w:tcW w:w="2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7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6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4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Derivative Assets:</w:t>
            </w:r>
          </w:p>
        </w:tc>
        <w:tc>
          <w:tcPr>
            <w:tcW w:w="120" w:type="dxa"/>
            <w:vAlign w:val="bottom"/>
            <w:tcBorders>
              <w:top w:val="single" w:sz="8" w:color="CCEEFF"/>
            </w:tcBorders>
            <w:shd w:val="clear" w:color="auto" w:fill="CCEEFF"/>
          </w:tcPr>
          <w:p>
            <w:pPr>
              <w:spacing w:after="0"/>
              <w:rPr>
                <w:sz w:val="19"/>
                <w:szCs w:val="19"/>
                <w:color w:val="auto"/>
              </w:rPr>
            </w:pPr>
          </w:p>
        </w:tc>
        <w:tc>
          <w:tcPr>
            <w:tcW w:w="26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gridSpan w:val="2"/>
          </w:tcPr>
          <w:p>
            <w:pPr>
              <w:ind w:left="20"/>
              <w:spacing w:after="0"/>
              <w:rPr>
                <w:sz w:val="20"/>
                <w:szCs w:val="20"/>
                <w:color w:val="auto"/>
              </w:rPr>
            </w:pPr>
            <w:r>
              <w:rPr>
                <w:rFonts w:ascii="Arial" w:cs="Arial" w:eastAsia="Arial" w:hAnsi="Arial"/>
                <w:sz w:val="18"/>
                <w:szCs w:val="18"/>
                <w:color w:val="auto"/>
              </w:rPr>
              <w:t>Designated foreign currency hedge contracts</w:t>
            </w:r>
          </w:p>
        </w:tc>
        <w:tc>
          <w:tcPr>
            <w:tcW w:w="2740" w:type="dxa"/>
            <w:vAlign w:val="bottom"/>
            <w:gridSpan w:val="2"/>
          </w:tcPr>
          <w:p>
            <w:pPr>
              <w:ind w:left="20"/>
              <w:spacing w:after="0"/>
              <w:rPr>
                <w:sz w:val="20"/>
                <w:szCs w:val="20"/>
                <w:color w:val="auto"/>
              </w:rPr>
            </w:pPr>
            <w:r>
              <w:rPr>
                <w:rFonts w:ascii="Arial" w:cs="Arial" w:eastAsia="Arial" w:hAnsi="Arial"/>
                <w:sz w:val="18"/>
                <w:szCs w:val="18"/>
                <w:color w:val="auto"/>
              </w:rPr>
              <w:t>Other current assets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839</w:t>
            </w:r>
          </w:p>
        </w:tc>
        <w:tc>
          <w:tcPr>
            <w:tcW w:w="0" w:type="dxa"/>
            <w:vAlign w:val="bottom"/>
          </w:tcPr>
          <w:p>
            <w:pPr>
              <w:spacing w:after="0"/>
              <w:rPr>
                <w:sz w:val="1"/>
                <w:szCs w:val="1"/>
                <w:color w:val="auto"/>
              </w:rPr>
            </w:pPr>
          </w:p>
        </w:tc>
      </w:tr>
      <w:tr>
        <w:trPr>
          <w:trHeight w:val="230"/>
        </w:trPr>
        <w:tc>
          <w:tcPr>
            <w:tcW w:w="4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Non-designated foreign currency hedge contracts</w:t>
            </w:r>
          </w:p>
        </w:tc>
        <w:tc>
          <w:tcPr>
            <w:tcW w:w="2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23"/>
        </w:trPr>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478</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1,216</w:t>
            </w:r>
          </w:p>
        </w:tc>
        <w:tc>
          <w:tcPr>
            <w:tcW w:w="0" w:type="dxa"/>
            <w:vAlign w:val="bottom"/>
          </w:tcPr>
          <w:p>
            <w:pPr>
              <w:spacing w:after="0"/>
              <w:rPr>
                <w:sz w:val="1"/>
                <w:szCs w:val="1"/>
                <w:color w:val="auto"/>
              </w:rPr>
            </w:pPr>
          </w:p>
        </w:tc>
      </w:tr>
      <w:tr>
        <w:trPr>
          <w:trHeight w:val="20"/>
        </w:trPr>
        <w:tc>
          <w:tcPr>
            <w:tcW w:w="44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Derivative Liabilities:</w:t>
            </w:r>
          </w:p>
        </w:tc>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gridSpan w:val="2"/>
          </w:tcPr>
          <w:p>
            <w:pPr>
              <w:ind w:left="20"/>
              <w:spacing w:after="0"/>
              <w:rPr>
                <w:sz w:val="20"/>
                <w:szCs w:val="20"/>
                <w:color w:val="auto"/>
              </w:rPr>
            </w:pPr>
            <w:r>
              <w:rPr>
                <w:rFonts w:ascii="Arial" w:cs="Arial" w:eastAsia="Arial" w:hAnsi="Arial"/>
                <w:sz w:val="18"/>
                <w:szCs w:val="18"/>
                <w:color w:val="auto"/>
              </w:rPr>
              <w:t>Designated foreign currency hedge contracts</w:t>
            </w:r>
          </w:p>
        </w:tc>
        <w:tc>
          <w:tcPr>
            <w:tcW w:w="274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989</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1,854</w:t>
            </w:r>
          </w:p>
        </w:tc>
        <w:tc>
          <w:tcPr>
            <w:tcW w:w="0" w:type="dxa"/>
            <w:vAlign w:val="bottom"/>
          </w:tcPr>
          <w:p>
            <w:pPr>
              <w:spacing w:after="0"/>
              <w:rPr>
                <w:sz w:val="1"/>
                <w:szCs w:val="1"/>
                <w:color w:val="auto"/>
              </w:rPr>
            </w:pPr>
          </w:p>
        </w:tc>
      </w:tr>
      <w:tr>
        <w:trPr>
          <w:trHeight w:val="229"/>
        </w:trPr>
        <w:tc>
          <w:tcPr>
            <w:tcW w:w="4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Non-designated foreign currency hedge contracts</w:t>
            </w:r>
          </w:p>
        </w:tc>
        <w:tc>
          <w:tcPr>
            <w:tcW w:w="2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w:t>
            </w:r>
          </w:p>
        </w:tc>
        <w:tc>
          <w:tcPr>
            <w:tcW w:w="0" w:type="dxa"/>
            <w:vAlign w:val="bottom"/>
          </w:tcPr>
          <w:p>
            <w:pPr>
              <w:spacing w:after="0"/>
              <w:rPr>
                <w:sz w:val="1"/>
                <w:szCs w:val="1"/>
                <w:color w:val="auto"/>
              </w:rPr>
            </w:pPr>
          </w:p>
        </w:tc>
      </w:tr>
      <w:tr>
        <w:trPr>
          <w:trHeight w:val="229"/>
        </w:trPr>
        <w:tc>
          <w:tcPr>
            <w:tcW w:w="4600" w:type="dxa"/>
            <w:vAlign w:val="bottom"/>
            <w:gridSpan w:val="2"/>
          </w:tcPr>
          <w:p>
            <w:pPr>
              <w:ind w:left="20"/>
              <w:spacing w:after="0"/>
              <w:rPr>
                <w:sz w:val="20"/>
                <w:szCs w:val="20"/>
                <w:color w:val="auto"/>
              </w:rPr>
            </w:pPr>
            <w:r>
              <w:rPr>
                <w:rFonts w:ascii="Arial" w:cs="Arial" w:eastAsia="Arial" w:hAnsi="Arial"/>
                <w:sz w:val="18"/>
                <w:szCs w:val="18"/>
                <w:color w:val="auto"/>
              </w:rPr>
              <w:t>Designated interest rate swaps</w:t>
            </w:r>
          </w:p>
        </w:tc>
        <w:tc>
          <w:tcPr>
            <w:tcW w:w="274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6,134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5,581</w:t>
            </w:r>
          </w:p>
        </w:tc>
        <w:tc>
          <w:tcPr>
            <w:tcW w:w="0" w:type="dxa"/>
            <w:vAlign w:val="bottom"/>
          </w:tcPr>
          <w:p>
            <w:pPr>
              <w:spacing w:after="0"/>
              <w:rPr>
                <w:sz w:val="1"/>
                <w:szCs w:val="1"/>
                <w:color w:val="auto"/>
              </w:rPr>
            </w:pPr>
          </w:p>
        </w:tc>
      </w:tr>
      <w:tr>
        <w:trPr>
          <w:trHeight w:val="230"/>
        </w:trPr>
        <w:tc>
          <w:tcPr>
            <w:tcW w:w="4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Designated interest rate swaps</w:t>
            </w:r>
          </w:p>
        </w:tc>
        <w:tc>
          <w:tcPr>
            <w:tcW w:w="2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9,475</w:t>
            </w:r>
          </w:p>
        </w:tc>
        <w:tc>
          <w:tcPr>
            <w:tcW w:w="0" w:type="dxa"/>
            <w:vAlign w:val="bottom"/>
          </w:tcPr>
          <w:p>
            <w:pPr>
              <w:spacing w:after="0"/>
              <w:rPr>
                <w:sz w:val="1"/>
                <w:szCs w:val="1"/>
                <w:color w:val="auto"/>
              </w:rPr>
            </w:pPr>
          </w:p>
        </w:tc>
      </w:tr>
      <w:tr>
        <w:trPr>
          <w:trHeight w:val="223"/>
        </w:trPr>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14,867</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18,345</w:t>
            </w:r>
          </w:p>
        </w:tc>
        <w:tc>
          <w:tcPr>
            <w:tcW w:w="0" w:type="dxa"/>
            <w:vAlign w:val="bottom"/>
          </w:tcPr>
          <w:p>
            <w:pPr>
              <w:spacing w:after="0"/>
              <w:rPr>
                <w:sz w:val="1"/>
                <w:szCs w:val="1"/>
                <w:color w:val="auto"/>
              </w:rPr>
            </w:pPr>
          </w:p>
        </w:tc>
      </w:tr>
      <w:tr>
        <w:trPr>
          <w:trHeight w:val="21"/>
        </w:trPr>
        <w:tc>
          <w:tcPr>
            <w:tcW w:w="4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Fair Value Measurements</w:t>
      </w:r>
    </w:p>
    <w:p>
      <w:pPr>
        <w:spacing w:after="0" w:line="256"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Fair value is defined as the exit price that would be received from the sale of an asset or paid to transfer a liability, using assumptions that market participants would use in pricing an asset or liability. The fair value guidance establishes the following three-level hierarchy used for measuring fair value:</w:t>
      </w:r>
    </w:p>
    <w:p>
      <w:pPr>
        <w:spacing w:after="0" w:line="151"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1 — Inputs to the valuation methodology are quoted market prices for identical assets or liabilities.</w:t>
      </w:r>
    </w:p>
    <w:p>
      <w:pPr>
        <w:spacing w:after="0" w:line="23" w:lineRule="exact"/>
        <w:rPr>
          <w:rFonts w:ascii="Arial" w:cs="Arial" w:eastAsia="Arial" w:hAnsi="Arial"/>
          <w:sz w:val="18"/>
          <w:szCs w:val="18"/>
          <w:color w:val="auto"/>
        </w:rPr>
      </w:pPr>
    </w:p>
    <w:p>
      <w:pPr>
        <w:ind w:left="660" w:right="380" w:hanging="328"/>
        <w:spacing w:after="0" w:line="250"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2 — Inputs to the valuation methodology are other observable inputs, including quoted market prices for similar assets or liabilities and market-corroborated inputs.</w:t>
      </w:r>
    </w:p>
    <w:p>
      <w:pPr>
        <w:ind w:left="660" w:right="60" w:hanging="328"/>
        <w:spacing w:after="0" w:line="260"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3 — Inputs to the valuation methodology are unobservable inputs based on management’s best estimate of inputs market participants would use in pricing the asset or liability at the measurement date, including assumptions about risk.</w:t>
      </w:r>
    </w:p>
    <w:p>
      <w:pPr>
        <w:spacing w:after="0" w:line="21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Company's money market funds carried at fair value are classified within Level 1 of the fair value hierarchy because they are valued using quoted market prices.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Fair Value Measured on a Recurring Basis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Financial assets and financial liabilities measured at fair value on a recurring basis consist of the following as of September 26, 2020 and March 28, 2020.</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4"/>
                <w:szCs w:val="14"/>
                <w:b w:val="1"/>
                <w:bCs w:val="1"/>
                <w:color w:val="auto"/>
                <w:w w:val="95"/>
              </w:rPr>
              <w:t>As of September 26, 2020</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9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16"/>
                <w:szCs w:val="16"/>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6"/>
                <w:szCs w:val="16"/>
                <w:color w:val="auto"/>
              </w:rPr>
            </w:pPr>
          </w:p>
        </w:tc>
        <w:tc>
          <w:tcPr>
            <w:tcW w:w="92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6"/>
                <w:szCs w:val="16"/>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6"/>
                <w:szCs w:val="16"/>
                <w:color w:val="auto"/>
              </w:rPr>
            </w:pPr>
          </w:p>
        </w:tc>
        <w:tc>
          <w:tcPr>
            <w:tcW w:w="760" w:type="dxa"/>
            <w:vAlign w:val="bottom"/>
          </w:tcPr>
          <w:p>
            <w:pPr>
              <w:jc w:val="right"/>
              <w:ind w:right="2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4"/>
        </w:trPr>
        <w:tc>
          <w:tcPr>
            <w:tcW w:w="68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Money market funds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167,175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167,175</w:t>
            </w:r>
          </w:p>
        </w:tc>
        <w:tc>
          <w:tcPr>
            <w:tcW w:w="0" w:type="dxa"/>
            <w:vAlign w:val="bottom"/>
          </w:tcPr>
          <w:p>
            <w:pPr>
              <w:spacing w:after="0"/>
              <w:rPr>
                <w:sz w:val="1"/>
                <w:szCs w:val="1"/>
                <w:color w:val="auto"/>
              </w:rPr>
            </w:pPr>
          </w:p>
        </w:tc>
      </w:tr>
      <w:tr>
        <w:trPr>
          <w:trHeight w:val="230"/>
        </w:trPr>
        <w:tc>
          <w:tcPr>
            <w:tcW w:w="6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Designated foreign currency hedge contracts</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9"/>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Non-designated foreign currency hedge contracts</w:t>
            </w:r>
          </w:p>
        </w:tc>
        <w:tc>
          <w:tcPr>
            <w:tcW w:w="2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48"/>
        </w:trPr>
        <w:tc>
          <w:tcPr>
            <w:tcW w:w="68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167,175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167,653</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9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Designated foreign currency hedge contracts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0" w:type="dxa"/>
            <w:vAlign w:val="bottom"/>
          </w:tcPr>
          <w:p>
            <w:pPr>
              <w:spacing w:after="0"/>
              <w:rPr>
                <w:sz w:val="1"/>
                <w:szCs w:val="1"/>
                <w:color w:val="auto"/>
              </w:rPr>
            </w:pPr>
          </w:p>
        </w:tc>
      </w:tr>
      <w:tr>
        <w:trPr>
          <w:trHeight w:val="230"/>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Non-designated foreign currency hedge contracts</w:t>
            </w:r>
          </w:p>
        </w:tc>
        <w:tc>
          <w:tcPr>
            <w:tcW w:w="2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29"/>
        </w:trPr>
        <w:tc>
          <w:tcPr>
            <w:tcW w:w="6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Designated interest rate swaps</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13,655</w:t>
            </w:r>
          </w:p>
        </w:tc>
        <w:tc>
          <w:tcPr>
            <w:tcW w:w="0" w:type="dxa"/>
            <w:vAlign w:val="bottom"/>
          </w:tcPr>
          <w:p>
            <w:pPr>
              <w:spacing w:after="0"/>
              <w:rPr>
                <w:sz w:val="1"/>
                <w:szCs w:val="1"/>
                <w:color w:val="auto"/>
              </w:rPr>
            </w:pPr>
          </w:p>
        </w:tc>
      </w:tr>
      <w:tr>
        <w:trPr>
          <w:trHeight w:val="229"/>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Contingent consideration</w:t>
            </w:r>
          </w:p>
        </w:tc>
        <w:tc>
          <w:tcPr>
            <w:tcW w:w="2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3,920</w:t>
            </w:r>
          </w:p>
        </w:tc>
        <w:tc>
          <w:tcPr>
            <w:tcW w:w="0" w:type="dxa"/>
            <w:vAlign w:val="bottom"/>
          </w:tcPr>
          <w:p>
            <w:pPr>
              <w:spacing w:after="0"/>
              <w:rPr>
                <w:sz w:val="1"/>
                <w:szCs w:val="1"/>
                <w:color w:val="auto"/>
              </w:rPr>
            </w:pPr>
          </w:p>
        </w:tc>
      </w:tr>
      <w:tr>
        <w:trPr>
          <w:trHeight w:val="248"/>
        </w:trPr>
        <w:tc>
          <w:tcPr>
            <w:tcW w:w="68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14,867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18,787</w:t>
            </w:r>
          </w:p>
        </w:tc>
        <w:tc>
          <w:tcPr>
            <w:tcW w:w="0" w:type="dxa"/>
            <w:vAlign w:val="bottom"/>
          </w:tcPr>
          <w:p>
            <w:pPr>
              <w:spacing w:after="0"/>
              <w:rPr>
                <w:sz w:val="1"/>
                <w:szCs w:val="1"/>
                <w:color w:val="auto"/>
              </w:rPr>
            </w:pP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6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2000" w:type="dxa"/>
            <w:vAlign w:val="bottom"/>
            <w:tcBorders>
              <w:bottom w:val="single" w:sz="8" w:color="auto"/>
            </w:tcBorders>
            <w:gridSpan w:val="5"/>
            <w:shd w:val="clear" w:color="auto" w:fill="CCEEFF"/>
          </w:tcPr>
          <w:p>
            <w:pPr>
              <w:ind w:left="200"/>
              <w:spacing w:after="0"/>
              <w:rPr>
                <w:sz w:val="20"/>
                <w:szCs w:val="20"/>
                <w:color w:val="auto"/>
              </w:rPr>
            </w:pPr>
            <w:r>
              <w:rPr>
                <w:rFonts w:ascii="Arial" w:cs="Arial" w:eastAsia="Arial" w:hAnsi="Arial"/>
                <w:sz w:val="14"/>
                <w:szCs w:val="14"/>
                <w:b w:val="1"/>
                <w:bCs w:val="1"/>
                <w:color w:val="auto"/>
              </w:rPr>
              <w:t>As of March 28, 2020</w:t>
            </w:r>
          </w:p>
        </w:tc>
        <w:tc>
          <w:tcPr>
            <w:tcW w:w="2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5"/>
                <w:szCs w:val="15"/>
                <w:color w:val="auto"/>
              </w:rPr>
            </w:pPr>
          </w:p>
        </w:tc>
        <w:tc>
          <w:tcPr>
            <w:tcW w:w="92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5"/>
                <w:szCs w:val="15"/>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5"/>
                <w:szCs w:val="15"/>
                <w:color w:val="auto"/>
              </w:rPr>
            </w:pPr>
          </w:p>
        </w:tc>
        <w:tc>
          <w:tcPr>
            <w:tcW w:w="760" w:type="dxa"/>
            <w:vAlign w:val="bottom"/>
          </w:tcPr>
          <w:p>
            <w:pPr>
              <w:jc w:val="right"/>
              <w:ind w:right="2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1"/>
        </w:trPr>
        <w:tc>
          <w:tcPr>
            <w:tcW w:w="69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Money market funds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44,564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44,564</w:t>
            </w:r>
          </w:p>
        </w:tc>
        <w:tc>
          <w:tcPr>
            <w:tcW w:w="0" w:type="dxa"/>
            <w:vAlign w:val="bottom"/>
          </w:tcPr>
          <w:p>
            <w:pPr>
              <w:spacing w:after="0"/>
              <w:rPr>
                <w:sz w:val="1"/>
                <w:szCs w:val="1"/>
                <w:color w:val="auto"/>
              </w:rPr>
            </w:pPr>
          </w:p>
        </w:tc>
      </w:tr>
      <w:tr>
        <w:trPr>
          <w:trHeight w:val="229"/>
        </w:trPr>
        <w:tc>
          <w:tcPr>
            <w:tcW w:w="6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Designated foreign currency hedge contracts</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0" w:type="dxa"/>
            <w:vAlign w:val="bottom"/>
          </w:tcPr>
          <w:p>
            <w:pPr>
              <w:spacing w:after="0"/>
              <w:rPr>
                <w:sz w:val="1"/>
                <w:szCs w:val="1"/>
                <w:color w:val="auto"/>
              </w:rPr>
            </w:pPr>
          </w:p>
        </w:tc>
      </w:tr>
      <w:tr>
        <w:trPr>
          <w:trHeight w:val="230"/>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Non-designated foreign currency hedge contracts</w:t>
            </w:r>
          </w:p>
        </w:tc>
        <w:tc>
          <w:tcPr>
            <w:tcW w:w="2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48"/>
        </w:trPr>
        <w:tc>
          <w:tcPr>
            <w:tcW w:w="68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44,564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45,780</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9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Designated foreign currency hedge contracts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1,854</w:t>
            </w:r>
          </w:p>
        </w:tc>
        <w:tc>
          <w:tcPr>
            <w:tcW w:w="0" w:type="dxa"/>
            <w:vAlign w:val="bottom"/>
          </w:tcPr>
          <w:p>
            <w:pPr>
              <w:spacing w:after="0"/>
              <w:rPr>
                <w:sz w:val="1"/>
                <w:szCs w:val="1"/>
                <w:color w:val="auto"/>
              </w:rPr>
            </w:pPr>
          </w:p>
        </w:tc>
      </w:tr>
      <w:tr>
        <w:trPr>
          <w:trHeight w:val="230"/>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Non-designated foreign currency hedge contracts</w:t>
            </w:r>
          </w:p>
        </w:tc>
        <w:tc>
          <w:tcPr>
            <w:tcW w:w="2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1,435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1,435</w:t>
            </w:r>
          </w:p>
        </w:tc>
        <w:tc>
          <w:tcPr>
            <w:tcW w:w="0" w:type="dxa"/>
            <w:vAlign w:val="bottom"/>
          </w:tcPr>
          <w:p>
            <w:pPr>
              <w:spacing w:after="0"/>
              <w:rPr>
                <w:sz w:val="1"/>
                <w:szCs w:val="1"/>
                <w:color w:val="auto"/>
              </w:rPr>
            </w:pPr>
          </w:p>
        </w:tc>
      </w:tr>
      <w:tr>
        <w:trPr>
          <w:trHeight w:val="230"/>
        </w:trPr>
        <w:tc>
          <w:tcPr>
            <w:tcW w:w="6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Designated interest rate swaps</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15,056</w:t>
            </w:r>
          </w:p>
        </w:tc>
        <w:tc>
          <w:tcPr>
            <w:tcW w:w="0" w:type="dxa"/>
            <w:vAlign w:val="bottom"/>
          </w:tcPr>
          <w:p>
            <w:pPr>
              <w:spacing w:after="0"/>
              <w:rPr>
                <w:sz w:val="1"/>
                <w:szCs w:val="1"/>
                <w:color w:val="auto"/>
              </w:rPr>
            </w:pPr>
          </w:p>
        </w:tc>
      </w:tr>
      <w:tr>
        <w:trPr>
          <w:trHeight w:val="223"/>
        </w:trPr>
        <w:tc>
          <w:tcPr>
            <w:tcW w:w="6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18,345</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18,345</w:t>
            </w: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 xml:space="preserve">Foreign currency hedge contracts - </w:t>
      </w:r>
      <w:r>
        <w:rPr>
          <w:rFonts w:ascii="Arial" w:cs="Arial" w:eastAsia="Arial" w:hAnsi="Arial"/>
          <w:sz w:val="18"/>
          <w:szCs w:val="18"/>
          <w:color w:val="auto"/>
        </w:rPr>
        <w:t>The fair value of foreign currency hedge contracts was measured using significant other observable inputs and valued</w:t>
      </w:r>
      <w:r>
        <w:rPr>
          <w:rFonts w:ascii="Arial" w:cs="Arial" w:eastAsia="Arial" w:hAnsi="Arial"/>
          <w:sz w:val="18"/>
          <w:szCs w:val="18"/>
          <w:i w:val="1"/>
          <w:iCs w:val="1"/>
          <w:color w:val="auto"/>
        </w:rPr>
        <w:t xml:space="preserve"> </w:t>
      </w:r>
      <w:r>
        <w:rPr>
          <w:rFonts w:ascii="Arial" w:cs="Arial" w:eastAsia="Arial" w:hAnsi="Arial"/>
          <w:sz w:val="18"/>
          <w:szCs w:val="18"/>
          <w:color w:val="auto"/>
        </w:rPr>
        <w:t>by reference to over-the-counter quoted market prices for similar instruments. The Company does not believe that the fair value of these derivative instruments differs significantly from the amount that could be realized upon settlement or maturity, or that the changes in fair value will have a significant effect on its results of operations, financial condition or cash flows.</w:t>
      </w:r>
    </w:p>
    <w:p>
      <w:pPr>
        <w:spacing w:after="0" w:line="21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 xml:space="preserve">Interest rate swaps - </w:t>
      </w:r>
      <w:r>
        <w:rPr>
          <w:rFonts w:ascii="Arial" w:cs="Arial" w:eastAsia="Arial" w:hAnsi="Arial"/>
          <w:sz w:val="18"/>
          <w:szCs w:val="18"/>
          <w:color w:val="auto"/>
        </w:rPr>
        <w:t>The fair values of interest rate swaps are measured using the present value of expected future cash flows using market-based</w:t>
      </w:r>
      <w:r>
        <w:rPr>
          <w:rFonts w:ascii="Arial" w:cs="Arial" w:eastAsia="Arial" w:hAnsi="Arial"/>
          <w:sz w:val="18"/>
          <w:szCs w:val="18"/>
          <w:i w:val="1"/>
          <w:iCs w:val="1"/>
          <w:color w:val="auto"/>
        </w:rPr>
        <w:t xml:space="preserve"> </w:t>
      </w:r>
      <w:r>
        <w:rPr>
          <w:rFonts w:ascii="Arial" w:cs="Arial" w:eastAsia="Arial" w:hAnsi="Arial"/>
          <w:sz w:val="18"/>
          <w:szCs w:val="18"/>
          <w:color w:val="auto"/>
        </w:rPr>
        <w:t>observable inputs, including credit risk and interest rate yield curves. The Company does not believe that the fair values of these derivative instruments differ significantly from the amounts that could be realized upon settlement or maturity, or that the changes in fair value will have a significant effect on its results of operations, financial condition or cash flows.</w:t>
      </w:r>
    </w:p>
    <w:p>
      <w:pPr>
        <w:spacing w:after="0" w:line="21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 xml:space="preserve">Contingent consideration </w:t>
      </w:r>
      <w:r>
        <w:rPr>
          <w:rFonts w:ascii="Arial" w:cs="Arial" w:eastAsia="Arial" w:hAnsi="Arial"/>
          <w:sz w:val="18"/>
          <w:szCs w:val="18"/>
          <w:color w:val="auto"/>
        </w:rPr>
        <w:t>- The fair value of contingent consideration liabilities is based on significant unobservable inputs, including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estimates and assumptions, and is measured based on the probability-weighted present value of the payments expected to be made. Accordingly, the fair value of contingent consideration has been classified as level 3 within the fair value hierarchy. The recurring level 3 fair value measurements of contingent consideration liabilities include the following significant unobservable inputs: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86"/>
        </w:trPr>
        <w:tc>
          <w:tcPr>
            <w:tcW w:w="2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40" w:type="dxa"/>
            <w:vAlign w:val="bottom"/>
            <w:gridSpan w:val="2"/>
          </w:tcPr>
          <w:p>
            <w:pPr>
              <w:ind w:left="320"/>
              <w:spacing w:after="0"/>
              <w:rPr>
                <w:sz w:val="20"/>
                <w:szCs w:val="20"/>
                <w:color w:val="auto"/>
              </w:rPr>
            </w:pPr>
            <w:r>
              <w:rPr>
                <w:rFonts w:ascii="Arial" w:cs="Arial" w:eastAsia="Arial" w:hAnsi="Arial"/>
                <w:sz w:val="14"/>
                <w:szCs w:val="14"/>
                <w:b w:val="1"/>
                <w:bCs w:val="1"/>
                <w:color w:val="auto"/>
              </w:rPr>
              <w:t>Fair Value at</w:t>
            </w:r>
          </w:p>
        </w:tc>
        <w:tc>
          <w:tcPr>
            <w:tcW w:w="2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Valuation</w:t>
            </w:r>
          </w:p>
        </w:tc>
        <w:tc>
          <w:tcPr>
            <w:tcW w:w="25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Unobservable</w:t>
            </w:r>
          </w:p>
        </w:tc>
        <w:tc>
          <w:tcPr>
            <w:tcW w:w="1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52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w w:val="99"/>
              </w:rPr>
              <w:t>September 26, 2020</w:t>
            </w:r>
          </w:p>
        </w:tc>
        <w:tc>
          <w:tcPr>
            <w:tcW w:w="10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Technique</w:t>
            </w:r>
          </w:p>
        </w:tc>
        <w:tc>
          <w:tcPr>
            <w:tcW w:w="100" w:type="dxa"/>
            <w:vAlign w:val="bottom"/>
          </w:tcPr>
          <w:p>
            <w:pPr>
              <w:spacing w:after="0"/>
              <w:rPr>
                <w:sz w:val="16"/>
                <w:szCs w:val="16"/>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Input</w:t>
            </w:r>
          </w:p>
        </w:tc>
        <w:tc>
          <w:tcPr>
            <w:tcW w:w="120" w:type="dxa"/>
            <w:vAlign w:val="bottom"/>
            <w:tcBorders>
              <w:bottom w:val="single" w:sz="8" w:color="CCEEFF"/>
            </w:tcBorders>
          </w:tcPr>
          <w:p>
            <w:pPr>
              <w:spacing w:after="0"/>
              <w:rPr>
                <w:sz w:val="16"/>
                <w:szCs w:val="16"/>
                <w:color w:val="auto"/>
              </w:rPr>
            </w:pPr>
          </w:p>
        </w:tc>
        <w:tc>
          <w:tcPr>
            <w:tcW w:w="1960" w:type="dxa"/>
            <w:vAlign w:val="bottom"/>
            <w:tcBorders>
              <w:bottom w:val="single" w:sz="8" w:color="auto"/>
            </w:tcBorders>
          </w:tcPr>
          <w:p>
            <w:pPr>
              <w:ind w:left="780"/>
              <w:spacing w:after="0"/>
              <w:rPr>
                <w:sz w:val="20"/>
                <w:szCs w:val="20"/>
                <w:color w:val="auto"/>
              </w:rPr>
            </w:pPr>
            <w:r>
              <w:rPr>
                <w:rFonts w:ascii="Arial" w:cs="Arial" w:eastAsia="Arial" w:hAnsi="Arial"/>
                <w:sz w:val="14"/>
                <w:szCs w:val="14"/>
                <w:b w:val="1"/>
                <w:bCs w:val="1"/>
                <w:color w:val="auto"/>
              </w:rPr>
              <w:t>Range</w:t>
            </w:r>
          </w:p>
        </w:tc>
        <w:tc>
          <w:tcPr>
            <w:tcW w:w="0" w:type="dxa"/>
            <w:vAlign w:val="bottom"/>
          </w:tcPr>
          <w:p>
            <w:pPr>
              <w:spacing w:after="0"/>
              <w:rPr>
                <w:sz w:val="1"/>
                <w:szCs w:val="1"/>
                <w:color w:val="auto"/>
              </w:rPr>
            </w:pPr>
          </w:p>
        </w:tc>
      </w:tr>
      <w:tr>
        <w:trPr>
          <w:trHeight w:val="256"/>
        </w:trPr>
        <w:tc>
          <w:tcPr>
            <w:tcW w:w="2620" w:type="dxa"/>
            <w:vAlign w:val="bottom"/>
            <w:gridSpan w:val="2"/>
            <w:vMerge w:val="restart"/>
          </w:tcPr>
          <w:p>
            <w:pPr>
              <w:ind w:left="20"/>
              <w:spacing w:after="0"/>
              <w:rPr>
                <w:sz w:val="20"/>
                <w:szCs w:val="20"/>
                <w:color w:val="auto"/>
              </w:rPr>
            </w:pPr>
            <w:r>
              <w:rPr>
                <w:rFonts w:ascii="Arial" w:cs="Arial" w:eastAsia="Arial" w:hAnsi="Arial"/>
                <w:sz w:val="18"/>
                <w:szCs w:val="18"/>
                <w:color w:val="auto"/>
              </w:rPr>
              <w:t>Revenue-based payments</w:t>
            </w: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vMerge w:val="restart"/>
          </w:tcPr>
          <w:p>
            <w:pPr>
              <w:jc w:val="right"/>
              <w:spacing w:after="0"/>
              <w:rPr>
                <w:sz w:val="20"/>
                <w:szCs w:val="20"/>
                <w:color w:val="auto"/>
              </w:rPr>
            </w:pPr>
            <w:r>
              <w:rPr>
                <w:rFonts w:ascii="Arial" w:cs="Arial" w:eastAsia="Arial" w:hAnsi="Arial"/>
                <w:sz w:val="18"/>
                <w:szCs w:val="18"/>
                <w:color w:val="auto"/>
              </w:rPr>
              <w:t>1,920</w:t>
            </w:r>
          </w:p>
        </w:tc>
        <w:tc>
          <w:tcPr>
            <w:tcW w:w="100" w:type="dxa"/>
            <w:vAlign w:val="bottom"/>
          </w:tcPr>
          <w:p>
            <w:pPr>
              <w:spacing w:after="0"/>
              <w:rPr>
                <w:sz w:val="22"/>
                <w:szCs w:val="22"/>
                <w:color w:val="auto"/>
              </w:rPr>
            </w:pPr>
          </w:p>
        </w:tc>
        <w:tc>
          <w:tcPr>
            <w:tcW w:w="212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0"/>
              </w:rPr>
              <w:t>Discounted cash flow</w:t>
            </w:r>
          </w:p>
        </w:tc>
        <w:tc>
          <w:tcPr>
            <w:tcW w:w="25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Discount rate</w:t>
            </w: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8.5%</w:t>
            </w:r>
          </w:p>
        </w:tc>
        <w:tc>
          <w:tcPr>
            <w:tcW w:w="0" w:type="dxa"/>
            <w:vAlign w:val="bottom"/>
          </w:tcPr>
          <w:p>
            <w:pPr>
              <w:spacing w:after="0"/>
              <w:rPr>
                <w:sz w:val="1"/>
                <w:szCs w:val="1"/>
                <w:color w:val="auto"/>
              </w:rPr>
            </w:pPr>
          </w:p>
        </w:tc>
      </w:tr>
      <w:tr>
        <w:trPr>
          <w:trHeight w:val="122"/>
        </w:trPr>
        <w:tc>
          <w:tcPr>
            <w:tcW w:w="2620" w:type="dxa"/>
            <w:vAlign w:val="bottom"/>
            <w:gridSpan w:val="2"/>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16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120" w:type="dxa"/>
            <w:vAlign w:val="bottom"/>
            <w:gridSpan w:val="2"/>
            <w:vMerge w:val="continue"/>
          </w:tcPr>
          <w:p>
            <w:pPr>
              <w:spacing w:after="0"/>
              <w:rPr>
                <w:sz w:val="10"/>
                <w:szCs w:val="10"/>
                <w:color w:val="auto"/>
              </w:rPr>
            </w:pPr>
          </w:p>
        </w:tc>
        <w:tc>
          <w:tcPr>
            <w:tcW w:w="2400" w:type="dxa"/>
            <w:vAlign w:val="bottom"/>
            <w:vMerge w:val="restart"/>
          </w:tcPr>
          <w:p>
            <w:pPr>
              <w:jc w:val="center"/>
              <w:spacing w:after="0"/>
              <w:rPr>
                <w:sz w:val="20"/>
                <w:szCs w:val="20"/>
                <w:color w:val="auto"/>
              </w:rPr>
            </w:pPr>
            <w:r>
              <w:rPr>
                <w:rFonts w:ascii="Arial" w:cs="Arial" w:eastAsia="Arial" w:hAnsi="Arial"/>
                <w:sz w:val="18"/>
                <w:szCs w:val="18"/>
                <w:color w:val="auto"/>
                <w:w w:val="90"/>
              </w:rPr>
              <w:t>Projected year of payment</w:t>
            </w:r>
          </w:p>
        </w:tc>
        <w:tc>
          <w:tcPr>
            <w:tcW w:w="120" w:type="dxa"/>
            <w:vAlign w:val="bottom"/>
            <w:vMerge w:val="restart"/>
          </w:tcPr>
          <w:p>
            <w:pPr>
              <w:spacing w:after="0"/>
              <w:rPr>
                <w:sz w:val="10"/>
                <w:szCs w:val="10"/>
                <w:color w:val="auto"/>
              </w:rPr>
            </w:pPr>
          </w:p>
        </w:tc>
        <w:tc>
          <w:tcPr>
            <w:tcW w:w="1960" w:type="dxa"/>
            <w:vAlign w:val="bottom"/>
            <w:vMerge w:val="restart"/>
          </w:tcPr>
          <w:p>
            <w:pPr>
              <w:jc w:val="center"/>
              <w:spacing w:after="0"/>
              <w:rPr>
                <w:sz w:val="20"/>
                <w:szCs w:val="20"/>
                <w:color w:val="auto"/>
              </w:rPr>
            </w:pPr>
            <w:r>
              <w:rPr>
                <w:rFonts w:ascii="Arial" w:cs="Arial" w:eastAsia="Arial" w:hAnsi="Arial"/>
                <w:sz w:val="18"/>
                <w:szCs w:val="18"/>
                <w:color w:val="auto"/>
                <w:w w:val="89"/>
              </w:rPr>
              <w:t>2021 - 2023</w:t>
            </w:r>
          </w:p>
        </w:tc>
        <w:tc>
          <w:tcPr>
            <w:tcW w:w="0" w:type="dxa"/>
            <w:vAlign w:val="bottom"/>
          </w:tcPr>
          <w:p>
            <w:pPr>
              <w:spacing w:after="0"/>
              <w:rPr>
                <w:sz w:val="1"/>
                <w:szCs w:val="1"/>
                <w:color w:val="auto"/>
              </w:rPr>
            </w:pPr>
          </w:p>
        </w:tc>
      </w:tr>
      <w:tr>
        <w:trPr>
          <w:trHeight w:val="148"/>
        </w:trPr>
        <w:tc>
          <w:tcPr>
            <w:tcW w:w="25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CEEFF"/>
            </w:tcBorders>
            <w:vMerge w:val="continue"/>
          </w:tcPr>
          <w:p>
            <w:pPr>
              <w:spacing w:after="0"/>
              <w:rPr>
                <w:sz w:val="12"/>
                <w:szCs w:val="12"/>
                <w:color w:val="auto"/>
              </w:rPr>
            </w:pPr>
          </w:p>
        </w:tc>
        <w:tc>
          <w:tcPr>
            <w:tcW w:w="19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2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Discount rate</w:t>
            </w: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4.9%</w:t>
            </w:r>
          </w:p>
        </w:tc>
        <w:tc>
          <w:tcPr>
            <w:tcW w:w="0" w:type="dxa"/>
            <w:vAlign w:val="bottom"/>
          </w:tcPr>
          <w:p>
            <w:pPr>
              <w:spacing w:after="0"/>
              <w:rPr>
                <w:sz w:val="1"/>
                <w:szCs w:val="1"/>
                <w:color w:val="auto"/>
              </w:rPr>
            </w:pPr>
          </w:p>
        </w:tc>
      </w:tr>
      <w:tr>
        <w:trPr>
          <w:trHeight w:val="270"/>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Regulatory-based payment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23"/>
                <w:szCs w:val="23"/>
                <w:color w:val="auto"/>
              </w:rPr>
            </w:pPr>
          </w:p>
        </w:tc>
        <w:tc>
          <w:tcPr>
            <w:tcW w:w="21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Discounted cash flow</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Probability of payment</w:t>
            </w:r>
          </w:p>
        </w:tc>
        <w:tc>
          <w:tcPr>
            <w:tcW w:w="1960" w:type="dxa"/>
            <w:vAlign w:val="bottom"/>
          </w:tcPr>
          <w:p>
            <w:pPr>
              <w:jc w:val="center"/>
              <w:spacing w:after="0"/>
              <w:rPr>
                <w:sz w:val="20"/>
                <w:szCs w:val="20"/>
                <w:color w:val="auto"/>
              </w:rPr>
            </w:pPr>
            <w:r>
              <w:rPr>
                <w:rFonts w:ascii="Arial" w:cs="Arial" w:eastAsia="Arial" w:hAnsi="Arial"/>
                <w:sz w:val="18"/>
                <w:szCs w:val="18"/>
                <w:color w:val="auto"/>
                <w:w w:val="93"/>
              </w:rPr>
              <w:t>0% - 100%</w:t>
            </w:r>
          </w:p>
        </w:tc>
        <w:tc>
          <w:tcPr>
            <w:tcW w:w="0" w:type="dxa"/>
            <w:vAlign w:val="bottom"/>
          </w:tcPr>
          <w:p>
            <w:pPr>
              <w:spacing w:after="0"/>
              <w:rPr>
                <w:sz w:val="1"/>
                <w:szCs w:val="1"/>
                <w:color w:val="auto"/>
              </w:rPr>
            </w:pPr>
          </w:p>
        </w:tc>
      </w:tr>
      <w:tr>
        <w:trPr>
          <w:trHeight w:val="270"/>
        </w:trPr>
        <w:tc>
          <w:tcPr>
            <w:tcW w:w="252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2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Projected year of payment</w:t>
            </w:r>
          </w:p>
        </w:tc>
        <w:tc>
          <w:tcPr>
            <w:tcW w:w="120" w:type="dxa"/>
            <w:vAlign w:val="bottom"/>
            <w:shd w:val="clear" w:color="auto" w:fill="CCEEFF"/>
          </w:tcPr>
          <w:p>
            <w:pPr>
              <w:spacing w:after="0"/>
              <w:rPr>
                <w:sz w:val="23"/>
                <w:szCs w:val="23"/>
                <w:color w:val="auto"/>
              </w:rPr>
            </w:pPr>
          </w:p>
        </w:tc>
        <w:tc>
          <w:tcPr>
            <w:tcW w:w="19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2021 - 2023</w:t>
            </w:r>
          </w:p>
        </w:tc>
        <w:tc>
          <w:tcPr>
            <w:tcW w:w="0" w:type="dxa"/>
            <w:vAlign w:val="bottom"/>
          </w:tcPr>
          <w:p>
            <w:pPr>
              <w:spacing w:after="0"/>
              <w:rPr>
                <w:sz w:val="1"/>
                <w:szCs w:val="1"/>
                <w:color w:val="auto"/>
              </w:rPr>
            </w:pPr>
          </w:p>
        </w:tc>
      </w:tr>
    </w:tbl>
    <w:p>
      <w:pPr>
        <w:spacing w:after="0" w:line="337"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As of September 26, 2020, the maximum potential contingent consideration that the Company could be required to pay is $4.5 million. The fair value of contingent consideration associated with acquisitions was $3.9 million at September 26, 2020. As of September 26, 2020, $0.5 million was included in other current liabilities and $3.4 million was included in other liabilities on the condensed consolidated balance sheet.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change in the fair value of contingent consideration is included in the following table:</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8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0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8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March 28, 2020</w:t>
            </w:r>
          </w:p>
        </w:tc>
        <w:tc>
          <w:tcPr>
            <w:tcW w:w="10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820" w:type="dxa"/>
            <w:vAlign w:val="bottom"/>
          </w:tcPr>
          <w:p>
            <w:pPr>
              <w:ind w:left="20"/>
              <w:spacing w:after="0"/>
              <w:rPr>
                <w:sz w:val="20"/>
                <w:szCs w:val="20"/>
                <w:color w:val="auto"/>
              </w:rPr>
            </w:pPr>
            <w:r>
              <w:rPr>
                <w:rFonts w:ascii="Arial" w:cs="Arial" w:eastAsia="Arial" w:hAnsi="Arial"/>
                <w:sz w:val="18"/>
                <w:szCs w:val="18"/>
                <w:color w:val="auto"/>
              </w:rPr>
              <w:t>Acquisition date fair value of contingent consideration</w:t>
            </w:r>
          </w:p>
        </w:tc>
        <w:tc>
          <w:tcPr>
            <w:tcW w:w="10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3,920</w:t>
            </w:r>
          </w:p>
        </w:tc>
        <w:tc>
          <w:tcPr>
            <w:tcW w:w="0" w:type="dxa"/>
            <w:vAlign w:val="bottom"/>
          </w:tcPr>
          <w:p>
            <w:pPr>
              <w:spacing w:after="0"/>
              <w:rPr>
                <w:sz w:val="1"/>
                <w:szCs w:val="1"/>
                <w:color w:val="auto"/>
              </w:rPr>
            </w:pPr>
          </w:p>
        </w:tc>
      </w:tr>
      <w:tr>
        <w:trPr>
          <w:trHeight w:val="229"/>
        </w:trPr>
        <w:tc>
          <w:tcPr>
            <w:tcW w:w="8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w:t>
            </w:r>
          </w:p>
        </w:tc>
        <w:tc>
          <w:tcPr>
            <w:tcW w:w="10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820" w:type="dxa"/>
            <w:vAlign w:val="bottom"/>
          </w:tcPr>
          <w:p>
            <w:pPr>
              <w:ind w:left="20"/>
              <w:spacing w:after="0"/>
              <w:rPr>
                <w:sz w:val="20"/>
                <w:szCs w:val="20"/>
                <w:color w:val="auto"/>
              </w:rPr>
            </w:pPr>
            <w:r>
              <w:rPr>
                <w:rFonts w:ascii="Arial" w:cs="Arial" w:eastAsia="Arial" w:hAnsi="Arial"/>
                <w:sz w:val="18"/>
                <w:szCs w:val="18"/>
                <w:color w:val="auto"/>
              </w:rPr>
              <w:t>Balance at September 26, 2020</w:t>
            </w:r>
          </w:p>
        </w:tc>
        <w:tc>
          <w:tcPr>
            <w:tcW w:w="102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3,920</w:t>
            </w:r>
          </w:p>
        </w:tc>
        <w:tc>
          <w:tcPr>
            <w:tcW w:w="0" w:type="dxa"/>
            <w:vAlign w:val="bottom"/>
          </w:tcPr>
          <w:p>
            <w:pPr>
              <w:spacing w:after="0"/>
              <w:rPr>
                <w:sz w:val="1"/>
                <w:szCs w:val="1"/>
                <w:color w:val="auto"/>
              </w:rPr>
            </w:pPr>
          </w:p>
        </w:tc>
      </w:tr>
      <w:tr>
        <w:trPr>
          <w:trHeight w:val="20"/>
        </w:trPr>
        <w:tc>
          <w:tcPr>
            <w:tcW w:w="8820" w:type="dxa"/>
            <w:vAlign w:val="bottom"/>
            <w:vMerge w:val="restart"/>
          </w:tcPr>
          <w:p>
            <w:pPr>
              <w:spacing w:after="0"/>
              <w:rPr>
                <w:sz w:val="20"/>
                <w:szCs w:val="20"/>
                <w:color w:val="auto"/>
              </w:rPr>
            </w:pPr>
            <w:r>
              <w:rPr>
                <w:rFonts w:ascii="Arial" w:cs="Arial" w:eastAsia="Arial" w:hAnsi="Arial"/>
                <w:sz w:val="18"/>
                <w:szCs w:val="18"/>
                <w:b w:val="1"/>
                <w:bCs w:val="1"/>
                <w:color w:val="auto"/>
              </w:rPr>
              <w:t>Other Fair Value Disclosures</w:t>
            </w:r>
          </w:p>
        </w:tc>
        <w:tc>
          <w:tcPr>
            <w:tcW w:w="10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1"/>
        </w:trPr>
        <w:tc>
          <w:tcPr>
            <w:tcW w:w="882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820" w:type="dxa"/>
            <w:vAlign w:val="bottom"/>
          </w:tcPr>
          <w:p>
            <w:pPr>
              <w:spacing w:after="0"/>
              <w:rPr>
                <w:sz w:val="20"/>
                <w:szCs w:val="20"/>
                <w:color w:val="auto"/>
              </w:rPr>
            </w:pPr>
            <w:r>
              <w:rPr>
                <w:rFonts w:ascii="Arial" w:cs="Arial" w:eastAsia="Arial" w:hAnsi="Arial"/>
                <w:sz w:val="18"/>
                <w:szCs w:val="18"/>
                <w:color w:val="auto"/>
                <w:w w:val="94"/>
              </w:rPr>
              <w:t>The Term Loan, which is carried at amortized cost, accounts receivable and accounts payable approximate fair value.</w:t>
            </w:r>
          </w:p>
        </w:tc>
        <w:tc>
          <w:tcPr>
            <w:tcW w:w="10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820" w:type="dxa"/>
            <w:vAlign w:val="bottom"/>
          </w:tcPr>
          <w:p>
            <w:pPr>
              <w:spacing w:after="0"/>
              <w:rPr>
                <w:sz w:val="20"/>
                <w:szCs w:val="20"/>
                <w:color w:val="auto"/>
              </w:rPr>
            </w:pPr>
            <w:r>
              <w:rPr>
                <w:rFonts w:ascii="Arial" w:cs="Arial" w:eastAsia="Arial" w:hAnsi="Arial"/>
                <w:sz w:val="18"/>
                <w:szCs w:val="18"/>
                <w:b w:val="1"/>
                <w:bCs w:val="1"/>
                <w:color w:val="auto"/>
              </w:rPr>
              <w:t>13. COMMITMENTS AND CONTINGENCIES</w:t>
            </w:r>
          </w:p>
        </w:tc>
        <w:tc>
          <w:tcPr>
            <w:tcW w:w="10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The Company is a party to various legal proceedings and claims arising out of the ordinary course of its business. The Company believes there are no proceedings or claims pending against it the ultimate resolution of which could have a material adverse effect on the financial condition or results of operations. At each reporting period, the Company evaluates whether or not a potential loss amount or a potential range of loss is probable and reasonably estimable under ASC 450, </w:t>
      </w:r>
      <w:r>
        <w:rPr>
          <w:rFonts w:ascii="Arial" w:cs="Arial" w:eastAsia="Arial" w:hAnsi="Arial"/>
          <w:sz w:val="18"/>
          <w:szCs w:val="18"/>
          <w:i w:val="1"/>
          <w:iCs w:val="1"/>
          <w:color w:val="auto"/>
        </w:rPr>
        <w:t>Contingencies,</w:t>
      </w:r>
      <w:r>
        <w:rPr>
          <w:rFonts w:ascii="Arial" w:cs="Arial" w:eastAsia="Arial" w:hAnsi="Arial"/>
          <w:sz w:val="18"/>
          <w:szCs w:val="18"/>
          <w:color w:val="auto"/>
        </w:rPr>
        <w:t xml:space="preserve"> for all matters. Legal costs are expensed as incurred.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AND ENTERPRISE-WIDE INFORMATION</w:t>
      </w:r>
    </w:p>
    <w:p>
      <w:pPr>
        <w:spacing w:after="0" w:line="256"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The Company determines its reportable segments by first identifying its operating segments, and then by assessing whether any components of these segments constitute a business for which discrete financial information is available and where segment management regularly reviews the operating results of that component. Historically, the Company's operating segments were based primarily on geography. Effective as of March 31, 2019, the Company completed the transition of its operating structure to three global business units and accordingly, reorganized its reporting structure to align with its three global business units and the information that will be regularly reviewed by the Company's chief operating decision maker.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Following the reorganization, the Company's reportable segments are as follows:</w:t>
      </w:r>
    </w:p>
    <w:p>
      <w:pPr>
        <w:spacing w:after="0" w:line="131"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Plasma</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Blood Center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Hospital</w:t>
      </w:r>
    </w:p>
    <w:p>
      <w:pPr>
        <w:spacing w:after="0" w:line="238"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Management measures and evaluates the operating segments based on operating income. Management excludes certain corporate expenses from segment operating income. In addition, certain amounts that management considers to be non-recurring or non-operational are excluded from segment operating income because management evaluates the operating results of the segments excluding such items. These items include restructuring and turnaround costs, deal amortization, gains on divestitures and sale of assets, asset impairments and other related charges, accelerated depreciation and related costs, costs related to compliance with the European Union Medical Device Regulation, transaction costs and certain legal charges. Although these amounts are excluded from segment operating income, as applicable, they are included in the reconciliations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8" w:name="page19"/>
    <w:bookmarkEnd w:id="18"/>
    <w:p>
      <w:pPr>
        <w:ind w:right="220"/>
        <w:spacing w:after="0" w:line="261" w:lineRule="auto"/>
        <w:rPr>
          <w:sz w:val="20"/>
          <w:szCs w:val="20"/>
          <w:color w:val="auto"/>
        </w:rPr>
      </w:pPr>
      <w:r>
        <w:rPr>
          <w:rFonts w:ascii="Arial" w:cs="Arial" w:eastAsia="Arial" w:hAnsi="Arial"/>
          <w:sz w:val="18"/>
          <w:szCs w:val="18"/>
          <w:color w:val="auto"/>
        </w:rPr>
        <w:t>that follow. Management measures and evaluates the Company's net revenues and operating income using internally derived standard currency exchange rates that remain constant from year to year; therefore, segment information is presented on this basis.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Selected information by reportable segment is presented below:</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80" w:type="dxa"/>
            <w:vAlign w:val="bottom"/>
            <w:gridSpan w:val="5"/>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6"/>
                <w:szCs w:val="16"/>
                <w:color w:val="auto"/>
              </w:rPr>
            </w:pPr>
          </w:p>
        </w:tc>
        <w:tc>
          <w:tcPr>
            <w:tcW w:w="2380" w:type="dxa"/>
            <w:vAlign w:val="bottom"/>
            <w:gridSpan w:val="4"/>
          </w:tcPr>
          <w:p>
            <w:pPr>
              <w:jc w:val="right"/>
              <w:ind w:right="594"/>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35"/>
        </w:trPr>
        <w:tc>
          <w:tcPr>
            <w:tcW w:w="61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ind w:left="40"/>
              <w:spacing w:after="0" w:line="135" w:lineRule="exact"/>
              <w:rPr>
                <w:sz w:val="20"/>
                <w:szCs w:val="20"/>
                <w:color w:val="auto"/>
              </w:rPr>
            </w:pPr>
            <w:r>
              <w:rPr>
                <w:rFonts w:ascii="Arial" w:cs="Arial" w:eastAsia="Arial" w:hAnsi="Arial"/>
                <w:sz w:val="14"/>
                <w:szCs w:val="14"/>
                <w:b w:val="1"/>
                <w:bCs w:val="1"/>
                <w:color w:val="auto"/>
              </w:rPr>
              <w:t>September 26,</w:t>
            </w: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74"/>
              <w:spacing w:after="0" w:line="135" w:lineRule="exact"/>
              <w:rPr>
                <w:sz w:val="20"/>
                <w:szCs w:val="20"/>
                <w:color w:val="auto"/>
              </w:rPr>
            </w:pPr>
            <w:r>
              <w:rPr>
                <w:rFonts w:ascii="Arial" w:cs="Arial" w:eastAsia="Arial" w:hAnsi="Arial"/>
                <w:sz w:val="14"/>
                <w:szCs w:val="14"/>
                <w:b w:val="1"/>
                <w:bCs w:val="1"/>
                <w:color w:val="auto"/>
                <w:w w:val="91"/>
              </w:rPr>
              <w:t>September 28,</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ind w:left="40"/>
              <w:spacing w:after="0" w:line="135" w:lineRule="exact"/>
              <w:rPr>
                <w:sz w:val="20"/>
                <w:szCs w:val="20"/>
                <w:color w:val="auto"/>
              </w:rPr>
            </w:pPr>
            <w:r>
              <w:rPr>
                <w:rFonts w:ascii="Arial" w:cs="Arial" w:eastAsia="Arial" w:hAnsi="Arial"/>
                <w:sz w:val="14"/>
                <w:szCs w:val="14"/>
                <w:b w:val="1"/>
                <w:bCs w:val="1"/>
                <w:color w:val="auto"/>
              </w:rPr>
              <w:t>September 26,</w:t>
            </w: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74"/>
              <w:spacing w:after="0" w:line="135" w:lineRule="exact"/>
              <w:rPr>
                <w:sz w:val="20"/>
                <w:szCs w:val="20"/>
                <w:color w:val="auto"/>
              </w:rPr>
            </w:pPr>
            <w:r>
              <w:rPr>
                <w:rFonts w:ascii="Arial" w:cs="Arial" w:eastAsia="Arial" w:hAnsi="Arial"/>
                <w:sz w:val="14"/>
                <w:szCs w:val="14"/>
                <w:b w:val="1"/>
                <w:bCs w:val="1"/>
                <w:color w:val="auto"/>
                <w:w w:val="91"/>
              </w:rPr>
              <w:t>September 28,</w:t>
            </w:r>
          </w:p>
        </w:tc>
        <w:tc>
          <w:tcPr>
            <w:tcW w:w="0" w:type="dxa"/>
            <w:vAlign w:val="bottom"/>
          </w:tcPr>
          <w:p>
            <w:pPr>
              <w:spacing w:after="0"/>
              <w:rPr>
                <w:sz w:val="1"/>
                <w:szCs w:val="1"/>
                <w:color w:val="auto"/>
              </w:rPr>
            </w:pPr>
          </w:p>
        </w:tc>
      </w:tr>
      <w:tr>
        <w:trPr>
          <w:trHeight w:val="188"/>
        </w:trPr>
        <w:tc>
          <w:tcPr>
            <w:tcW w:w="6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1"/>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00" w:type="dxa"/>
            <w:vAlign w:val="bottom"/>
          </w:tcPr>
          <w:p>
            <w:pPr>
              <w:ind w:left="120"/>
              <w:spacing w:after="0"/>
              <w:rPr>
                <w:sz w:val="20"/>
                <w:szCs w:val="20"/>
                <w:color w:val="auto"/>
              </w:rPr>
            </w:pPr>
            <w:r>
              <w:rPr>
                <w:rFonts w:ascii="Arial" w:cs="Arial" w:eastAsia="Arial" w:hAnsi="Arial"/>
                <w:sz w:val="18"/>
                <w:szCs w:val="18"/>
                <w:color w:val="auto"/>
              </w:rPr>
              <w:t>Plasma</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78,718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116,381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147,433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227,144</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Blood Center</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161,663</w:t>
            </w:r>
          </w:p>
        </w:tc>
        <w:tc>
          <w:tcPr>
            <w:tcW w:w="0" w:type="dxa"/>
            <w:vAlign w:val="bottom"/>
          </w:tcPr>
          <w:p>
            <w:pPr>
              <w:spacing w:after="0"/>
              <w:rPr>
                <w:sz w:val="1"/>
                <w:szCs w:val="1"/>
                <w:color w:val="auto"/>
              </w:rPr>
            </w:pPr>
          </w:p>
        </w:tc>
      </w:tr>
      <w:tr>
        <w:trPr>
          <w:trHeight w:val="230"/>
        </w:trPr>
        <w:tc>
          <w:tcPr>
            <w:tcW w:w="61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Hospital</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51,022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49,662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96,593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96,849</w:t>
            </w:r>
          </w:p>
        </w:tc>
        <w:tc>
          <w:tcPr>
            <w:tcW w:w="0" w:type="dxa"/>
            <w:vAlign w:val="bottom"/>
          </w:tcPr>
          <w:p>
            <w:pPr>
              <w:spacing w:after="0"/>
              <w:rPr>
                <w:sz w:val="1"/>
                <w:szCs w:val="1"/>
                <w:color w:val="auto"/>
              </w:rPr>
            </w:pPr>
          </w:p>
        </w:tc>
      </w:tr>
      <w:tr>
        <w:trPr>
          <w:trHeight w:val="223"/>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revenues by business unit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204,455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249,710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398,055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485,656</w:t>
            </w:r>
          </w:p>
        </w:tc>
        <w:tc>
          <w:tcPr>
            <w:tcW w:w="0" w:type="dxa"/>
            <w:vAlign w:val="bottom"/>
          </w:tcPr>
          <w:p>
            <w:pPr>
              <w:spacing w:after="0"/>
              <w:rPr>
                <w:sz w:val="1"/>
                <w:szCs w:val="1"/>
                <w:color w:val="auto"/>
              </w:rPr>
            </w:pPr>
          </w:p>
        </w:tc>
      </w:tr>
      <w:tr>
        <w:trPr>
          <w:trHeight w:val="229"/>
        </w:trPr>
        <w:tc>
          <w:tcPr>
            <w:tcW w:w="610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Service </w:t>
            </w:r>
            <w:r>
              <w:rPr>
                <w:rFonts w:ascii="Arial" w:cs="Arial" w:eastAsia="Arial" w:hAnsi="Arial"/>
                <w:sz w:val="23"/>
                <w:szCs w:val="23"/>
                <w:color w:val="auto"/>
                <w:vertAlign w:val="superscript"/>
              </w:rPr>
              <w:t>(1)</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5,342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5,276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10,424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10,142</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exchange rates</w:t>
            </w: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(4,781)</w:t>
            </w:r>
          </w:p>
        </w:tc>
        <w:tc>
          <w:tcPr>
            <w:tcW w:w="0" w:type="dxa"/>
            <w:vAlign w:val="bottom"/>
          </w:tcPr>
          <w:p>
            <w:pPr>
              <w:spacing w:after="0"/>
              <w:rPr>
                <w:sz w:val="1"/>
                <w:szCs w:val="1"/>
                <w:color w:val="auto"/>
              </w:rPr>
            </w:pPr>
          </w:p>
        </w:tc>
      </w:tr>
      <w:tr>
        <w:trPr>
          <w:trHeight w:val="223"/>
        </w:trPr>
        <w:tc>
          <w:tcPr>
            <w:tcW w:w="6100" w:type="dxa"/>
            <w:vAlign w:val="bottom"/>
          </w:tcPr>
          <w:p>
            <w:pPr>
              <w:ind w:left="20"/>
              <w:spacing w:after="0"/>
              <w:rPr>
                <w:sz w:val="20"/>
                <w:szCs w:val="20"/>
                <w:color w:val="auto"/>
              </w:rPr>
            </w:pPr>
            <w:r>
              <w:rPr>
                <w:rFonts w:ascii="Arial" w:cs="Arial" w:eastAsia="Arial" w:hAnsi="Arial"/>
                <w:sz w:val="18"/>
                <w:szCs w:val="18"/>
                <w:b w:val="1"/>
                <w:bCs w:val="1"/>
                <w:color w:val="auto"/>
              </w:rPr>
              <w:t>Net revenues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209,486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252,566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405,063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491,017</w:t>
            </w: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180" w:hanging="154"/>
        <w:spacing w:after="0"/>
        <w:tabs>
          <w:tab w:leader="none" w:pos="180"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Reflects revenue for service, maintenance and parts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-124460</wp:posOffset>
            </wp:positionV>
            <wp:extent cx="325755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40" w:type="dxa"/>
            <w:vAlign w:val="bottom"/>
            <w:gridSpan w:val="5"/>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6"/>
                <w:szCs w:val="16"/>
                <w:color w:val="auto"/>
              </w:rPr>
            </w:pPr>
          </w:p>
        </w:tc>
        <w:tc>
          <w:tcPr>
            <w:tcW w:w="2440" w:type="dxa"/>
            <w:vAlign w:val="bottom"/>
            <w:gridSpan w:val="4"/>
          </w:tcPr>
          <w:p>
            <w:pPr>
              <w:jc w:val="right"/>
              <w:ind w:right="63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35"/>
        </w:trPr>
        <w:tc>
          <w:tcPr>
            <w:tcW w:w="594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ind w:left="20"/>
              <w:spacing w:after="0" w:line="135" w:lineRule="exact"/>
              <w:rPr>
                <w:sz w:val="20"/>
                <w:szCs w:val="20"/>
                <w:color w:val="auto"/>
              </w:rPr>
            </w:pPr>
            <w:r>
              <w:rPr>
                <w:rFonts w:ascii="Arial" w:cs="Arial" w:eastAsia="Arial" w:hAnsi="Arial"/>
                <w:sz w:val="14"/>
                <w:szCs w:val="14"/>
                <w:b w:val="1"/>
                <w:bCs w:val="1"/>
                <w:color w:val="auto"/>
              </w:rPr>
              <w:t>September 26,</w:t>
            </w:r>
          </w:p>
        </w:tc>
        <w:tc>
          <w:tcPr>
            <w:tcW w:w="1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ind w:right="92"/>
              <w:spacing w:after="0" w:line="135" w:lineRule="exact"/>
              <w:rPr>
                <w:sz w:val="20"/>
                <w:szCs w:val="20"/>
                <w:color w:val="auto"/>
              </w:rPr>
            </w:pPr>
            <w:r>
              <w:rPr>
                <w:rFonts w:ascii="Arial" w:cs="Arial" w:eastAsia="Arial" w:hAnsi="Arial"/>
                <w:sz w:val="14"/>
                <w:szCs w:val="14"/>
                <w:b w:val="1"/>
                <w:bCs w:val="1"/>
                <w:color w:val="auto"/>
                <w:w w:val="93"/>
              </w:rPr>
              <w:t>September 28,</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ind w:left="20"/>
              <w:spacing w:after="0" w:line="135" w:lineRule="exact"/>
              <w:rPr>
                <w:sz w:val="20"/>
                <w:szCs w:val="20"/>
                <w:color w:val="auto"/>
              </w:rPr>
            </w:pPr>
            <w:r>
              <w:rPr>
                <w:rFonts w:ascii="Arial" w:cs="Arial" w:eastAsia="Arial" w:hAnsi="Arial"/>
                <w:sz w:val="14"/>
                <w:szCs w:val="14"/>
                <w:b w:val="1"/>
                <w:bCs w:val="1"/>
                <w:color w:val="auto"/>
              </w:rPr>
              <w:t>September 26,</w:t>
            </w:r>
          </w:p>
        </w:tc>
        <w:tc>
          <w:tcPr>
            <w:tcW w:w="1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ind w:right="92"/>
              <w:spacing w:after="0" w:line="135" w:lineRule="exact"/>
              <w:rPr>
                <w:sz w:val="20"/>
                <w:szCs w:val="20"/>
                <w:color w:val="auto"/>
              </w:rPr>
            </w:pPr>
            <w:r>
              <w:rPr>
                <w:rFonts w:ascii="Arial" w:cs="Arial" w:eastAsia="Arial" w:hAnsi="Arial"/>
                <w:sz w:val="14"/>
                <w:szCs w:val="14"/>
                <w:b w:val="1"/>
                <w:bCs w:val="1"/>
                <w:color w:val="auto"/>
                <w:w w:val="93"/>
              </w:rPr>
              <w:t>September 28,</w:t>
            </w:r>
          </w:p>
        </w:tc>
        <w:tc>
          <w:tcPr>
            <w:tcW w:w="0" w:type="dxa"/>
            <w:vAlign w:val="bottom"/>
          </w:tcPr>
          <w:p>
            <w:pPr>
              <w:spacing w:after="0"/>
              <w:rPr>
                <w:sz w:val="1"/>
                <w:szCs w:val="1"/>
                <w:color w:val="auto"/>
              </w:rPr>
            </w:pPr>
          </w:p>
        </w:tc>
      </w:tr>
      <w:tr>
        <w:trPr>
          <w:trHeight w:val="188"/>
        </w:trPr>
        <w:tc>
          <w:tcPr>
            <w:tcW w:w="594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1"/>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operating income</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40" w:type="dxa"/>
            <w:vAlign w:val="bottom"/>
          </w:tcPr>
          <w:p>
            <w:pPr>
              <w:ind w:left="120"/>
              <w:spacing w:after="0"/>
              <w:rPr>
                <w:sz w:val="20"/>
                <w:szCs w:val="20"/>
                <w:color w:val="auto"/>
              </w:rPr>
            </w:pPr>
            <w:r>
              <w:rPr>
                <w:rFonts w:ascii="Arial" w:cs="Arial" w:eastAsia="Arial" w:hAnsi="Arial"/>
                <w:sz w:val="18"/>
                <w:szCs w:val="18"/>
                <w:color w:val="auto"/>
              </w:rPr>
              <w:t>Plasma</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40,823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56,776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77,173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110,501</w:t>
            </w: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Blood Center</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33,757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72,502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78,927</w:t>
            </w:r>
          </w:p>
        </w:tc>
        <w:tc>
          <w:tcPr>
            <w:tcW w:w="0" w:type="dxa"/>
            <w:vAlign w:val="bottom"/>
          </w:tcPr>
          <w:p>
            <w:pPr>
              <w:spacing w:after="0"/>
              <w:rPr>
                <w:sz w:val="1"/>
                <w:szCs w:val="1"/>
                <w:color w:val="auto"/>
              </w:rPr>
            </w:pPr>
          </w:p>
        </w:tc>
      </w:tr>
      <w:tr>
        <w:trPr>
          <w:trHeight w:val="230"/>
        </w:trPr>
        <w:tc>
          <w:tcPr>
            <w:tcW w:w="59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Hospital</w:t>
            </w: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21,459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20,851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39,242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39,767</w:t>
            </w:r>
          </w:p>
        </w:tc>
        <w:tc>
          <w:tcPr>
            <w:tcW w:w="0" w:type="dxa"/>
            <w:vAlign w:val="bottom"/>
          </w:tcPr>
          <w:p>
            <w:pPr>
              <w:spacing w:after="0"/>
              <w:rPr>
                <w:sz w:val="1"/>
                <w:szCs w:val="1"/>
                <w:color w:val="auto"/>
              </w:rPr>
            </w:pPr>
          </w:p>
        </w:tc>
      </w:tr>
      <w:tr>
        <w:trPr>
          <w:trHeight w:val="223"/>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operating income</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96,039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188,917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229,195</w:t>
            </w:r>
          </w:p>
        </w:tc>
        <w:tc>
          <w:tcPr>
            <w:tcW w:w="0" w:type="dxa"/>
            <w:vAlign w:val="bottom"/>
          </w:tcPr>
          <w:p>
            <w:pPr>
              <w:spacing w:after="0"/>
              <w:rPr>
                <w:sz w:val="1"/>
                <w:szCs w:val="1"/>
                <w:color w:val="auto"/>
              </w:rPr>
            </w:pPr>
          </w:p>
        </w:tc>
      </w:tr>
      <w:tr>
        <w:trPr>
          <w:trHeight w:val="230"/>
        </w:trPr>
        <w:tc>
          <w:tcPr>
            <w:tcW w:w="5940" w:type="dxa"/>
            <w:vAlign w:val="bottom"/>
          </w:tcPr>
          <w:p>
            <w:pPr>
              <w:ind w:left="120"/>
              <w:spacing w:after="0" w:line="230" w:lineRule="exact"/>
              <w:rPr>
                <w:sz w:val="20"/>
                <w:szCs w:val="20"/>
                <w:color w:val="auto"/>
              </w:rPr>
            </w:pPr>
            <w:r>
              <w:rPr>
                <w:rFonts w:ascii="Arial" w:cs="Arial" w:eastAsia="Arial" w:hAnsi="Arial"/>
                <w:sz w:val="18"/>
                <w:szCs w:val="18"/>
                <w:color w:val="auto"/>
              </w:rPr>
              <w:t xml:space="preserve">Corporate expenses </w:t>
            </w:r>
            <w:r>
              <w:rPr>
                <w:rFonts w:ascii="Arial" w:cs="Arial" w:eastAsia="Arial" w:hAnsi="Arial"/>
                <w:sz w:val="23"/>
                <w:szCs w:val="23"/>
                <w:color w:val="auto"/>
                <w:vertAlign w:val="superscript"/>
              </w:rPr>
              <w:t>(1)</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(56,741)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(63,580)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(121,803)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(125,283)</w:t>
            </w: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Effect of exchange rates</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5,270</w:t>
            </w:r>
          </w:p>
        </w:tc>
        <w:tc>
          <w:tcPr>
            <w:tcW w:w="0" w:type="dxa"/>
            <w:vAlign w:val="bottom"/>
          </w:tcPr>
          <w:p>
            <w:pPr>
              <w:spacing w:after="0"/>
              <w:rPr>
                <w:sz w:val="1"/>
                <w:szCs w:val="1"/>
                <w:color w:val="auto"/>
              </w:rPr>
            </w:pPr>
          </w:p>
        </w:tc>
      </w:tr>
      <w:tr>
        <w:trPr>
          <w:trHeight w:val="230"/>
        </w:trPr>
        <w:tc>
          <w:tcPr>
            <w:tcW w:w="5940" w:type="dxa"/>
            <w:vAlign w:val="bottom"/>
          </w:tcPr>
          <w:p>
            <w:pPr>
              <w:ind w:left="120"/>
              <w:spacing w:after="0"/>
              <w:rPr>
                <w:sz w:val="20"/>
                <w:szCs w:val="20"/>
                <w:color w:val="auto"/>
              </w:rPr>
            </w:pPr>
            <w:r>
              <w:rPr>
                <w:rFonts w:ascii="Arial" w:cs="Arial" w:eastAsia="Arial" w:hAnsi="Arial"/>
                <w:sz w:val="18"/>
                <w:szCs w:val="18"/>
                <w:color w:val="auto"/>
              </w:rPr>
              <w:t>Deal amortization</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(8,136)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(16,399)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(11,909)</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Restructuring and turnaround costs</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(5,784)</w:t>
            </w:r>
          </w:p>
        </w:tc>
        <w:tc>
          <w:tcPr>
            <w:tcW w:w="0" w:type="dxa"/>
            <w:vAlign w:val="bottom"/>
          </w:tcPr>
          <w:p>
            <w:pPr>
              <w:spacing w:after="0"/>
              <w:rPr>
                <w:sz w:val="1"/>
                <w:szCs w:val="1"/>
                <w:color w:val="auto"/>
              </w:rPr>
            </w:pPr>
          </w:p>
        </w:tc>
      </w:tr>
      <w:tr>
        <w:trPr>
          <w:trHeight w:val="230"/>
        </w:trPr>
        <w:tc>
          <w:tcPr>
            <w:tcW w:w="5940" w:type="dxa"/>
            <w:vAlign w:val="bottom"/>
          </w:tcPr>
          <w:p>
            <w:pPr>
              <w:ind w:left="120"/>
              <w:spacing w:after="0"/>
              <w:rPr>
                <w:sz w:val="20"/>
                <w:szCs w:val="20"/>
                <w:color w:val="auto"/>
              </w:rPr>
            </w:pPr>
            <w:r>
              <w:rPr>
                <w:rFonts w:ascii="Arial" w:cs="Arial" w:eastAsia="Arial" w:hAnsi="Arial"/>
                <w:sz w:val="18"/>
                <w:szCs w:val="18"/>
                <w:color w:val="auto"/>
              </w:rPr>
              <w:t>Transaction costs</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(1,773)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(3,063)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PCS2 accelerated depreciation and related costs</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(12,062)</w:t>
            </w:r>
          </w:p>
        </w:tc>
        <w:tc>
          <w:tcPr>
            <w:tcW w:w="0" w:type="dxa"/>
            <w:vAlign w:val="bottom"/>
          </w:tcPr>
          <w:p>
            <w:pPr>
              <w:spacing w:after="0"/>
              <w:rPr>
                <w:sz w:val="1"/>
                <w:szCs w:val="1"/>
                <w:color w:val="auto"/>
              </w:rPr>
            </w:pPr>
          </w:p>
        </w:tc>
      </w:tr>
      <w:tr>
        <w:trPr>
          <w:trHeight w:val="230"/>
        </w:trPr>
        <w:tc>
          <w:tcPr>
            <w:tcW w:w="5940" w:type="dxa"/>
            <w:vAlign w:val="bottom"/>
          </w:tcPr>
          <w:p>
            <w:pPr>
              <w:ind w:left="120"/>
              <w:spacing w:after="0"/>
              <w:rPr>
                <w:sz w:val="20"/>
                <w:szCs w:val="20"/>
                <w:color w:val="auto"/>
              </w:rPr>
            </w:pPr>
            <w:r>
              <w:rPr>
                <w:rFonts w:ascii="Arial" w:cs="Arial" w:eastAsia="Arial" w:hAnsi="Arial"/>
                <w:sz w:val="18"/>
                <w:szCs w:val="18"/>
                <w:color w:val="auto"/>
              </w:rPr>
              <w:t>European Medical Device Regulation costs and other</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(736)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(1,489)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Impairment of assets and other related charges</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(51,220)</w:t>
            </w:r>
          </w:p>
        </w:tc>
        <w:tc>
          <w:tcPr>
            <w:tcW w:w="0" w:type="dxa"/>
            <w:vAlign w:val="bottom"/>
          </w:tcPr>
          <w:p>
            <w:pPr>
              <w:spacing w:after="0"/>
              <w:rPr>
                <w:sz w:val="1"/>
                <w:szCs w:val="1"/>
                <w:color w:val="auto"/>
              </w:rPr>
            </w:pPr>
          </w:p>
        </w:tc>
      </w:tr>
      <w:tr>
        <w:trPr>
          <w:trHeight w:val="230"/>
        </w:trPr>
        <w:tc>
          <w:tcPr>
            <w:tcW w:w="59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Gains on divestitures and sale of assets</w:t>
            </w: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31,498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31,498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8,083</w:t>
            </w:r>
          </w:p>
        </w:tc>
        <w:tc>
          <w:tcPr>
            <w:tcW w:w="0" w:type="dxa"/>
            <w:vAlign w:val="bottom"/>
          </w:tcPr>
          <w:p>
            <w:pPr>
              <w:spacing w:after="0"/>
              <w:rPr>
                <w:sz w:val="1"/>
                <w:szCs w:val="1"/>
                <w:color w:val="auto"/>
              </w:rPr>
            </w:pPr>
          </w:p>
        </w:tc>
      </w:tr>
      <w:tr>
        <w:trPr>
          <w:trHeight w:val="230"/>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58,782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49,739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70,497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36,437</w:t>
            </w:r>
          </w:p>
        </w:tc>
        <w:tc>
          <w:tcPr>
            <w:tcW w:w="0" w:type="dxa"/>
            <w:vAlign w:val="bottom"/>
          </w:tcPr>
          <w:p>
            <w:pPr>
              <w:spacing w:after="0"/>
              <w:rPr>
                <w:sz w:val="1"/>
                <w:szCs w:val="1"/>
                <w:color w:val="auto"/>
              </w:rPr>
            </w:pPr>
          </w:p>
        </w:tc>
      </w:tr>
    </w:tbl>
    <w:p>
      <w:pPr>
        <w:spacing w:after="0" w:line="4" w:lineRule="exact"/>
        <w:rPr>
          <w:sz w:val="20"/>
          <w:szCs w:val="20"/>
          <w:color w:val="auto"/>
        </w:rPr>
      </w:pPr>
    </w:p>
    <w:p>
      <w:pPr>
        <w:ind w:left="20" w:right="380" w:firstLine="6"/>
        <w:spacing w:after="0" w:line="226" w:lineRule="auto"/>
        <w:tabs>
          <w:tab w:leader="none" w:pos="183" w:val="left"/>
        </w:tabs>
        <w:numPr>
          <w:ilvl w:val="0"/>
          <w:numId w:val="10"/>
        </w:numPr>
        <w:rPr>
          <w:rFonts w:ascii="Arial" w:cs="Arial" w:eastAsia="Arial" w:hAnsi="Arial"/>
          <w:sz w:val="19"/>
          <w:szCs w:val="19"/>
          <w:color w:val="auto"/>
          <w:vertAlign w:val="superscript"/>
        </w:rPr>
      </w:pPr>
      <w:r>
        <w:rPr>
          <w:rFonts w:ascii="Arial" w:cs="Arial" w:eastAsia="Arial" w:hAnsi="Arial"/>
          <w:sz w:val="15"/>
          <w:szCs w:val="15"/>
          <w:color w:val="auto"/>
        </w:rPr>
        <w:t>Reflects shared service expenses including quality and regulatory, customer and field service, research and development, manufacturing and supply chain, as well as other corporate support functions.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-226695</wp:posOffset>
            </wp:positionV>
            <wp:extent cx="33604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30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Management reviews revenue based on the reportable segments noted above. Although these reportable segments are primarily product-based, they differ from the Company’s product line revenues for Plasma products and services and Blood Center products and services. Specifically, the Blood Center reportable segment includes plasma products utilized for collection in blood centers primarily for transfusion purposes. Additionally, product line revenues also include service revenues which are excluded from the reportable segments.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Net revenues by product line are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80" w:type="dxa"/>
            <w:vAlign w:val="bottom"/>
            <w:gridSpan w:val="5"/>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6"/>
                <w:szCs w:val="16"/>
                <w:color w:val="auto"/>
              </w:rPr>
            </w:pPr>
          </w:p>
        </w:tc>
        <w:tc>
          <w:tcPr>
            <w:tcW w:w="2380" w:type="dxa"/>
            <w:vAlign w:val="bottom"/>
            <w:gridSpan w:val="4"/>
          </w:tcPr>
          <w:p>
            <w:pPr>
              <w:jc w:val="right"/>
              <w:ind w:right="596"/>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35"/>
        </w:trPr>
        <w:tc>
          <w:tcPr>
            <w:tcW w:w="61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ind w:left="40"/>
              <w:spacing w:after="0" w:line="135" w:lineRule="exact"/>
              <w:rPr>
                <w:sz w:val="20"/>
                <w:szCs w:val="20"/>
                <w:color w:val="auto"/>
              </w:rPr>
            </w:pPr>
            <w:r>
              <w:rPr>
                <w:rFonts w:ascii="Arial" w:cs="Arial" w:eastAsia="Arial" w:hAnsi="Arial"/>
                <w:sz w:val="14"/>
                <w:szCs w:val="14"/>
                <w:b w:val="1"/>
                <w:bCs w:val="1"/>
                <w:color w:val="auto"/>
              </w:rPr>
              <w:t>September 26,</w:t>
            </w: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76"/>
              <w:spacing w:after="0" w:line="135" w:lineRule="exact"/>
              <w:rPr>
                <w:sz w:val="20"/>
                <w:szCs w:val="20"/>
                <w:color w:val="auto"/>
              </w:rPr>
            </w:pPr>
            <w:r>
              <w:rPr>
                <w:rFonts w:ascii="Arial" w:cs="Arial" w:eastAsia="Arial" w:hAnsi="Arial"/>
                <w:sz w:val="14"/>
                <w:szCs w:val="14"/>
                <w:b w:val="1"/>
                <w:bCs w:val="1"/>
                <w:color w:val="auto"/>
                <w:w w:val="91"/>
              </w:rPr>
              <w:t>September 28,</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ind w:left="40"/>
              <w:spacing w:after="0" w:line="135" w:lineRule="exact"/>
              <w:rPr>
                <w:sz w:val="20"/>
                <w:szCs w:val="20"/>
                <w:color w:val="auto"/>
              </w:rPr>
            </w:pPr>
            <w:r>
              <w:rPr>
                <w:rFonts w:ascii="Arial" w:cs="Arial" w:eastAsia="Arial" w:hAnsi="Arial"/>
                <w:sz w:val="14"/>
                <w:szCs w:val="14"/>
                <w:b w:val="1"/>
                <w:bCs w:val="1"/>
                <w:color w:val="auto"/>
              </w:rPr>
              <w:t>September 26,</w:t>
            </w: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76"/>
              <w:spacing w:after="0" w:line="135" w:lineRule="exact"/>
              <w:rPr>
                <w:sz w:val="20"/>
                <w:szCs w:val="20"/>
                <w:color w:val="auto"/>
              </w:rPr>
            </w:pPr>
            <w:r>
              <w:rPr>
                <w:rFonts w:ascii="Arial" w:cs="Arial" w:eastAsia="Arial" w:hAnsi="Arial"/>
                <w:sz w:val="14"/>
                <w:szCs w:val="14"/>
                <w:b w:val="1"/>
                <w:bCs w:val="1"/>
                <w:color w:val="auto"/>
                <w:w w:val="91"/>
              </w:rPr>
              <w:t>September 28,</w:t>
            </w:r>
          </w:p>
        </w:tc>
        <w:tc>
          <w:tcPr>
            <w:tcW w:w="0" w:type="dxa"/>
            <w:vAlign w:val="bottom"/>
          </w:tcPr>
          <w:p>
            <w:pPr>
              <w:spacing w:after="0"/>
              <w:rPr>
                <w:sz w:val="1"/>
                <w:szCs w:val="1"/>
                <w:color w:val="auto"/>
              </w:rPr>
            </w:pPr>
          </w:p>
        </w:tc>
      </w:tr>
      <w:tr>
        <w:trPr>
          <w:trHeight w:val="188"/>
        </w:trPr>
        <w:tc>
          <w:tcPr>
            <w:tcW w:w="6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4"/>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Plasma products and services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186,423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265,594</w:t>
            </w:r>
          </w:p>
        </w:tc>
        <w:tc>
          <w:tcPr>
            <w:tcW w:w="0" w:type="dxa"/>
            <w:vAlign w:val="bottom"/>
          </w:tcPr>
          <w:p>
            <w:pPr>
              <w:spacing w:after="0"/>
              <w:rPr>
                <w:sz w:val="1"/>
                <w:szCs w:val="1"/>
                <w:color w:val="auto"/>
              </w:rPr>
            </w:pP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Blood Center products and services</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59,233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65,615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119,900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125,522</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Hospital products and services</w:t>
            </w: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52,543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51,102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98,740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99,901</w:t>
            </w:r>
          </w:p>
        </w:tc>
        <w:tc>
          <w:tcPr>
            <w:tcW w:w="0" w:type="dxa"/>
            <w:vAlign w:val="bottom"/>
          </w:tcPr>
          <w:p>
            <w:pPr>
              <w:spacing w:after="0"/>
              <w:rPr>
                <w:sz w:val="1"/>
                <w:szCs w:val="1"/>
                <w:color w:val="auto"/>
              </w:rPr>
            </w:pPr>
          </w:p>
        </w:tc>
      </w:tr>
      <w:tr>
        <w:trPr>
          <w:trHeight w:val="223"/>
        </w:trPr>
        <w:tc>
          <w:tcPr>
            <w:tcW w:w="6100" w:type="dxa"/>
            <w:vAlign w:val="bottom"/>
          </w:tcPr>
          <w:p>
            <w:pPr>
              <w:ind w:left="20"/>
              <w:spacing w:after="0"/>
              <w:rPr>
                <w:sz w:val="20"/>
                <w:szCs w:val="20"/>
                <w:color w:val="auto"/>
              </w:rPr>
            </w:pPr>
            <w:r>
              <w:rPr>
                <w:rFonts w:ascii="Arial" w:cs="Arial" w:eastAsia="Arial" w:hAnsi="Arial"/>
                <w:sz w:val="18"/>
                <w:szCs w:val="18"/>
                <w:b w:val="1"/>
                <w:bCs w:val="1"/>
                <w:color w:val="auto"/>
              </w:rPr>
              <w:t>Net revenues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209,486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252,566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405,063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491,017</w:t>
            </w:r>
          </w:p>
        </w:tc>
        <w:tc>
          <w:tcPr>
            <w:tcW w:w="0" w:type="dxa"/>
            <w:vAlign w:val="bottom"/>
          </w:tcPr>
          <w:p>
            <w:pPr>
              <w:spacing w:after="0"/>
              <w:rPr>
                <w:sz w:val="1"/>
                <w:szCs w:val="1"/>
                <w:color w:val="auto"/>
              </w:rPr>
            </w:pPr>
          </w:p>
        </w:tc>
      </w:tr>
      <w:tr>
        <w:trPr>
          <w:trHeight w:val="21"/>
        </w:trPr>
        <w:tc>
          <w:tcPr>
            <w:tcW w:w="6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Net revenues generated in the Company's principle operating regions on a reported basis are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40" w:type="dxa"/>
            <w:vAlign w:val="bottom"/>
            <w:gridSpan w:val="5"/>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6"/>
                <w:szCs w:val="16"/>
                <w:color w:val="auto"/>
              </w:rPr>
            </w:pPr>
          </w:p>
        </w:tc>
        <w:tc>
          <w:tcPr>
            <w:tcW w:w="2380" w:type="dxa"/>
            <w:vAlign w:val="bottom"/>
            <w:gridSpan w:val="4"/>
          </w:tcPr>
          <w:p>
            <w:pPr>
              <w:jc w:val="right"/>
              <w:ind w:right="595"/>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34"/>
        </w:trPr>
        <w:tc>
          <w:tcPr>
            <w:tcW w:w="60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ind w:left="60"/>
              <w:spacing w:after="0" w:line="135" w:lineRule="exact"/>
              <w:rPr>
                <w:sz w:val="20"/>
                <w:szCs w:val="20"/>
                <w:color w:val="auto"/>
              </w:rPr>
            </w:pPr>
            <w:r>
              <w:rPr>
                <w:rFonts w:ascii="Arial" w:cs="Arial" w:eastAsia="Arial" w:hAnsi="Arial"/>
                <w:sz w:val="14"/>
                <w:szCs w:val="14"/>
                <w:b w:val="1"/>
                <w:bCs w:val="1"/>
                <w:color w:val="auto"/>
              </w:rPr>
              <w:t>September 26,</w:t>
            </w: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75"/>
              <w:spacing w:after="0" w:line="135" w:lineRule="exact"/>
              <w:rPr>
                <w:sz w:val="20"/>
                <w:szCs w:val="20"/>
                <w:color w:val="auto"/>
              </w:rPr>
            </w:pPr>
            <w:r>
              <w:rPr>
                <w:rFonts w:ascii="Arial" w:cs="Arial" w:eastAsia="Arial" w:hAnsi="Arial"/>
                <w:sz w:val="14"/>
                <w:szCs w:val="14"/>
                <w:b w:val="1"/>
                <w:bCs w:val="1"/>
                <w:color w:val="auto"/>
                <w:w w:val="91"/>
              </w:rPr>
              <w:t>September 28,</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ind w:left="40"/>
              <w:spacing w:after="0" w:line="135" w:lineRule="exact"/>
              <w:rPr>
                <w:sz w:val="20"/>
                <w:szCs w:val="20"/>
                <w:color w:val="auto"/>
              </w:rPr>
            </w:pPr>
            <w:r>
              <w:rPr>
                <w:rFonts w:ascii="Arial" w:cs="Arial" w:eastAsia="Arial" w:hAnsi="Arial"/>
                <w:sz w:val="14"/>
                <w:szCs w:val="14"/>
                <w:b w:val="1"/>
                <w:bCs w:val="1"/>
                <w:color w:val="auto"/>
              </w:rPr>
              <w:t>September 26,</w:t>
            </w: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75"/>
              <w:spacing w:after="0" w:line="135" w:lineRule="exact"/>
              <w:rPr>
                <w:sz w:val="20"/>
                <w:szCs w:val="20"/>
                <w:color w:val="auto"/>
              </w:rPr>
            </w:pPr>
            <w:r>
              <w:rPr>
                <w:rFonts w:ascii="Arial" w:cs="Arial" w:eastAsia="Arial" w:hAnsi="Arial"/>
                <w:sz w:val="14"/>
                <w:szCs w:val="14"/>
                <w:b w:val="1"/>
                <w:bCs w:val="1"/>
                <w:color w:val="auto"/>
                <w:w w:val="91"/>
              </w:rPr>
              <w:t>September 28,</w:t>
            </w:r>
          </w:p>
        </w:tc>
        <w:tc>
          <w:tcPr>
            <w:tcW w:w="0" w:type="dxa"/>
            <w:vAlign w:val="bottom"/>
          </w:tcPr>
          <w:p>
            <w:pPr>
              <w:spacing w:after="0"/>
              <w:rPr>
                <w:sz w:val="1"/>
                <w:szCs w:val="1"/>
                <w:color w:val="auto"/>
              </w:rPr>
            </w:pPr>
          </w:p>
        </w:tc>
      </w:tr>
      <w:tr>
        <w:trPr>
          <w:trHeight w:val="188"/>
        </w:trPr>
        <w:tc>
          <w:tcPr>
            <w:tcW w:w="60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4"/>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234,993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318,255</w:t>
            </w:r>
          </w:p>
        </w:tc>
        <w:tc>
          <w:tcPr>
            <w:tcW w:w="0" w:type="dxa"/>
            <w:vAlign w:val="bottom"/>
          </w:tcPr>
          <w:p>
            <w:pPr>
              <w:spacing w:after="0"/>
              <w:rPr>
                <w:sz w:val="1"/>
                <w:szCs w:val="1"/>
                <w:color w:val="auto"/>
              </w:rPr>
            </w:pPr>
          </w:p>
        </w:tc>
      </w:tr>
      <w:tr>
        <w:trPr>
          <w:trHeight w:val="229"/>
        </w:trPr>
        <w:tc>
          <w:tcPr>
            <w:tcW w:w="6020" w:type="dxa"/>
            <w:vAlign w:val="bottom"/>
          </w:tcPr>
          <w:p>
            <w:pPr>
              <w:ind w:left="20"/>
              <w:spacing w:after="0"/>
              <w:rPr>
                <w:sz w:val="20"/>
                <w:szCs w:val="20"/>
                <w:color w:val="auto"/>
              </w:rPr>
            </w:pPr>
            <w:r>
              <w:rPr>
                <w:rFonts w:ascii="Arial" w:cs="Arial" w:eastAsia="Arial" w:hAnsi="Arial"/>
                <w:sz w:val="18"/>
                <w:szCs w:val="18"/>
                <w:color w:val="auto"/>
              </w:rPr>
              <w:t>Japan</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19,645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20,376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36,476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35,843</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74,827</w:t>
            </w:r>
          </w:p>
        </w:tc>
        <w:tc>
          <w:tcPr>
            <w:tcW w:w="0" w:type="dxa"/>
            <w:vAlign w:val="bottom"/>
          </w:tcPr>
          <w:p>
            <w:pPr>
              <w:spacing w:after="0"/>
              <w:rPr>
                <w:sz w:val="1"/>
                <w:szCs w:val="1"/>
                <w:color w:val="auto"/>
              </w:rPr>
            </w:pPr>
          </w:p>
        </w:tc>
      </w:tr>
      <w:tr>
        <w:trPr>
          <w:trHeight w:val="229"/>
        </w:trPr>
        <w:tc>
          <w:tcPr>
            <w:tcW w:w="6020" w:type="dxa"/>
            <w:vAlign w:val="bottom"/>
          </w:tcPr>
          <w:p>
            <w:pPr>
              <w:ind w:left="20"/>
              <w:spacing w:after="0"/>
              <w:rPr>
                <w:sz w:val="20"/>
                <w:szCs w:val="20"/>
                <w:color w:val="auto"/>
              </w:rPr>
            </w:pPr>
            <w:r>
              <w:rPr>
                <w:rFonts w:ascii="Arial" w:cs="Arial" w:eastAsia="Arial" w:hAnsi="Arial"/>
                <w:sz w:val="18"/>
                <w:szCs w:val="18"/>
                <w:color w:val="auto"/>
              </w:rPr>
              <w:t>Asia</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26,168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30,192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48,552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58,833</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3,259</w:t>
            </w:r>
          </w:p>
        </w:tc>
        <w:tc>
          <w:tcPr>
            <w:tcW w:w="0" w:type="dxa"/>
            <w:vAlign w:val="bottom"/>
          </w:tcPr>
          <w:p>
            <w:pPr>
              <w:spacing w:after="0"/>
              <w:rPr>
                <w:sz w:val="1"/>
                <w:szCs w:val="1"/>
                <w:color w:val="auto"/>
              </w:rPr>
            </w:pPr>
          </w:p>
        </w:tc>
      </w:tr>
      <w:tr>
        <w:trPr>
          <w:trHeight w:val="223"/>
        </w:trPr>
        <w:tc>
          <w:tcPr>
            <w:tcW w:w="6020" w:type="dxa"/>
            <w:vAlign w:val="bottom"/>
          </w:tcPr>
          <w:p>
            <w:pPr>
              <w:ind w:left="20"/>
              <w:spacing w:after="0"/>
              <w:rPr>
                <w:sz w:val="20"/>
                <w:szCs w:val="20"/>
                <w:color w:val="auto"/>
              </w:rPr>
            </w:pPr>
            <w:r>
              <w:rPr>
                <w:rFonts w:ascii="Arial" w:cs="Arial" w:eastAsia="Arial" w:hAnsi="Arial"/>
                <w:sz w:val="18"/>
                <w:szCs w:val="18"/>
                <w:b w:val="1"/>
                <w:bCs w:val="1"/>
                <w:color w:val="auto"/>
              </w:rPr>
              <w:t>Net revenues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209,486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252,566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405,063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491,017</w:t>
            </w:r>
          </w:p>
        </w:tc>
        <w:tc>
          <w:tcPr>
            <w:tcW w:w="0" w:type="dxa"/>
            <w:vAlign w:val="bottom"/>
          </w:tcPr>
          <w:p>
            <w:pPr>
              <w:spacing w:after="0"/>
              <w:rPr>
                <w:sz w:val="1"/>
                <w:szCs w:val="1"/>
                <w:color w:val="auto"/>
              </w:rPr>
            </w:pPr>
          </w:p>
        </w:tc>
      </w:tr>
      <w:tr>
        <w:trPr>
          <w:trHeight w:val="21"/>
        </w:trPr>
        <w:tc>
          <w:tcPr>
            <w:tcW w:w="6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ACCUMULATED OTHER COMPREHENSIVE LOSS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Accumulated Other Comprehensive Loss are as follows:</w:t>
      </w:r>
    </w:p>
    <w:p>
      <w:pPr>
        <w:spacing w:after="0" w:line="11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52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4"/>
                <w:szCs w:val="14"/>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Foreign Currency</w:t>
            </w:r>
          </w:p>
        </w:tc>
        <w:tc>
          <w:tcPr>
            <w:tcW w:w="120" w:type="dxa"/>
            <w:vAlign w:val="bottom"/>
          </w:tcPr>
          <w:p>
            <w:pPr>
              <w:spacing w:after="0"/>
              <w:rPr>
                <w:sz w:val="14"/>
                <w:szCs w:val="14"/>
                <w:color w:val="auto"/>
              </w:rPr>
            </w:pPr>
          </w:p>
        </w:tc>
        <w:tc>
          <w:tcPr>
            <w:tcW w:w="1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Defined Benefit Plans</w:t>
            </w:r>
          </w:p>
        </w:tc>
        <w:tc>
          <w:tcPr>
            <w:tcW w:w="200" w:type="dxa"/>
            <w:vAlign w:val="bottom"/>
          </w:tcPr>
          <w:p>
            <w:pPr>
              <w:spacing w:after="0"/>
              <w:rPr>
                <w:sz w:val="14"/>
                <w:szCs w:val="14"/>
                <w:color w:val="auto"/>
              </w:rPr>
            </w:pPr>
          </w:p>
        </w:tc>
        <w:tc>
          <w:tcPr>
            <w:tcW w:w="1480" w:type="dxa"/>
            <w:vAlign w:val="bottom"/>
            <w:gridSpan w:val="2"/>
          </w:tcPr>
          <w:p>
            <w:pPr>
              <w:ind w:left="120"/>
              <w:spacing w:after="0"/>
              <w:rPr>
                <w:sz w:val="20"/>
                <w:szCs w:val="20"/>
                <w:color w:val="auto"/>
              </w:rPr>
            </w:pPr>
            <w:r>
              <w:rPr>
                <w:rFonts w:ascii="Arial" w:cs="Arial" w:eastAsia="Arial" w:hAnsi="Arial"/>
                <w:sz w:val="14"/>
                <w:szCs w:val="14"/>
                <w:b w:val="1"/>
                <w:bCs w:val="1"/>
                <w:color w:val="auto"/>
              </w:rPr>
              <w:t>Net Unrealized</w:t>
            </w:r>
          </w:p>
        </w:tc>
        <w:tc>
          <w:tcPr>
            <w:tcW w:w="360" w:type="dxa"/>
            <w:vAlign w:val="bottom"/>
          </w:tcPr>
          <w:p>
            <w:pPr>
              <w:spacing w:after="0"/>
              <w:rPr>
                <w:sz w:val="14"/>
                <w:szCs w:val="14"/>
                <w:color w:val="auto"/>
              </w:rPr>
            </w:pPr>
          </w:p>
        </w:tc>
        <w:tc>
          <w:tcPr>
            <w:tcW w:w="1240" w:type="dxa"/>
            <w:vAlign w:val="bottom"/>
            <w:vMerge w:val="restart"/>
          </w:tcPr>
          <w:p>
            <w:pPr>
              <w:jc w:val="right"/>
              <w:ind w:right="5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5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680" w:type="dxa"/>
            <w:vAlign w:val="bottom"/>
            <w:gridSpan w:val="3"/>
          </w:tcPr>
          <w:p>
            <w:pPr>
              <w:spacing w:after="0"/>
              <w:rPr>
                <w:sz w:val="20"/>
                <w:szCs w:val="20"/>
                <w:color w:val="auto"/>
              </w:rPr>
            </w:pPr>
            <w:r>
              <w:rPr>
                <w:rFonts w:ascii="Arial" w:cs="Arial" w:eastAsia="Arial" w:hAnsi="Arial"/>
                <w:sz w:val="14"/>
                <w:szCs w:val="14"/>
                <w:b w:val="1"/>
                <w:bCs w:val="1"/>
                <w:color w:val="auto"/>
                <w:w w:val="99"/>
              </w:rPr>
              <w:t>Gain/Loss on Derivatives</w:t>
            </w:r>
          </w:p>
        </w:tc>
        <w:tc>
          <w:tcPr>
            <w:tcW w:w="36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400" w:type="dxa"/>
            <w:vAlign w:val="bottom"/>
            <w:tcBorders>
              <w:top w:val="single" w:sz="8" w:color="auto"/>
              <w:bottom w:val="single" w:sz="8" w:color="CCEEFF"/>
            </w:tcBorders>
          </w:tcPr>
          <w:p>
            <w:pPr>
              <w:ind w:left="20"/>
              <w:spacing w:after="0"/>
              <w:rPr>
                <w:sz w:val="20"/>
                <w:szCs w:val="20"/>
                <w:color w:val="auto"/>
              </w:rPr>
            </w:pPr>
            <w:r>
              <w:rPr>
                <w:rFonts w:ascii="Arial" w:cs="Arial" w:eastAsia="Arial" w:hAnsi="Arial"/>
                <w:sz w:val="18"/>
                <w:szCs w:val="18"/>
                <w:b w:val="1"/>
                <w:bCs w:val="1"/>
                <w:color w:val="auto"/>
              </w:rPr>
              <w:t>Balance as of March 28, 2020</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(31,100)</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(209)</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(13,826)</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(45,135)</w:t>
            </w:r>
          </w:p>
        </w:tc>
        <w:tc>
          <w:tcPr>
            <w:tcW w:w="0" w:type="dxa"/>
            <w:vAlign w:val="bottom"/>
          </w:tcPr>
          <w:p>
            <w:pPr>
              <w:spacing w:after="0"/>
              <w:rPr>
                <w:sz w:val="1"/>
                <w:szCs w:val="1"/>
                <w:color w:val="auto"/>
              </w:rPr>
            </w:pPr>
          </w:p>
        </w:tc>
      </w:tr>
      <w:tr>
        <w:trPr>
          <w:trHeight w:val="155"/>
        </w:trPr>
        <w:tc>
          <w:tcPr>
            <w:tcW w:w="4520" w:type="dxa"/>
            <w:vAlign w:val="bottom"/>
            <w:gridSpan w:val="2"/>
            <w:shd w:val="clear" w:color="auto" w:fill="CCEEFF"/>
          </w:tcPr>
          <w:p>
            <w:pPr>
              <w:ind w:left="20"/>
              <w:spacing w:after="0" w:line="156" w:lineRule="exact"/>
              <w:rPr>
                <w:sz w:val="20"/>
                <w:szCs w:val="20"/>
                <w:color w:val="auto"/>
              </w:rPr>
            </w:pPr>
            <w:r>
              <w:rPr>
                <w:rFonts w:ascii="Arial" w:cs="Arial" w:eastAsia="Arial" w:hAnsi="Arial"/>
                <w:sz w:val="18"/>
                <w:szCs w:val="18"/>
                <w:color w:val="auto"/>
              </w:rPr>
              <w:t>Other comprehensive income (loss) before</w:t>
            </w:r>
          </w:p>
        </w:tc>
        <w:tc>
          <w:tcPr>
            <w:tcW w:w="160" w:type="dxa"/>
            <w:vAlign w:val="bottom"/>
            <w:shd w:val="clear" w:color="auto" w:fill="CCEEFF"/>
          </w:tcPr>
          <w:p>
            <w:pPr>
              <w:spacing w:after="0"/>
              <w:rPr>
                <w:sz w:val="13"/>
                <w:szCs w:val="13"/>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5,345</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80" w:type="dxa"/>
            <w:vAlign w:val="bottom"/>
            <w:gridSpan w:val="2"/>
            <w:vMerge w:val="restart"/>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3"/>
                <w:szCs w:val="13"/>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(1,588)</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3,757</w:t>
            </w:r>
          </w:p>
        </w:tc>
        <w:tc>
          <w:tcPr>
            <w:tcW w:w="0" w:type="dxa"/>
            <w:vAlign w:val="bottom"/>
          </w:tcPr>
          <w:p>
            <w:pPr>
              <w:spacing w:after="0"/>
              <w:rPr>
                <w:sz w:val="1"/>
                <w:szCs w:val="1"/>
                <w:color w:val="auto"/>
              </w:rPr>
            </w:pPr>
          </w:p>
        </w:tc>
      </w:tr>
      <w:tr>
        <w:trPr>
          <w:trHeight w:val="230"/>
        </w:trPr>
        <w:tc>
          <w:tcPr>
            <w:tcW w:w="45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reclassifications</w:t>
            </w:r>
            <w:r>
              <w:rPr>
                <w:rFonts w:ascii="Arial" w:cs="Arial" w:eastAsia="Arial" w:hAnsi="Arial"/>
                <w:sz w:val="23"/>
                <w:szCs w:val="23"/>
                <w:color w:val="auto"/>
                <w:vertAlign w:val="superscript"/>
              </w:rPr>
              <w:t>(1)</w:t>
            </w:r>
          </w:p>
        </w:tc>
        <w:tc>
          <w:tcPr>
            <w:tcW w:w="160" w:type="dxa"/>
            <w:vAlign w:val="bottom"/>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5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Amounts reclassified from Accumulated Other</w:t>
            </w:r>
          </w:p>
        </w:tc>
        <w:tc>
          <w:tcPr>
            <w:tcW w:w="160" w:type="dxa"/>
            <w:vAlign w:val="bottom"/>
          </w:tcPr>
          <w:p>
            <w:pPr>
              <w:spacing w:after="0"/>
              <w:rPr>
                <w:sz w:val="15"/>
                <w:szCs w:val="15"/>
                <w:color w:val="auto"/>
              </w:rPr>
            </w:pPr>
          </w:p>
        </w:tc>
        <w:tc>
          <w:tcPr>
            <w:tcW w:w="15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580" w:type="dxa"/>
            <w:vAlign w:val="bottom"/>
            <w:gridSpan w:val="2"/>
            <w:vMerge w:val="restart"/>
          </w:tcPr>
          <w:p>
            <w:pPr>
              <w:ind w:left="1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2,906</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2,906</w:t>
            </w:r>
          </w:p>
        </w:tc>
        <w:tc>
          <w:tcPr>
            <w:tcW w:w="0" w:type="dxa"/>
            <w:vAlign w:val="bottom"/>
          </w:tcPr>
          <w:p>
            <w:pPr>
              <w:spacing w:after="0"/>
              <w:rPr>
                <w:sz w:val="1"/>
                <w:szCs w:val="1"/>
                <w:color w:val="auto"/>
              </w:rPr>
            </w:pPr>
          </w:p>
        </w:tc>
      </w:tr>
      <w:tr>
        <w:trPr>
          <w:trHeight w:val="230"/>
        </w:trPr>
        <w:tc>
          <w:tcPr>
            <w:tcW w:w="45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Comprehensive Loss</w:t>
            </w:r>
            <w:r>
              <w:rPr>
                <w:rFonts w:ascii="Arial" w:cs="Arial" w:eastAsia="Arial" w:hAnsi="Arial"/>
                <w:sz w:val="23"/>
                <w:szCs w:val="23"/>
                <w:color w:val="auto"/>
                <w:vertAlign w:val="superscript"/>
              </w:rPr>
              <w:t>(1)</w:t>
            </w:r>
          </w:p>
        </w:tc>
        <w:tc>
          <w:tcPr>
            <w:tcW w:w="160" w:type="dxa"/>
            <w:vAlign w:val="bottom"/>
          </w:tcPr>
          <w:p>
            <w:pPr>
              <w:spacing w:after="0"/>
              <w:rPr>
                <w:sz w:val="19"/>
                <w:szCs w:val="19"/>
                <w:color w:val="auto"/>
              </w:rPr>
            </w:pPr>
          </w:p>
        </w:tc>
        <w:tc>
          <w:tcPr>
            <w:tcW w:w="15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current period other comprehensive income</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1,318</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6,663</w:t>
            </w:r>
          </w:p>
        </w:tc>
        <w:tc>
          <w:tcPr>
            <w:tcW w:w="0" w:type="dxa"/>
            <w:vAlign w:val="bottom"/>
          </w:tcPr>
          <w:p>
            <w:pPr>
              <w:spacing w:after="0"/>
              <w:rPr>
                <w:sz w:val="1"/>
                <w:szCs w:val="1"/>
                <w:color w:val="auto"/>
              </w:rPr>
            </w:pPr>
          </w:p>
        </w:tc>
      </w:tr>
      <w:tr>
        <w:trPr>
          <w:trHeight w:val="223"/>
        </w:trPr>
        <w:tc>
          <w:tcPr>
            <w:tcW w:w="4520" w:type="dxa"/>
            <w:vAlign w:val="bottom"/>
            <w:gridSpan w:val="2"/>
          </w:tcPr>
          <w:p>
            <w:pPr>
              <w:ind w:left="20"/>
              <w:spacing w:after="0"/>
              <w:rPr>
                <w:sz w:val="20"/>
                <w:szCs w:val="20"/>
                <w:color w:val="auto"/>
              </w:rPr>
            </w:pPr>
            <w:r>
              <w:rPr>
                <w:rFonts w:ascii="Arial" w:cs="Arial" w:eastAsia="Arial" w:hAnsi="Arial"/>
                <w:sz w:val="18"/>
                <w:szCs w:val="18"/>
                <w:b w:val="1"/>
                <w:bCs w:val="1"/>
                <w:color w:val="auto"/>
              </w:rPr>
              <w:t>Balance as of September 26, 2020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(25,755)</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(209)</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(12,508)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(38,472)</w:t>
            </w:r>
          </w:p>
        </w:tc>
        <w:tc>
          <w:tcPr>
            <w:tcW w:w="0" w:type="dxa"/>
            <w:vAlign w:val="bottom"/>
          </w:tcPr>
          <w:p>
            <w:pPr>
              <w:spacing w:after="0"/>
              <w:rPr>
                <w:sz w:val="1"/>
                <w:szCs w:val="1"/>
                <w:color w:val="auto"/>
              </w:rPr>
            </w:pPr>
          </w:p>
        </w:tc>
      </w:tr>
    </w:tbl>
    <w:p>
      <w:pPr>
        <w:spacing w:after="0" w:line="5" w:lineRule="exact"/>
        <w:rPr>
          <w:sz w:val="20"/>
          <w:szCs w:val="20"/>
          <w:color w:val="auto"/>
        </w:rPr>
      </w:pPr>
    </w:p>
    <w:p>
      <w:pPr>
        <w:ind w:left="220" w:hanging="160"/>
        <w:spacing w:after="0"/>
        <w:tabs>
          <w:tab w:leader="none" w:pos="220" w:val="left"/>
        </w:tabs>
        <w:numPr>
          <w:ilvl w:val="0"/>
          <w:numId w:val="11"/>
        </w:numPr>
        <w:rPr>
          <w:rFonts w:ascii="Arial" w:cs="Arial" w:eastAsia="Arial" w:hAnsi="Arial"/>
          <w:sz w:val="19"/>
          <w:szCs w:val="19"/>
          <w:color w:val="auto"/>
          <w:vertAlign w:val="superscript"/>
        </w:rPr>
      </w:pPr>
      <w:r>
        <w:rPr>
          <w:rFonts w:ascii="Arial" w:cs="Arial" w:eastAsia="Arial" w:hAnsi="Arial"/>
          <w:sz w:val="15"/>
          <w:szCs w:val="15"/>
          <w:color w:val="auto"/>
        </w:rPr>
        <w:t>Presented net of income taxes, the amounts of which are insignificant.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-124460</wp:posOffset>
            </wp:positionV>
            <wp:extent cx="42259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225925" cy="8890"/>
                    </a:xfrm>
                    <a:prstGeom prst="rect">
                      <a:avLst/>
                    </a:prstGeom>
                    <a:noFill/>
                  </pic:spPr>
                </pic:pic>
              </a:graphicData>
            </a:graphic>
          </wp:anchor>
        </w:drawing>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This Management’s Discussion and Analysis of Financial Condition and Results of Operations (“MD&amp;A”) should be read in conjunction with both our interim condensed consolidated financial statements and notes thereto which appear elsewhere in this Quarterly Report on Form 10-Q and our annual consolidated financial statements, notes thereto and the MD&amp;A contained in our Annual Report on Form 10-K for the fiscal year ended March 28, 2020. The following discussion may contain forward-looking statements and should be read in conjunction with the “Cautionary Statement Regarding Forward-Looking Information” in this discussion.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56" w:lineRule="exact"/>
        <w:rPr>
          <w:sz w:val="20"/>
          <w:szCs w:val="20"/>
          <w:color w:val="auto"/>
        </w:rPr>
      </w:pPr>
    </w:p>
    <w:p>
      <w:pPr>
        <w:jc w:val="both"/>
        <w:ind w:right="120"/>
        <w:spacing w:after="0" w:line="311" w:lineRule="auto"/>
        <w:rPr>
          <w:sz w:val="20"/>
          <w:szCs w:val="20"/>
          <w:color w:val="auto"/>
        </w:rPr>
      </w:pPr>
      <w:r>
        <w:rPr>
          <w:rFonts w:ascii="Arial" w:cs="Arial" w:eastAsia="Arial" w:hAnsi="Arial"/>
          <w:sz w:val="16"/>
          <w:szCs w:val="16"/>
          <w:color w:val="auto"/>
        </w:rPr>
        <w:t>Haemonetics is a global healthcare company dedicated to providing a suite of innovative hematology products and solutions to customers to help improve patient care and reduce the cost of healthcare. Our technology addresses important medical markets including blood and plasma component collection, the surgical suite, and hospital transfusion services. When used in this report, the terms “we,” “us,” “our” and “the Company” mean Haemonetics.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0" w:name="page21"/>
    <w:bookmarkEnd w:id="20"/>
    <w:p>
      <w:pPr>
        <w:ind w:right="260"/>
        <w:spacing w:after="0" w:line="255" w:lineRule="auto"/>
        <w:rPr>
          <w:sz w:val="20"/>
          <w:szCs w:val="20"/>
          <w:color w:val="auto"/>
        </w:rPr>
      </w:pPr>
      <w:r>
        <w:rPr>
          <w:rFonts w:ascii="Arial" w:cs="Arial" w:eastAsia="Arial" w:hAnsi="Arial"/>
          <w:sz w:val="18"/>
          <w:szCs w:val="18"/>
          <w:color w:val="auto"/>
        </w:rPr>
        <w:t>We view our operations and manage our business in three principal reporting segments: Plasma, Blood Center and Hospital. For that purpose, “Plasma” includes plasma collection devices and disposables, plasma donor management software, and anticoagulant and saline sold to plasma customers. “Blood Center” includes blood collection and processing devices and disposables for red cells, platelets and whole blood. "Hospital", which is comprised of Hemostasis Management, Cell Salvage and Transfusion Management products, includes devices and methodologies for measuring coagulation characteristics of blood, surgical blood salvage systems, specialized blood cell processing systems and disposables and blood transfusion management software.</w:t>
      </w:r>
    </w:p>
    <w:p>
      <w:pPr>
        <w:spacing w:after="0" w:line="219"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We believe that Plasma and Hospital have growth potential, while Blood Center competes in challenging markets which require us to manage the business differently, including reducing costs, shrinking the scope of the current product line, and evaluating opportunities to exit unfavorable customer contracts.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Persona</w:t>
      </w:r>
      <w:r>
        <w:rPr>
          <w:rFonts w:ascii="Arial" w:cs="Arial" w:eastAsia="Arial" w:hAnsi="Arial"/>
          <w:sz w:val="23"/>
          <w:szCs w:val="23"/>
          <w:color w:val="auto"/>
          <w:vertAlign w:val="superscript"/>
        </w:rPr>
        <w:t>TM</w:t>
      </w:r>
    </w:p>
    <w:p>
      <w:pPr>
        <w:spacing w:after="0" w:line="186" w:lineRule="exact"/>
        <w:rPr>
          <w:sz w:val="20"/>
          <w:szCs w:val="20"/>
          <w:color w:val="auto"/>
        </w:rPr>
      </w:pPr>
    </w:p>
    <w:p>
      <w:pPr>
        <w:jc w:val="both"/>
        <w:ind w:right="180"/>
        <w:spacing w:after="0" w:line="276" w:lineRule="auto"/>
        <w:rPr>
          <w:sz w:val="20"/>
          <w:szCs w:val="20"/>
          <w:color w:val="auto"/>
        </w:rPr>
      </w:pPr>
      <w:r>
        <w:rPr>
          <w:rFonts w:ascii="Arial" w:cs="Arial" w:eastAsia="Arial" w:hAnsi="Arial"/>
          <w:sz w:val="16"/>
          <w:szCs w:val="16"/>
          <w:color w:val="auto"/>
        </w:rPr>
        <w:t>On October 2, 2020, we received U.S. Food and Drug Administration ("FDA") 510(k) clearance for our NexSys PCS® with Persona technology. NexSys PCS with Persona technology uses a percent plasma nomogram that customizes plasma collection based on an individual donor's body composition. The new, proprietary Persona technology strengthens the NexSys PCS value proposition and reinforces our commitment to supporting the plasma industry.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w:t>
      </w:r>
    </w:p>
    <w:p>
      <w:pPr>
        <w:spacing w:after="0" w:line="239"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We continue to closely manage the impacts of the COVID-19 pandemic on our business results of operations and financial condition. The progression of the COVID-19 pandemic during the first half of fiscal 2021 significantly impacted our financial results. While the duration and additional implications remain uncertain, the full extent of the impact will depend on future developments that are highly uncertain and cannot be accurately predicted, including new information that may emerge concerning COVID-19, the actions taken to contain it or treat its impact and the economic impact on local, regional, national and international markets.</w:t>
      </w:r>
    </w:p>
    <w:p>
      <w:pPr>
        <w:spacing w:after="0" w:line="21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Our priorities continue to be the safety of our employees, business continuity and cash preservation while continuing to invest in organic growth opportunities. Our manufacturing and supply chain remain operational without any shutdowns or significant disruptions and we continue to operate in all of our markets.</w:t>
      </w:r>
    </w:p>
    <w:p>
      <w:pPr>
        <w:spacing w:after="0" w:line="211"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Although the pace and timing of the recovery is uncertain, we remain confident in the long term strength of the end markets that we serve across our three business units. For additional information regarding the expected impacts to our business units and the various risks posed by the COVID-19 pandemic, refer to Results of Operations within Management's Discussion and Analysis and Risk Factors contained in this Quarterly Report on Form 10-Q.</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w:t>
      </w:r>
    </w:p>
    <w:p>
      <w:pPr>
        <w:spacing w:after="0" w:line="247"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On April 1, 2020, we acquired enicor GmbH ("enicor"), the manufacturer of ClotPro</w:t>
      </w:r>
      <w:r>
        <w:rPr>
          <w:rFonts w:ascii="Arial" w:cs="Arial" w:eastAsia="Arial" w:hAnsi="Arial"/>
          <w:sz w:val="22"/>
          <w:szCs w:val="22"/>
          <w:color w:val="auto"/>
          <w:vertAlign w:val="superscript"/>
        </w:rPr>
        <w:t>®</w:t>
      </w:r>
      <w:r>
        <w:rPr>
          <w:rFonts w:ascii="Arial" w:cs="Arial" w:eastAsia="Arial" w:hAnsi="Arial"/>
          <w:sz w:val="17"/>
          <w:szCs w:val="17"/>
          <w:color w:val="auto"/>
        </w:rPr>
        <w:t>, a new generation whole blood coagulation testing system that is currently available in select European and Asia Pacific markets, for total consideration of $20.5 million, which consisted of upfront payments of $16.6 million and the fair value of contingent consideration of $3.9 million. The contingent consideration, which could total a maximum of $4.5 million, consists of payments related to the achievement of certain revenue and regulatory milestones. The acquisition of this viscoelastic diagnostic device augments the Company's portfolio of hemostasis analyzers within the Hospital business unit. Refer to Note 4, Acquisition, to the Unaudited Condensed Consolidated Financial Statements in this Quarterly Report on Form 10-Q for additional information.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Divestitures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Fajardo, Puerto Rico Manufacturing Operations</w:t>
      </w:r>
    </w:p>
    <w:p>
      <w:pPr>
        <w:spacing w:after="0" w:line="252" w:lineRule="exact"/>
        <w:rPr>
          <w:sz w:val="20"/>
          <w:szCs w:val="20"/>
          <w:color w:val="auto"/>
        </w:rPr>
      </w:pPr>
    </w:p>
    <w:p>
      <w:pPr>
        <w:ind w:right="120"/>
        <w:spacing w:after="0" w:line="279" w:lineRule="auto"/>
        <w:rPr>
          <w:sz w:val="20"/>
          <w:szCs w:val="20"/>
          <w:color w:val="auto"/>
        </w:rPr>
      </w:pPr>
      <w:r>
        <w:rPr>
          <w:rFonts w:ascii="Arial" w:cs="Arial" w:eastAsia="Arial" w:hAnsi="Arial"/>
          <w:sz w:val="16"/>
          <w:szCs w:val="16"/>
          <w:color w:val="auto"/>
        </w:rPr>
        <w:t>On June 29, 2020, we sold our Fajardo, Puerto Rico, manufacturing operations to GVS, S.p.A ("GVS"), a leading provider of advanced filtration solutions for critical applications for $15.5 million ($8.1 million, net of cash transferred). Under the terms of the agreement, Haemonetics retained all intellectual property rights to its proprietary blood filters currently manufactured at its Fajardo facility and GVS acquired certain assets consisting primarily of property, plant and equipment, inventory and cash and has assumed certain related liabilities. In addition, the two parties entered into a long-term supply and development agreement that, among other things, grants GVS exclusive rights to manufacture and supply the blood filters currently produced at the</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1" w:name="page22"/>
    <w:bookmarkEnd w:id="21"/>
    <w:p>
      <w:pPr>
        <w:ind w:right="60"/>
        <w:spacing w:after="0" w:line="261" w:lineRule="auto"/>
        <w:rPr>
          <w:sz w:val="20"/>
          <w:szCs w:val="20"/>
          <w:color w:val="auto"/>
        </w:rPr>
      </w:pPr>
      <w:r>
        <w:rPr>
          <w:rFonts w:ascii="Arial" w:cs="Arial" w:eastAsia="Arial" w:hAnsi="Arial"/>
          <w:sz w:val="18"/>
          <w:szCs w:val="18"/>
          <w:color w:val="auto"/>
        </w:rPr>
        <w:t>Fajardo facility for Haemonetics. This divestiture will allow Haemonetics to utilize GVS' experience and scale in filtration to deliver reliable, cost-efficient products to its customers.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U.S. Blood Donor Management Software</w:t>
      </w:r>
    </w:p>
    <w:p>
      <w:pPr>
        <w:spacing w:after="0" w:line="252"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On July 1, 2020, we sold certain U.S. blood donor management software solution assets within our Blood Center business unit to the GPI Group for an upfront cash payment of $14.0 million ($13.6 million, net of working capital adjustments) and recognized an $11.7 million gain on the sale. In addition to the cash received upon closing, we may also receive up to an additional $14.0 million, contingent upon the achievement of certain performance measures. This divestiture better positions Haemonetics for sustainable growth by enabling the Company to focus on its core capabilities while delivering quality products and services where it brings distinct value.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Inlog Holdings France</w:t>
      </w:r>
    </w:p>
    <w:p>
      <w:pPr>
        <w:spacing w:after="0" w:line="252"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color w:val="auto"/>
        </w:rPr>
        <w:t>On September 18, 2020, we sold our wholly-owned subsidiary Inlog Holdings France SAS to Abénex Capital ("Abénex"), a private equity firm based in France for $30.5 million ($24.5 million, net of cash transferred) and recognized a gain of $19.8 million. Inlog Holdings France SAS, through its subsidiary In Log SAS, develops and sells blood bank and hospital software solutions used predominantly in France and in several other countries outside of the U.S. This divestiture and the sale of our U.S. blood donor management software better position us to focus on our growth segments.</w:t>
      </w:r>
    </w:p>
    <w:p>
      <w:pPr>
        <w:spacing w:after="0" w:line="199"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 xml:space="preserve">Refer to Note 5, </w:t>
      </w:r>
      <w:r>
        <w:rPr>
          <w:rFonts w:ascii="Arial" w:cs="Arial" w:eastAsia="Arial" w:hAnsi="Arial"/>
          <w:sz w:val="18"/>
          <w:szCs w:val="18"/>
          <w:i w:val="1"/>
          <w:iCs w:val="1"/>
          <w:color w:val="auto"/>
        </w:rPr>
        <w:t>Divestitures</w:t>
      </w:r>
      <w:r>
        <w:rPr>
          <w:rFonts w:ascii="Arial" w:cs="Arial" w:eastAsia="Arial" w:hAnsi="Arial"/>
          <w:sz w:val="18"/>
          <w:szCs w:val="18"/>
          <w:color w:val="auto"/>
        </w:rPr>
        <w:t>, to the Unaudited Condensed Consolidated Financial Statements in this Quarterly Report on Form 10-Q for additional information pertaining to these divestitures.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Program</w:t>
      </w:r>
    </w:p>
    <w:p>
      <w:pPr>
        <w:spacing w:after="0" w:line="25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July 2019, our Board of Directors approved a new Operational Excellence Program (the "2020 Program") and delegated authority to management to determine the detail of the initiatives that will comprise the program. The 2020 Program is designed to improve operational performance and reduce cost principally in our manufacturing and supply chain operations. We estimate that we will incur aggregate charges between $60 million and $70 million in connection with the 2020 Program. These charges, the majority of which will result in cash outlays, including severance and other employee costs, will be incurred as the specific actions required to execute these initiatives are identified and approved and are expected to be substantially completed by the end of fiscal 2023. Savings from the 2020 Program are targeted to reach $80 million to $90 million on an annualized basis once the program is completed. During the three and six months ended September 26, 2020, we incurred $4.4 million and $8.0 million, respectively, of restructuring and turnaround costs under this program.</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Summary</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Six Months Ended</w:t>
            </w: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3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 except per share data)</w:t>
            </w:r>
          </w:p>
        </w:tc>
        <w:tc>
          <w:tcPr>
            <w:tcW w:w="160" w:type="dxa"/>
            <w:vAlign w:val="bottom"/>
          </w:tcPr>
          <w:p>
            <w:pPr>
              <w:spacing w:after="0"/>
              <w:rPr>
                <w:sz w:val="11"/>
                <w:szCs w:val="11"/>
                <w:color w:val="auto"/>
              </w:rPr>
            </w:pPr>
          </w:p>
        </w:tc>
        <w:tc>
          <w:tcPr>
            <w:tcW w:w="1120" w:type="dxa"/>
            <w:vAlign w:val="bottom"/>
          </w:tcPr>
          <w:p>
            <w:pPr>
              <w:jc w:val="right"/>
              <w:ind w:right="112"/>
              <w:spacing w:after="0" w:line="135" w:lineRule="exact"/>
              <w:rPr>
                <w:sz w:val="20"/>
                <w:szCs w:val="20"/>
                <w:color w:val="auto"/>
              </w:rPr>
            </w:pPr>
            <w:r>
              <w:rPr>
                <w:rFonts w:ascii="Arial" w:cs="Arial" w:eastAsia="Arial" w:hAnsi="Arial"/>
                <w:sz w:val="14"/>
                <w:szCs w:val="14"/>
                <w:b w:val="1"/>
                <w:bCs w:val="1"/>
                <w:color w:val="auto"/>
                <w:w w:val="93"/>
              </w:rPr>
              <w:t>September 26,</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September 28,</w:t>
            </w:r>
          </w:p>
        </w:tc>
        <w:tc>
          <w:tcPr>
            <w:tcW w:w="11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 Increase/</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September 26,</w:t>
            </w:r>
          </w:p>
        </w:tc>
        <w:tc>
          <w:tcPr>
            <w:tcW w:w="1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September 28,</w:t>
            </w:r>
          </w:p>
        </w:tc>
        <w:tc>
          <w:tcPr>
            <w:tcW w:w="11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 Increase/</w:t>
            </w:r>
          </w:p>
        </w:tc>
        <w:tc>
          <w:tcPr>
            <w:tcW w:w="0" w:type="dxa"/>
            <w:vAlign w:val="bottom"/>
          </w:tcPr>
          <w:p>
            <w:pPr>
              <w:spacing w:after="0"/>
              <w:rPr>
                <w:sz w:val="1"/>
                <w:szCs w:val="1"/>
                <w:color w:val="auto"/>
              </w:rPr>
            </w:pPr>
          </w:p>
        </w:tc>
      </w:tr>
      <w:tr>
        <w:trPr>
          <w:trHeight w:val="188"/>
        </w:trPr>
        <w:tc>
          <w:tcPr>
            <w:tcW w:w="33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(Decrease)</w:t>
            </w:r>
          </w:p>
        </w:tc>
        <w:tc>
          <w:tcPr>
            <w:tcW w:w="140" w:type="dxa"/>
            <w:vAlign w:val="bottom"/>
          </w:tcPr>
          <w:p>
            <w:pPr>
              <w:spacing w:after="0"/>
              <w:rPr>
                <w:sz w:val="16"/>
                <w:szCs w:val="16"/>
                <w:color w:val="auto"/>
              </w:rPr>
            </w:pPr>
          </w:p>
        </w:tc>
        <w:tc>
          <w:tcPr>
            <w:tcW w:w="1120" w:type="dxa"/>
            <w:vAlign w:val="bottom"/>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41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24"/>
        </w:trPr>
        <w:tc>
          <w:tcPr>
            <w:tcW w:w="3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209,486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252,566</w:t>
            </w:r>
          </w:p>
        </w:tc>
        <w:tc>
          <w:tcPr>
            <w:tcW w:w="12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(17.1)%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405,063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491,017</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(17.5)%</w:t>
            </w:r>
          </w:p>
        </w:tc>
        <w:tc>
          <w:tcPr>
            <w:tcW w:w="0" w:type="dxa"/>
            <w:vAlign w:val="bottom"/>
          </w:tcPr>
          <w:p>
            <w:pPr>
              <w:spacing w:after="0"/>
              <w:rPr>
                <w:sz w:val="1"/>
                <w:szCs w:val="1"/>
                <w:color w:val="auto"/>
              </w:rPr>
            </w:pPr>
          </w:p>
        </w:tc>
      </w:tr>
      <w:tr>
        <w:trPr>
          <w:trHeight w:val="230"/>
        </w:trPr>
        <w:tc>
          <w:tcPr>
            <w:tcW w:w="3300" w:type="dxa"/>
            <w:vAlign w:val="bottom"/>
          </w:tcPr>
          <w:p>
            <w:pPr>
              <w:ind w:left="20"/>
              <w:spacing w:after="0"/>
              <w:rPr>
                <w:sz w:val="20"/>
                <w:szCs w:val="20"/>
                <w:color w:val="auto"/>
              </w:rPr>
            </w:pPr>
            <w:r>
              <w:rPr>
                <w:rFonts w:ascii="Arial" w:cs="Arial" w:eastAsia="Arial" w:hAnsi="Arial"/>
                <w:sz w:val="18"/>
                <w:szCs w:val="18"/>
                <w:b w:val="1"/>
                <w:bCs w:val="1"/>
                <w:color w:val="auto"/>
              </w:rPr>
              <w:t>Gross profit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105,744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127,000</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(16.7)%</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195,774</w:t>
            </w:r>
          </w:p>
        </w:tc>
        <w:tc>
          <w:tcPr>
            <w:tcW w:w="10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242,906</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(19.4)%</w:t>
            </w:r>
          </w:p>
        </w:tc>
        <w:tc>
          <w:tcPr>
            <w:tcW w:w="0" w:type="dxa"/>
            <w:vAlign w:val="bottom"/>
          </w:tcPr>
          <w:p>
            <w:pPr>
              <w:spacing w:after="0"/>
              <w:rPr>
                <w:sz w:val="1"/>
                <w:szCs w:val="1"/>
                <w:color w:val="auto"/>
              </w:rPr>
            </w:pPr>
          </w:p>
        </w:tc>
      </w:tr>
      <w:tr>
        <w:trPr>
          <w:trHeight w:val="230"/>
        </w:trPr>
        <w:tc>
          <w:tcPr>
            <w:tcW w:w="3300" w:type="dxa"/>
            <w:vAlign w:val="bottom"/>
            <w:shd w:val="clear" w:color="auto" w:fill="CCEEFF"/>
          </w:tcPr>
          <w:p>
            <w:pPr>
              <w:ind w:left="120"/>
              <w:spacing w:after="0"/>
              <w:rPr>
                <w:sz w:val="20"/>
                <w:szCs w:val="20"/>
                <w:color w:val="auto"/>
              </w:rPr>
            </w:pPr>
            <w:r>
              <w:rPr>
                <w:rFonts w:ascii="Arial" w:cs="Arial" w:eastAsia="Arial" w:hAnsi="Arial"/>
                <w:sz w:val="18"/>
                <w:szCs w:val="18"/>
                <w:i w:val="1"/>
                <w:iCs w:val="1"/>
                <w:color w:val="auto"/>
              </w:rPr>
              <w:t>% of net revenues</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50.5 %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50.3 %</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48.3 %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49.5 %</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46,962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77,261</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(39.2)%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125,277</w:t>
            </w:r>
          </w:p>
        </w:tc>
        <w:tc>
          <w:tcPr>
            <w:tcW w:w="10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206,469</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(39.3)%</w:t>
            </w:r>
          </w:p>
        </w:tc>
        <w:tc>
          <w:tcPr>
            <w:tcW w:w="0" w:type="dxa"/>
            <w:vAlign w:val="bottom"/>
          </w:tcPr>
          <w:p>
            <w:pPr>
              <w:spacing w:after="0"/>
              <w:rPr>
                <w:sz w:val="1"/>
                <w:szCs w:val="1"/>
                <w:color w:val="auto"/>
              </w:rPr>
            </w:pPr>
          </w:p>
        </w:tc>
      </w:tr>
      <w:tr>
        <w:trPr>
          <w:trHeight w:val="229"/>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58,782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49,739</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18.2 %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70,497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36,437</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93.5 %</w:t>
            </w:r>
          </w:p>
        </w:tc>
        <w:tc>
          <w:tcPr>
            <w:tcW w:w="0" w:type="dxa"/>
            <w:vAlign w:val="bottom"/>
          </w:tcPr>
          <w:p>
            <w:pPr>
              <w:spacing w:after="0"/>
              <w:rPr>
                <w:sz w:val="1"/>
                <w:szCs w:val="1"/>
                <w:color w:val="auto"/>
              </w:rPr>
            </w:pPr>
          </w:p>
        </w:tc>
      </w:tr>
      <w:tr>
        <w:trPr>
          <w:trHeight w:val="230"/>
        </w:trPr>
        <w:tc>
          <w:tcPr>
            <w:tcW w:w="3300" w:type="dxa"/>
            <w:vAlign w:val="bottom"/>
          </w:tcPr>
          <w:p>
            <w:pPr>
              <w:ind w:left="120"/>
              <w:spacing w:after="0"/>
              <w:rPr>
                <w:sz w:val="20"/>
                <w:szCs w:val="20"/>
                <w:color w:val="auto"/>
              </w:rPr>
            </w:pPr>
            <w:r>
              <w:rPr>
                <w:rFonts w:ascii="Arial" w:cs="Arial" w:eastAsia="Arial" w:hAnsi="Arial"/>
                <w:sz w:val="18"/>
                <w:szCs w:val="18"/>
                <w:i w:val="1"/>
                <w:iCs w:val="1"/>
                <w:color w:val="auto"/>
              </w:rPr>
              <w:t>% of net revenues</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28.1 %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i w:val="1"/>
                <w:iCs w:val="1"/>
                <w:color w:val="auto"/>
              </w:rPr>
              <w:t>19.7 %</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17.4 %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7.4 %</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other expense, net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(3,826)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(4,651)</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(17.7)%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(7,561)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(9,074)</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(16.7)%</w:t>
            </w:r>
          </w:p>
        </w:tc>
        <w:tc>
          <w:tcPr>
            <w:tcW w:w="0" w:type="dxa"/>
            <w:vAlign w:val="bottom"/>
          </w:tcPr>
          <w:p>
            <w:pPr>
              <w:spacing w:after="0"/>
              <w:rPr>
                <w:sz w:val="1"/>
                <w:szCs w:val="1"/>
                <w:color w:val="auto"/>
              </w:rPr>
            </w:pPr>
          </w:p>
        </w:tc>
      </w:tr>
      <w:tr>
        <w:trPr>
          <w:trHeight w:val="230"/>
        </w:trPr>
        <w:tc>
          <w:tcPr>
            <w:tcW w:w="3300" w:type="dxa"/>
            <w:vAlign w:val="bottom"/>
          </w:tcPr>
          <w:p>
            <w:pPr>
              <w:ind w:left="20"/>
              <w:spacing w:after="0"/>
              <w:rPr>
                <w:sz w:val="20"/>
                <w:szCs w:val="20"/>
                <w:color w:val="auto"/>
              </w:rPr>
            </w:pPr>
            <w:r>
              <w:rPr>
                <w:rFonts w:ascii="Arial" w:cs="Arial" w:eastAsia="Arial" w:hAnsi="Arial"/>
                <w:sz w:val="18"/>
                <w:szCs w:val="18"/>
                <w:b w:val="1"/>
                <w:bCs w:val="1"/>
                <w:color w:val="auto"/>
                <w:w w:val="91"/>
              </w:rPr>
              <w:t>Income before provision for income taxes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54,956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45,088</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21.9 %</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62,936</w:t>
            </w:r>
          </w:p>
        </w:tc>
        <w:tc>
          <w:tcPr>
            <w:tcW w:w="10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27,363</w:t>
            </w:r>
          </w:p>
        </w:tc>
        <w:tc>
          <w:tcPr>
            <w:tcW w:w="10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i w:val="1"/>
                <w:iCs w:val="1"/>
                <w:color w:val="auto"/>
                <w:w w:val="93"/>
              </w:rPr>
              <w:t>n/m</w:t>
            </w:r>
          </w:p>
        </w:tc>
        <w:tc>
          <w:tcPr>
            <w:tcW w:w="0" w:type="dxa"/>
            <w:vAlign w:val="bottom"/>
          </w:tcPr>
          <w:p>
            <w:pPr>
              <w:spacing w:after="0"/>
              <w:rPr>
                <w:sz w:val="1"/>
                <w:szCs w:val="1"/>
                <w:color w:val="auto"/>
              </w:rPr>
            </w:pPr>
          </w:p>
        </w:tc>
      </w:tr>
      <w:tr>
        <w:trPr>
          <w:trHeight w:val="229"/>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(benefit) for income taxes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6,855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7,602</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(9.8)%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4,308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(1,644)</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i w:val="1"/>
                <w:iCs w:val="1"/>
                <w:color w:val="auto"/>
                <w:w w:val="93"/>
              </w:rPr>
              <w:t>n/m</w:t>
            </w:r>
          </w:p>
        </w:tc>
        <w:tc>
          <w:tcPr>
            <w:tcW w:w="0" w:type="dxa"/>
            <w:vAlign w:val="bottom"/>
          </w:tcPr>
          <w:p>
            <w:pPr>
              <w:spacing w:after="0"/>
              <w:rPr>
                <w:sz w:val="1"/>
                <w:szCs w:val="1"/>
                <w:color w:val="auto"/>
              </w:rPr>
            </w:pPr>
          </w:p>
        </w:tc>
      </w:tr>
      <w:tr>
        <w:trPr>
          <w:trHeight w:val="230"/>
        </w:trPr>
        <w:tc>
          <w:tcPr>
            <w:tcW w:w="3300" w:type="dxa"/>
            <w:vAlign w:val="bottom"/>
          </w:tcPr>
          <w:p>
            <w:pPr>
              <w:ind w:left="120"/>
              <w:spacing w:after="0"/>
              <w:rPr>
                <w:sz w:val="20"/>
                <w:szCs w:val="20"/>
                <w:color w:val="auto"/>
              </w:rPr>
            </w:pPr>
            <w:r>
              <w:rPr>
                <w:rFonts w:ascii="Arial" w:cs="Arial" w:eastAsia="Arial" w:hAnsi="Arial"/>
                <w:sz w:val="18"/>
                <w:szCs w:val="18"/>
                <w:i w:val="1"/>
                <w:iCs w:val="1"/>
                <w:color w:val="auto"/>
              </w:rPr>
              <w:t>% of pre-tax income</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12.5 %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i w:val="1"/>
                <w:iCs w:val="1"/>
                <w:color w:val="auto"/>
              </w:rPr>
              <w:t>16.9 %</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6.8 %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(6.0)%</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48,101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37,486</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28.3 %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58,628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29,007</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i w:val="1"/>
                <w:iCs w:val="1"/>
                <w:color w:val="auto"/>
                <w:w w:val="93"/>
              </w:rPr>
              <w:t>n/m</w:t>
            </w:r>
          </w:p>
        </w:tc>
        <w:tc>
          <w:tcPr>
            <w:tcW w:w="0" w:type="dxa"/>
            <w:vAlign w:val="bottom"/>
          </w:tcPr>
          <w:p>
            <w:pPr>
              <w:spacing w:after="0"/>
              <w:rPr>
                <w:sz w:val="1"/>
                <w:szCs w:val="1"/>
                <w:color w:val="auto"/>
              </w:rPr>
            </w:pPr>
          </w:p>
        </w:tc>
      </w:tr>
      <w:tr>
        <w:trPr>
          <w:trHeight w:val="230"/>
        </w:trPr>
        <w:tc>
          <w:tcPr>
            <w:tcW w:w="3300" w:type="dxa"/>
            <w:vAlign w:val="bottom"/>
          </w:tcPr>
          <w:p>
            <w:pPr>
              <w:ind w:left="120"/>
              <w:spacing w:after="0"/>
              <w:rPr>
                <w:sz w:val="20"/>
                <w:szCs w:val="20"/>
                <w:color w:val="auto"/>
              </w:rPr>
            </w:pPr>
            <w:r>
              <w:rPr>
                <w:rFonts w:ascii="Arial" w:cs="Arial" w:eastAsia="Arial" w:hAnsi="Arial"/>
                <w:sz w:val="18"/>
                <w:szCs w:val="18"/>
                <w:i w:val="1"/>
                <w:iCs w:val="1"/>
                <w:color w:val="auto"/>
              </w:rPr>
              <w:t>% of net revenues</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23.0 %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i w:val="1"/>
                <w:iCs w:val="1"/>
                <w:color w:val="auto"/>
              </w:rPr>
              <w:t>14.8 %</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14.5 %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5.9 %</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share - basic</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0.95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0.74</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28.4 %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0.57</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i w:val="1"/>
                <w:iCs w:val="1"/>
                <w:color w:val="auto"/>
                <w:w w:val="93"/>
              </w:rPr>
              <w:t>n/m</w:t>
            </w:r>
          </w:p>
        </w:tc>
        <w:tc>
          <w:tcPr>
            <w:tcW w:w="0" w:type="dxa"/>
            <w:vAlign w:val="bottom"/>
          </w:tcPr>
          <w:p>
            <w:pPr>
              <w:spacing w:after="0"/>
              <w:rPr>
                <w:sz w:val="1"/>
                <w:szCs w:val="1"/>
                <w:color w:val="auto"/>
              </w:rPr>
            </w:pPr>
          </w:p>
        </w:tc>
      </w:tr>
      <w:tr>
        <w:trPr>
          <w:trHeight w:val="230"/>
        </w:trPr>
        <w:tc>
          <w:tcPr>
            <w:tcW w:w="3300" w:type="dxa"/>
            <w:vAlign w:val="bottom"/>
          </w:tcPr>
          <w:p>
            <w:pPr>
              <w:ind w:left="20"/>
              <w:spacing w:after="0"/>
              <w:rPr>
                <w:sz w:val="20"/>
                <w:szCs w:val="20"/>
                <w:color w:val="auto"/>
              </w:rPr>
            </w:pPr>
            <w:r>
              <w:rPr>
                <w:rFonts w:ascii="Arial" w:cs="Arial" w:eastAsia="Arial" w:hAnsi="Arial"/>
                <w:sz w:val="18"/>
                <w:szCs w:val="18"/>
                <w:color w:val="auto"/>
              </w:rPr>
              <w:t>Net income per share - diluted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0.94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0.72</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30.6 %</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0.56</w:t>
            </w:r>
          </w:p>
        </w:tc>
        <w:tc>
          <w:tcPr>
            <w:tcW w:w="10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8"/>
                <w:szCs w:val="18"/>
                <w:i w:val="1"/>
                <w:iCs w:val="1"/>
                <w:color w:val="auto"/>
                <w:w w:val="93"/>
              </w:rPr>
              <w:t>n/m</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2" w:name="page23"/>
    <w:bookmarkEnd w:id="22"/>
    <w:p>
      <w:pPr>
        <w:jc w:val="both"/>
        <w:ind w:right="100"/>
        <w:spacing w:after="0" w:line="259" w:lineRule="auto"/>
        <w:rPr>
          <w:sz w:val="20"/>
          <w:szCs w:val="20"/>
          <w:color w:val="auto"/>
        </w:rPr>
      </w:pPr>
      <w:r>
        <w:rPr>
          <w:rFonts w:ascii="Arial" w:cs="Arial" w:eastAsia="Arial" w:hAnsi="Arial"/>
          <w:sz w:val="18"/>
          <w:szCs w:val="18"/>
          <w:color w:val="auto"/>
        </w:rPr>
        <w:t>Net revenues decreased 17.1% and 17.5% during the three and six months ended September 26, 2020, respectively, as compared with the same periods of fiscal 2020. Without the effect of foreign exchange, net revenues decreased 17.7% and 17.6% during the three and six months ended September 26, 2020, respectively, as compared with the same periods of fiscal 2020. Revenue decreases in Plasma due to the COVID-19 pandemic primarily drove the overall decrease in revenue during the three and six months ended September 26, 2020.</w:t>
      </w:r>
    </w:p>
    <w:p>
      <w:pPr>
        <w:spacing w:after="0" w:line="21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Operating income increased during the three months ended September 26, 2020, as compared with the same period of fiscal 2020, due to the gains on divestitures and incremental savings from the 2020 Program. The absence of impairment charges associated with the divestiture of our plasma liquid solutions operations to CSL in the prior year also contributed to the increase during the six months ended September 26, 2020. These increases were partially offset by the impact of the COVID-19 pandemic on revenue and gross margin, net of savings in operating expenses from cost containment actions taken to offset these negative effects.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Use of Non-GAAP Measures</w:t>
      </w:r>
    </w:p>
    <w:p>
      <w:pPr>
        <w:spacing w:after="0" w:line="256"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Management uses non-GAAP financial measures, in addition to financial measures in accordance with accounting principles generally accepted in the United States of America ("U.S. GAAP"), to monitor the financial performance of the business, make informed business decisions, establish budgets and forecast future results. These non-GAAP financial measures should be considered supplemental to, and not a substitute for, our reported financial results prepared in accordance with U.S. GAAP. Constant currency growth, a non-GAAP financial measure, measures the change in revenue between the current and prior year periods using a constant currency conversion rate. We have provided this non-GAAP financial measure because we believe it provides meaningful information regarding our results on a consistent and comparable basis for the periods presented.</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Revenues by Geography</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w w:val="93"/>
              </w:rPr>
              <w:t>Three Months Ended</w:t>
            </w: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00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11"/>
                <w:szCs w:val="11"/>
                <w:color w:val="auto"/>
              </w:rPr>
            </w:pPr>
          </w:p>
        </w:tc>
        <w:tc>
          <w:tcPr>
            <w:tcW w:w="122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September 26,</w:t>
            </w:r>
          </w:p>
        </w:tc>
        <w:tc>
          <w:tcPr>
            <w:tcW w:w="160" w:type="dxa"/>
            <w:vAlign w:val="bottom"/>
          </w:tcPr>
          <w:p>
            <w:pPr>
              <w:spacing w:after="0"/>
              <w:rPr>
                <w:sz w:val="11"/>
                <w:szCs w:val="11"/>
                <w:color w:val="auto"/>
              </w:rPr>
            </w:pPr>
          </w:p>
        </w:tc>
        <w:tc>
          <w:tcPr>
            <w:tcW w:w="1120" w:type="dxa"/>
            <w:vAlign w:val="bottom"/>
          </w:tcPr>
          <w:p>
            <w:pPr>
              <w:jc w:val="right"/>
              <w:ind w:right="117"/>
              <w:spacing w:after="0" w:line="135" w:lineRule="exact"/>
              <w:rPr>
                <w:sz w:val="20"/>
                <w:szCs w:val="20"/>
                <w:color w:val="auto"/>
              </w:rPr>
            </w:pPr>
            <w:r>
              <w:rPr>
                <w:rFonts w:ascii="Arial" w:cs="Arial" w:eastAsia="Arial" w:hAnsi="Arial"/>
                <w:sz w:val="14"/>
                <w:szCs w:val="14"/>
                <w:b w:val="1"/>
                <w:bCs w:val="1"/>
                <w:color w:val="auto"/>
                <w:w w:val="93"/>
              </w:rPr>
              <w:t>September 28,</w:t>
            </w:r>
          </w:p>
        </w:tc>
        <w:tc>
          <w:tcPr>
            <w:tcW w:w="100" w:type="dxa"/>
            <w:vAlign w:val="bottom"/>
          </w:tcPr>
          <w:p>
            <w:pPr>
              <w:spacing w:after="0"/>
              <w:rPr>
                <w:sz w:val="11"/>
                <w:szCs w:val="11"/>
                <w:color w:val="auto"/>
              </w:rPr>
            </w:pPr>
          </w:p>
        </w:tc>
        <w:tc>
          <w:tcPr>
            <w:tcW w:w="15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Reported growth</w:t>
            </w:r>
          </w:p>
        </w:tc>
        <w:tc>
          <w:tcPr>
            <w:tcW w:w="15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Currency impact</w:t>
            </w:r>
          </w:p>
        </w:tc>
        <w:tc>
          <w:tcPr>
            <w:tcW w:w="1400" w:type="dxa"/>
            <w:vAlign w:val="bottom"/>
          </w:tcPr>
          <w:p>
            <w:pPr>
              <w:jc w:val="right"/>
              <w:ind w:right="37"/>
              <w:spacing w:after="0" w:line="135" w:lineRule="exact"/>
              <w:rPr>
                <w:sz w:val="20"/>
                <w:szCs w:val="20"/>
                <w:color w:val="auto"/>
              </w:rPr>
            </w:pPr>
            <w:r>
              <w:rPr>
                <w:rFonts w:ascii="Arial" w:cs="Arial" w:eastAsia="Arial" w:hAnsi="Arial"/>
                <w:sz w:val="14"/>
                <w:szCs w:val="14"/>
                <w:b w:val="1"/>
                <w:bCs w:val="1"/>
                <w:color w:val="auto"/>
              </w:rPr>
              <w:t>Constant currency</w:t>
            </w:r>
          </w:p>
        </w:tc>
        <w:tc>
          <w:tcPr>
            <w:tcW w:w="0" w:type="dxa"/>
            <w:vAlign w:val="bottom"/>
          </w:tcPr>
          <w:p>
            <w:pPr>
              <w:spacing w:after="0"/>
              <w:rPr>
                <w:sz w:val="1"/>
                <w:szCs w:val="1"/>
                <w:color w:val="auto"/>
              </w:rPr>
            </w:pPr>
          </w:p>
        </w:tc>
      </w:tr>
      <w:tr>
        <w:trPr>
          <w:trHeight w:val="189"/>
        </w:trPr>
        <w:tc>
          <w:tcPr>
            <w:tcW w:w="4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417"/>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417"/>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400" w:type="dxa"/>
            <w:vAlign w:val="bottom"/>
          </w:tcPr>
          <w:p>
            <w:pPr>
              <w:jc w:val="right"/>
              <w:ind w:right="337"/>
              <w:spacing w:after="0" w:line="189" w:lineRule="exact"/>
              <w:rPr>
                <w:sz w:val="20"/>
                <w:szCs w:val="20"/>
                <w:color w:val="auto"/>
              </w:rPr>
            </w:pPr>
            <w:r>
              <w:rPr>
                <w:rFonts w:ascii="Arial" w:cs="Arial" w:eastAsia="Arial" w:hAnsi="Arial"/>
                <w:sz w:val="14"/>
                <w:szCs w:val="14"/>
                <w:b w:val="1"/>
                <w:bCs w:val="1"/>
                <w:color w:val="auto"/>
              </w:rPr>
              <w:t xml:space="preserve">growth </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223"/>
        </w:trPr>
        <w:tc>
          <w:tcPr>
            <w:tcW w:w="38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123,984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161,880</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30"/>
        </w:trPr>
        <w:tc>
          <w:tcPr>
            <w:tcW w:w="40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International</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85,502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90,686</w:t>
            </w:r>
          </w:p>
        </w:tc>
        <w:tc>
          <w:tcPr>
            <w:tcW w:w="15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48"/>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209,486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252,566</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ind w:right="180" w:firstLine="8"/>
        <w:spacing w:after="0" w:line="273" w:lineRule="auto"/>
        <w:tabs>
          <w:tab w:leader="none" w:pos="132" w:val="left"/>
        </w:tabs>
        <w:numPr>
          <w:ilvl w:val="0"/>
          <w:numId w:val="12"/>
        </w:numPr>
        <w:rPr>
          <w:rFonts w:ascii="Arial" w:cs="Arial" w:eastAsia="Arial" w:hAnsi="Arial"/>
          <w:sz w:val="9"/>
          <w:szCs w:val="9"/>
          <w:color w:val="auto"/>
        </w:rPr>
      </w:pPr>
      <w:r>
        <w:rPr>
          <w:rFonts w:ascii="Arial" w:cs="Arial" w:eastAsia="Arial" w:hAnsi="Arial"/>
          <w:sz w:val="14"/>
          <w:szCs w:val="14"/>
          <w:color w:val="auto"/>
        </w:rPr>
        <w:t xml:space="preserve">Constant currency growth, a non-GAAP financial measure, measures the change in revenue between the current and prior year periods using a constant currency. See </w:t>
      </w:r>
      <w:r>
        <w:rPr>
          <w:rFonts w:ascii="Arial" w:cs="Arial" w:eastAsia="Arial" w:hAnsi="Arial"/>
          <w:sz w:val="14"/>
          <w:szCs w:val="14"/>
          <w:i w:val="1"/>
          <w:iCs w:val="1"/>
          <w:color w:val="auto"/>
        </w:rPr>
        <w:t>"Management's Use of</w:t>
      </w:r>
      <w:r>
        <w:rPr>
          <w:rFonts w:ascii="Arial" w:cs="Arial" w:eastAsia="Arial" w:hAnsi="Arial"/>
          <w:sz w:val="14"/>
          <w:szCs w:val="14"/>
          <w:color w:val="auto"/>
        </w:rPr>
        <w:t xml:space="preserve"> </w:t>
      </w:r>
      <w:r>
        <w:rPr>
          <w:rFonts w:ascii="Arial" w:cs="Arial" w:eastAsia="Arial" w:hAnsi="Arial"/>
          <w:sz w:val="14"/>
          <w:szCs w:val="14"/>
          <w:i w:val="1"/>
          <w:iCs w:val="1"/>
          <w:color w:val="auto"/>
        </w:rPr>
        <w:t>Non-GAAP Measures."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Six Months Ended</w:t>
            </w: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00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11"/>
                <w:szCs w:val="11"/>
                <w:color w:val="auto"/>
              </w:rPr>
            </w:pPr>
          </w:p>
        </w:tc>
        <w:tc>
          <w:tcPr>
            <w:tcW w:w="122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September 26,</w:t>
            </w:r>
          </w:p>
        </w:tc>
        <w:tc>
          <w:tcPr>
            <w:tcW w:w="160" w:type="dxa"/>
            <w:vAlign w:val="bottom"/>
          </w:tcPr>
          <w:p>
            <w:pPr>
              <w:spacing w:after="0"/>
              <w:rPr>
                <w:sz w:val="11"/>
                <w:szCs w:val="11"/>
                <w:color w:val="auto"/>
              </w:rPr>
            </w:pPr>
          </w:p>
        </w:tc>
        <w:tc>
          <w:tcPr>
            <w:tcW w:w="1120" w:type="dxa"/>
            <w:vAlign w:val="bottom"/>
          </w:tcPr>
          <w:p>
            <w:pPr>
              <w:jc w:val="right"/>
              <w:ind w:right="117"/>
              <w:spacing w:after="0" w:line="135" w:lineRule="exact"/>
              <w:rPr>
                <w:sz w:val="20"/>
                <w:szCs w:val="20"/>
                <w:color w:val="auto"/>
              </w:rPr>
            </w:pPr>
            <w:r>
              <w:rPr>
                <w:rFonts w:ascii="Arial" w:cs="Arial" w:eastAsia="Arial" w:hAnsi="Arial"/>
                <w:sz w:val="14"/>
                <w:szCs w:val="14"/>
                <w:b w:val="1"/>
                <w:bCs w:val="1"/>
                <w:color w:val="auto"/>
                <w:w w:val="93"/>
              </w:rPr>
              <w:t>September 28,</w:t>
            </w:r>
          </w:p>
        </w:tc>
        <w:tc>
          <w:tcPr>
            <w:tcW w:w="100" w:type="dxa"/>
            <w:vAlign w:val="bottom"/>
          </w:tcPr>
          <w:p>
            <w:pPr>
              <w:spacing w:after="0"/>
              <w:rPr>
                <w:sz w:val="11"/>
                <w:szCs w:val="11"/>
                <w:color w:val="auto"/>
              </w:rPr>
            </w:pPr>
          </w:p>
        </w:tc>
        <w:tc>
          <w:tcPr>
            <w:tcW w:w="15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Reported growth</w:t>
            </w:r>
          </w:p>
        </w:tc>
        <w:tc>
          <w:tcPr>
            <w:tcW w:w="15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Currency impact</w:t>
            </w:r>
          </w:p>
        </w:tc>
        <w:tc>
          <w:tcPr>
            <w:tcW w:w="1400" w:type="dxa"/>
            <w:vAlign w:val="bottom"/>
          </w:tcPr>
          <w:p>
            <w:pPr>
              <w:jc w:val="right"/>
              <w:ind w:right="37"/>
              <w:spacing w:after="0" w:line="135" w:lineRule="exact"/>
              <w:rPr>
                <w:sz w:val="20"/>
                <w:szCs w:val="20"/>
                <w:color w:val="auto"/>
              </w:rPr>
            </w:pPr>
            <w:r>
              <w:rPr>
                <w:rFonts w:ascii="Arial" w:cs="Arial" w:eastAsia="Arial" w:hAnsi="Arial"/>
                <w:sz w:val="14"/>
                <w:szCs w:val="14"/>
                <w:b w:val="1"/>
                <w:bCs w:val="1"/>
                <w:color w:val="auto"/>
              </w:rPr>
              <w:t>Constant currency</w:t>
            </w:r>
          </w:p>
        </w:tc>
        <w:tc>
          <w:tcPr>
            <w:tcW w:w="0" w:type="dxa"/>
            <w:vAlign w:val="bottom"/>
          </w:tcPr>
          <w:p>
            <w:pPr>
              <w:spacing w:after="0"/>
              <w:rPr>
                <w:sz w:val="1"/>
                <w:szCs w:val="1"/>
                <w:color w:val="auto"/>
              </w:rPr>
            </w:pPr>
          </w:p>
        </w:tc>
      </w:tr>
      <w:tr>
        <w:trPr>
          <w:trHeight w:val="188"/>
        </w:trPr>
        <w:tc>
          <w:tcPr>
            <w:tcW w:w="4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417"/>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417"/>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400" w:type="dxa"/>
            <w:vAlign w:val="bottom"/>
          </w:tcPr>
          <w:p>
            <w:pPr>
              <w:jc w:val="right"/>
              <w:ind w:right="337"/>
              <w:spacing w:after="0"/>
              <w:rPr>
                <w:sz w:val="20"/>
                <w:szCs w:val="20"/>
                <w:color w:val="auto"/>
              </w:rPr>
            </w:pPr>
            <w:r>
              <w:rPr>
                <w:rFonts w:ascii="Arial" w:cs="Arial" w:eastAsia="Arial" w:hAnsi="Arial"/>
                <w:sz w:val="14"/>
                <w:szCs w:val="14"/>
                <w:b w:val="1"/>
                <w:bCs w:val="1"/>
                <w:color w:val="auto"/>
              </w:rPr>
              <w:t xml:space="preserve">growth </w:t>
            </w:r>
            <w:r>
              <w:rPr>
                <w:rFonts w:ascii="Arial" w:cs="Arial" w:eastAsia="Arial" w:hAnsi="Arial"/>
                <w:sz w:val="9"/>
                <w:szCs w:val="9"/>
                <w:b w:val="1"/>
                <w:bCs w:val="1"/>
                <w:color w:val="auto"/>
              </w:rPr>
              <w:t>(1)</w:t>
            </w:r>
          </w:p>
        </w:tc>
        <w:tc>
          <w:tcPr>
            <w:tcW w:w="0" w:type="dxa"/>
            <w:vAlign w:val="bottom"/>
          </w:tcPr>
          <w:p>
            <w:pPr>
              <w:spacing w:after="0"/>
              <w:rPr>
                <w:sz w:val="1"/>
                <w:szCs w:val="1"/>
                <w:color w:val="auto"/>
              </w:rPr>
            </w:pPr>
          </w:p>
        </w:tc>
      </w:tr>
      <w:tr>
        <w:trPr>
          <w:trHeight w:val="224"/>
        </w:trPr>
        <w:tc>
          <w:tcPr>
            <w:tcW w:w="38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234,993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318,255</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30"/>
        </w:trPr>
        <w:tc>
          <w:tcPr>
            <w:tcW w:w="40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International</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170,070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172,762</w:t>
            </w:r>
          </w:p>
        </w:tc>
        <w:tc>
          <w:tcPr>
            <w:tcW w:w="15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0.7 %</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8"/>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405,063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491,017</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right="180" w:firstLine="8"/>
        <w:spacing w:after="0" w:line="273" w:lineRule="auto"/>
        <w:tabs>
          <w:tab w:leader="none" w:pos="132" w:val="left"/>
        </w:tabs>
        <w:numPr>
          <w:ilvl w:val="0"/>
          <w:numId w:val="13"/>
        </w:numPr>
        <w:rPr>
          <w:rFonts w:ascii="Arial" w:cs="Arial" w:eastAsia="Arial" w:hAnsi="Arial"/>
          <w:sz w:val="9"/>
          <w:szCs w:val="9"/>
          <w:color w:val="auto"/>
        </w:rPr>
      </w:pPr>
      <w:r>
        <w:rPr>
          <w:rFonts w:ascii="Arial" w:cs="Arial" w:eastAsia="Arial" w:hAnsi="Arial"/>
          <w:sz w:val="14"/>
          <w:szCs w:val="14"/>
          <w:color w:val="auto"/>
        </w:rPr>
        <w:t xml:space="preserve">Constant currency growth, a non-GAAP financial measure, measures the change in revenue between the current and prior year periods using a constant currency. See </w:t>
      </w:r>
      <w:r>
        <w:rPr>
          <w:rFonts w:ascii="Arial" w:cs="Arial" w:eastAsia="Arial" w:hAnsi="Arial"/>
          <w:sz w:val="14"/>
          <w:szCs w:val="14"/>
          <w:i w:val="1"/>
          <w:iCs w:val="1"/>
          <w:color w:val="auto"/>
        </w:rPr>
        <w:t>"Management's Use of</w:t>
      </w:r>
      <w:r>
        <w:rPr>
          <w:rFonts w:ascii="Arial" w:cs="Arial" w:eastAsia="Arial" w:hAnsi="Arial"/>
          <w:sz w:val="14"/>
          <w:szCs w:val="14"/>
          <w:color w:val="auto"/>
        </w:rPr>
        <w:t xml:space="preserve"> </w:t>
      </w:r>
      <w:r>
        <w:rPr>
          <w:rFonts w:ascii="Arial" w:cs="Arial" w:eastAsia="Arial" w:hAnsi="Arial"/>
          <w:sz w:val="14"/>
          <w:szCs w:val="14"/>
          <w:i w:val="1"/>
          <w:iCs w:val="1"/>
          <w:color w:val="auto"/>
        </w:rPr>
        <w:t>Non-GAAP Measures."</w:t>
      </w:r>
    </w:p>
    <w:p>
      <w:pPr>
        <w:spacing w:after="0" w:line="20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Our principal operations are in the U.S, Europe, Japan and other parts of Asia. Our products are marketed in approximately 85 countries around the world through a combination of our direct sales force, independent distributors and agents. Our revenue generated outside the U.S. was 40.8% and 42.0%, respectively, of total net revenues during the three and six months ended September 26, 2020, as compared with 35.9% and 35.2%, respectively, during the three and six months ended September 28, 2019. International sales are generally conducted in local currencies, primarily Japanese Yen, Euro, Chinese Yuan and Australian Dollars. Our results of operations are impacted by changes in foreign exchange rates, particularly in the value of the Yen, Euro and Australian Dollar relative to the U.S. Dollar. We have placed foreign currency hedges to mitigate our exposure to foreign currency fluctuations.</w:t>
      </w:r>
    </w:p>
    <w:p>
      <w:pPr>
        <w:spacing w:after="0" w:line="19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Please see the section entitled “Foreign Exchange” in this discussion for a more complete explanation of how foreign currency affects our business and our strategy for managing this exposure.</w:t>
      </w: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95" w:right="39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Net Revenues by Business Unit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w w:val="95"/>
              </w:rPr>
              <w:t>Three Months Ended</w:t>
            </w: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98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September 26,</w:t>
            </w:r>
          </w:p>
        </w:tc>
        <w:tc>
          <w:tcPr>
            <w:tcW w:w="140" w:type="dxa"/>
            <w:vAlign w:val="bottom"/>
          </w:tcPr>
          <w:p>
            <w:pPr>
              <w:spacing w:after="0"/>
              <w:rPr>
                <w:sz w:val="11"/>
                <w:szCs w:val="11"/>
                <w:color w:val="auto"/>
              </w:rPr>
            </w:pPr>
          </w:p>
        </w:tc>
        <w:tc>
          <w:tcPr>
            <w:tcW w:w="1140" w:type="dxa"/>
            <w:vAlign w:val="bottom"/>
          </w:tcPr>
          <w:p>
            <w:pPr>
              <w:jc w:val="right"/>
              <w:ind w:right="115"/>
              <w:spacing w:after="0" w:line="135" w:lineRule="exact"/>
              <w:rPr>
                <w:sz w:val="20"/>
                <w:szCs w:val="20"/>
                <w:color w:val="auto"/>
              </w:rPr>
            </w:pPr>
            <w:r>
              <w:rPr>
                <w:rFonts w:ascii="Arial" w:cs="Arial" w:eastAsia="Arial" w:hAnsi="Arial"/>
                <w:sz w:val="14"/>
                <w:szCs w:val="14"/>
                <w:b w:val="1"/>
                <w:bCs w:val="1"/>
                <w:color w:val="auto"/>
                <w:w w:val="96"/>
              </w:rPr>
              <w:t>September 28,</w:t>
            </w:r>
          </w:p>
        </w:tc>
        <w:tc>
          <w:tcPr>
            <w:tcW w:w="100" w:type="dxa"/>
            <w:vAlign w:val="bottom"/>
          </w:tcPr>
          <w:p>
            <w:pPr>
              <w:spacing w:after="0"/>
              <w:rPr>
                <w:sz w:val="11"/>
                <w:szCs w:val="11"/>
                <w:color w:val="auto"/>
              </w:rPr>
            </w:pPr>
          </w:p>
        </w:tc>
        <w:tc>
          <w:tcPr>
            <w:tcW w:w="15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Reported growth</w:t>
            </w:r>
          </w:p>
        </w:tc>
        <w:tc>
          <w:tcPr>
            <w:tcW w:w="15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Currency impact</w:t>
            </w:r>
          </w:p>
        </w:tc>
        <w:tc>
          <w:tcPr>
            <w:tcW w:w="1400" w:type="dxa"/>
            <w:vAlign w:val="bottom"/>
          </w:tcPr>
          <w:p>
            <w:pPr>
              <w:jc w:val="right"/>
              <w:ind w:right="35"/>
              <w:spacing w:after="0" w:line="135" w:lineRule="exact"/>
              <w:rPr>
                <w:sz w:val="20"/>
                <w:szCs w:val="20"/>
                <w:color w:val="auto"/>
              </w:rPr>
            </w:pPr>
            <w:r>
              <w:rPr>
                <w:rFonts w:ascii="Arial" w:cs="Arial" w:eastAsia="Arial" w:hAnsi="Arial"/>
                <w:sz w:val="14"/>
                <w:szCs w:val="14"/>
                <w:b w:val="1"/>
                <w:bCs w:val="1"/>
                <w:color w:val="auto"/>
              </w:rPr>
              <w:t>Constant currency</w:t>
            </w:r>
          </w:p>
        </w:tc>
        <w:tc>
          <w:tcPr>
            <w:tcW w:w="0" w:type="dxa"/>
            <w:vAlign w:val="bottom"/>
          </w:tcPr>
          <w:p>
            <w:pPr>
              <w:spacing w:after="0"/>
              <w:rPr>
                <w:sz w:val="1"/>
                <w:szCs w:val="1"/>
                <w:color w:val="auto"/>
              </w:rPr>
            </w:pPr>
          </w:p>
        </w:tc>
      </w:tr>
      <w:tr>
        <w:trPr>
          <w:trHeight w:val="189"/>
        </w:trPr>
        <w:tc>
          <w:tcPr>
            <w:tcW w:w="39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41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400" w:type="dxa"/>
            <w:vAlign w:val="bottom"/>
          </w:tcPr>
          <w:p>
            <w:pPr>
              <w:jc w:val="right"/>
              <w:ind w:right="315"/>
              <w:spacing w:after="0" w:line="189" w:lineRule="exact"/>
              <w:rPr>
                <w:sz w:val="20"/>
                <w:szCs w:val="20"/>
                <w:color w:val="auto"/>
              </w:rPr>
            </w:pPr>
            <w:r>
              <w:rPr>
                <w:rFonts w:ascii="Arial" w:cs="Arial" w:eastAsia="Arial" w:hAnsi="Arial"/>
                <w:sz w:val="14"/>
                <w:szCs w:val="14"/>
                <w:b w:val="1"/>
                <w:bCs w:val="1"/>
                <w:color w:val="auto"/>
              </w:rPr>
              <w:t xml:space="preserve">growth </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223"/>
        </w:trPr>
        <w:tc>
          <w:tcPr>
            <w:tcW w:w="3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Plasma</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78,408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115,925</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30"/>
        </w:trPr>
        <w:tc>
          <w:tcPr>
            <w:tcW w:w="3980" w:type="dxa"/>
            <w:vAlign w:val="bottom"/>
            <w:gridSpan w:val="2"/>
          </w:tcPr>
          <w:p>
            <w:pPr>
              <w:ind w:left="20"/>
              <w:spacing w:after="0"/>
              <w:rPr>
                <w:sz w:val="20"/>
                <w:szCs w:val="20"/>
                <w:color w:val="auto"/>
              </w:rPr>
            </w:pPr>
            <w:r>
              <w:rPr>
                <w:rFonts w:ascii="Arial" w:cs="Arial" w:eastAsia="Arial" w:hAnsi="Arial"/>
                <w:sz w:val="18"/>
                <w:szCs w:val="18"/>
                <w:color w:val="auto"/>
              </w:rPr>
              <w:t>Blood Center</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74,913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81,982</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29"/>
        </w:trPr>
        <w:tc>
          <w:tcPr>
            <w:tcW w:w="39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Hospital </w:t>
            </w:r>
            <w:r>
              <w:rPr>
                <w:rFonts w:ascii="Arial" w:cs="Arial" w:eastAsia="Arial" w:hAnsi="Arial"/>
                <w:sz w:val="23"/>
                <w:szCs w:val="23"/>
                <w:color w:val="auto"/>
                <w:vertAlign w:val="superscript"/>
              </w:rPr>
              <w:t>(2)</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50,978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49,702</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29"/>
        </w:trPr>
        <w:tc>
          <w:tcPr>
            <w:tcW w:w="39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Service</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4,957</w:t>
            </w:r>
          </w:p>
        </w:tc>
        <w:tc>
          <w:tcPr>
            <w:tcW w:w="15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4.6 %</w:t>
            </w:r>
          </w:p>
        </w:tc>
        <w:tc>
          <w:tcPr>
            <w:tcW w:w="12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3.3 %</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48"/>
        </w:trPr>
        <w:tc>
          <w:tcPr>
            <w:tcW w:w="3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209,486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252,566</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ind w:right="180" w:firstLine="8"/>
        <w:spacing w:after="0" w:line="250" w:lineRule="auto"/>
        <w:tabs>
          <w:tab w:leader="none" w:pos="132" w:val="left"/>
        </w:tabs>
        <w:numPr>
          <w:ilvl w:val="0"/>
          <w:numId w:val="14"/>
        </w:numPr>
        <w:rPr>
          <w:rFonts w:ascii="Arial" w:cs="Arial" w:eastAsia="Arial" w:hAnsi="Arial"/>
          <w:sz w:val="9"/>
          <w:szCs w:val="9"/>
          <w:color w:val="auto"/>
        </w:rPr>
      </w:pPr>
      <w:r>
        <w:rPr>
          <w:rFonts w:ascii="Arial" w:cs="Arial" w:eastAsia="Arial" w:hAnsi="Arial"/>
          <w:sz w:val="14"/>
          <w:szCs w:val="14"/>
          <w:color w:val="auto"/>
        </w:rPr>
        <w:t xml:space="preserve">Constant currency growth, a non-GAAP financial measure, measures the change in revenue between the current and prior year periods using a constant currency. See </w:t>
      </w:r>
      <w:r>
        <w:rPr>
          <w:rFonts w:ascii="Arial" w:cs="Arial" w:eastAsia="Arial" w:hAnsi="Arial"/>
          <w:sz w:val="14"/>
          <w:szCs w:val="14"/>
          <w:i w:val="1"/>
          <w:iCs w:val="1"/>
          <w:color w:val="auto"/>
        </w:rPr>
        <w:t>"Management's Use of</w:t>
      </w:r>
      <w:r>
        <w:rPr>
          <w:rFonts w:ascii="Arial" w:cs="Arial" w:eastAsia="Arial" w:hAnsi="Arial"/>
          <w:sz w:val="14"/>
          <w:szCs w:val="14"/>
          <w:color w:val="auto"/>
        </w:rPr>
        <w:t xml:space="preserve"> </w:t>
      </w:r>
      <w:r>
        <w:rPr>
          <w:rFonts w:ascii="Arial" w:cs="Arial" w:eastAsia="Arial" w:hAnsi="Arial"/>
          <w:sz w:val="14"/>
          <w:szCs w:val="14"/>
          <w:i w:val="1"/>
          <w:iCs w:val="1"/>
          <w:color w:val="auto"/>
        </w:rPr>
        <w:t>Non-GAAP Measures."</w:t>
      </w:r>
    </w:p>
    <w:p>
      <w:pPr>
        <w:jc w:val="both"/>
        <w:ind w:right="320" w:firstLine="8"/>
        <w:spacing w:after="0" w:line="248" w:lineRule="auto"/>
        <w:tabs>
          <w:tab w:leader="none" w:pos="145" w:val="left"/>
        </w:tabs>
        <w:numPr>
          <w:ilvl w:val="0"/>
          <w:numId w:val="14"/>
        </w:numPr>
        <w:rPr>
          <w:rFonts w:ascii="Arial" w:cs="Arial" w:eastAsia="Arial" w:hAnsi="Arial"/>
          <w:sz w:val="9"/>
          <w:szCs w:val="9"/>
          <w:color w:val="auto"/>
        </w:rPr>
      </w:pPr>
      <w:r>
        <w:rPr>
          <w:rFonts w:ascii="Arial" w:cs="Arial" w:eastAsia="Arial" w:hAnsi="Arial"/>
          <w:sz w:val="14"/>
          <w:szCs w:val="14"/>
          <w:color w:val="auto"/>
        </w:rPr>
        <w:t>Hospital revenue includes Hemostasis Management revenue of $26.0 million and $24.8 million during the three months ended September 26, 2020 and September 28, 2019, respectively. Hemostasis Management revenue increased 4.9% in the second quarter of fiscal 2021, as compared with the same period of fiscal 2020. Without the effect of foreign exchange, Hemostasis Management revenue increased 5.6% in the second quarter of fiscal 2021, as compared with the same period of fiscal 2020.</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Six Months Ended</w:t>
            </w: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98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September 26,</w:t>
            </w:r>
          </w:p>
        </w:tc>
        <w:tc>
          <w:tcPr>
            <w:tcW w:w="140" w:type="dxa"/>
            <w:vAlign w:val="bottom"/>
          </w:tcPr>
          <w:p>
            <w:pPr>
              <w:spacing w:after="0"/>
              <w:rPr>
                <w:sz w:val="11"/>
                <w:szCs w:val="11"/>
                <w:color w:val="auto"/>
              </w:rPr>
            </w:pPr>
          </w:p>
        </w:tc>
        <w:tc>
          <w:tcPr>
            <w:tcW w:w="1140" w:type="dxa"/>
            <w:vAlign w:val="bottom"/>
          </w:tcPr>
          <w:p>
            <w:pPr>
              <w:jc w:val="right"/>
              <w:ind w:right="115"/>
              <w:spacing w:after="0" w:line="135" w:lineRule="exact"/>
              <w:rPr>
                <w:sz w:val="20"/>
                <w:szCs w:val="20"/>
                <w:color w:val="auto"/>
              </w:rPr>
            </w:pPr>
            <w:r>
              <w:rPr>
                <w:rFonts w:ascii="Arial" w:cs="Arial" w:eastAsia="Arial" w:hAnsi="Arial"/>
                <w:sz w:val="14"/>
                <w:szCs w:val="14"/>
                <w:b w:val="1"/>
                <w:bCs w:val="1"/>
                <w:color w:val="auto"/>
                <w:w w:val="96"/>
              </w:rPr>
              <w:t>September 28,</w:t>
            </w:r>
          </w:p>
        </w:tc>
        <w:tc>
          <w:tcPr>
            <w:tcW w:w="100" w:type="dxa"/>
            <w:vAlign w:val="bottom"/>
          </w:tcPr>
          <w:p>
            <w:pPr>
              <w:spacing w:after="0"/>
              <w:rPr>
                <w:sz w:val="11"/>
                <w:szCs w:val="11"/>
                <w:color w:val="auto"/>
              </w:rPr>
            </w:pPr>
          </w:p>
        </w:tc>
        <w:tc>
          <w:tcPr>
            <w:tcW w:w="15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Reported growth</w:t>
            </w:r>
          </w:p>
        </w:tc>
        <w:tc>
          <w:tcPr>
            <w:tcW w:w="15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Currency impact</w:t>
            </w:r>
          </w:p>
        </w:tc>
        <w:tc>
          <w:tcPr>
            <w:tcW w:w="1400" w:type="dxa"/>
            <w:vAlign w:val="bottom"/>
          </w:tcPr>
          <w:p>
            <w:pPr>
              <w:jc w:val="right"/>
              <w:ind w:right="35"/>
              <w:spacing w:after="0" w:line="135" w:lineRule="exact"/>
              <w:rPr>
                <w:sz w:val="20"/>
                <w:szCs w:val="20"/>
                <w:color w:val="auto"/>
              </w:rPr>
            </w:pPr>
            <w:r>
              <w:rPr>
                <w:rFonts w:ascii="Arial" w:cs="Arial" w:eastAsia="Arial" w:hAnsi="Arial"/>
                <w:sz w:val="14"/>
                <w:szCs w:val="14"/>
                <w:b w:val="1"/>
                <w:bCs w:val="1"/>
                <w:color w:val="auto"/>
              </w:rPr>
              <w:t>Constant currency</w:t>
            </w:r>
          </w:p>
        </w:tc>
        <w:tc>
          <w:tcPr>
            <w:tcW w:w="0" w:type="dxa"/>
            <w:vAlign w:val="bottom"/>
          </w:tcPr>
          <w:p>
            <w:pPr>
              <w:spacing w:after="0"/>
              <w:rPr>
                <w:sz w:val="1"/>
                <w:szCs w:val="1"/>
                <w:color w:val="auto"/>
              </w:rPr>
            </w:pPr>
          </w:p>
        </w:tc>
      </w:tr>
      <w:tr>
        <w:trPr>
          <w:trHeight w:val="189"/>
        </w:trPr>
        <w:tc>
          <w:tcPr>
            <w:tcW w:w="39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41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400" w:type="dxa"/>
            <w:vAlign w:val="bottom"/>
          </w:tcPr>
          <w:p>
            <w:pPr>
              <w:jc w:val="right"/>
              <w:ind w:right="315"/>
              <w:spacing w:after="0" w:line="189" w:lineRule="exact"/>
              <w:rPr>
                <w:sz w:val="20"/>
                <w:szCs w:val="20"/>
                <w:color w:val="auto"/>
              </w:rPr>
            </w:pPr>
            <w:r>
              <w:rPr>
                <w:rFonts w:ascii="Arial" w:cs="Arial" w:eastAsia="Arial" w:hAnsi="Arial"/>
                <w:sz w:val="14"/>
                <w:szCs w:val="14"/>
                <w:b w:val="1"/>
                <w:bCs w:val="1"/>
                <w:color w:val="auto"/>
              </w:rPr>
              <w:t xml:space="preserve">growth </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223"/>
        </w:trPr>
        <w:tc>
          <w:tcPr>
            <w:tcW w:w="3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Plasma</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146,619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226,347</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29"/>
        </w:trPr>
        <w:tc>
          <w:tcPr>
            <w:tcW w:w="3980" w:type="dxa"/>
            <w:vAlign w:val="bottom"/>
            <w:gridSpan w:val="2"/>
          </w:tcPr>
          <w:p>
            <w:pPr>
              <w:ind w:left="20"/>
              <w:spacing w:after="0"/>
              <w:rPr>
                <w:sz w:val="20"/>
                <w:szCs w:val="20"/>
                <w:color w:val="auto"/>
              </w:rPr>
            </w:pPr>
            <w:r>
              <w:rPr>
                <w:rFonts w:ascii="Arial" w:cs="Arial" w:eastAsia="Arial" w:hAnsi="Arial"/>
                <w:sz w:val="18"/>
                <w:szCs w:val="18"/>
                <w:color w:val="auto"/>
              </w:rPr>
              <w:t>Blood Center</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152,702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157,785</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9"/>
        </w:trPr>
        <w:tc>
          <w:tcPr>
            <w:tcW w:w="39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Hospital </w:t>
            </w:r>
            <w:r>
              <w:rPr>
                <w:rFonts w:ascii="Arial" w:cs="Arial" w:eastAsia="Arial" w:hAnsi="Arial"/>
                <w:sz w:val="23"/>
                <w:szCs w:val="23"/>
                <w:color w:val="auto"/>
                <w:vertAlign w:val="superscript"/>
              </w:rPr>
              <w:t>(2)</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95,817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97,399</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0"/>
        </w:trPr>
        <w:tc>
          <w:tcPr>
            <w:tcW w:w="39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Service</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9,486</w:t>
            </w:r>
          </w:p>
        </w:tc>
        <w:tc>
          <w:tcPr>
            <w:tcW w:w="15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4.6 %</w:t>
            </w:r>
          </w:p>
        </w:tc>
        <w:tc>
          <w:tcPr>
            <w:tcW w:w="12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1.8 %</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48"/>
        </w:trPr>
        <w:tc>
          <w:tcPr>
            <w:tcW w:w="3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405,063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491,017</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right="180" w:firstLine="8"/>
        <w:spacing w:after="0"/>
        <w:tabs>
          <w:tab w:leader="none" w:pos="132" w:val="left"/>
        </w:tabs>
        <w:numPr>
          <w:ilvl w:val="0"/>
          <w:numId w:val="15"/>
        </w:numPr>
        <w:rPr>
          <w:rFonts w:ascii="Arial" w:cs="Arial" w:eastAsia="Arial" w:hAnsi="Arial"/>
          <w:sz w:val="15"/>
          <w:szCs w:val="15"/>
          <w:color w:val="auto"/>
          <w:vertAlign w:val="superscript"/>
        </w:rPr>
      </w:pPr>
      <w:r>
        <w:rPr>
          <w:rFonts w:ascii="Arial" w:cs="Arial" w:eastAsia="Arial" w:hAnsi="Arial"/>
          <w:sz w:val="11"/>
          <w:szCs w:val="11"/>
          <w:color w:val="auto"/>
        </w:rPr>
        <w:t xml:space="preserve">Constant currency growth, a non-GAAP financial measure, measures the change in revenue between the current and prior year periods using a constant currency. See </w:t>
      </w:r>
      <w:r>
        <w:rPr>
          <w:rFonts w:ascii="Arial" w:cs="Arial" w:eastAsia="Arial" w:hAnsi="Arial"/>
          <w:sz w:val="11"/>
          <w:szCs w:val="11"/>
          <w:i w:val="1"/>
          <w:iCs w:val="1"/>
          <w:color w:val="auto"/>
        </w:rPr>
        <w:t>"Management's Use of</w:t>
      </w:r>
      <w:r>
        <w:rPr>
          <w:rFonts w:ascii="Arial" w:cs="Arial" w:eastAsia="Arial" w:hAnsi="Arial"/>
          <w:sz w:val="11"/>
          <w:szCs w:val="11"/>
          <w:color w:val="auto"/>
        </w:rPr>
        <w:t xml:space="preserve"> </w:t>
      </w:r>
      <w:r>
        <w:rPr>
          <w:rFonts w:ascii="Arial" w:cs="Arial" w:eastAsia="Arial" w:hAnsi="Arial"/>
          <w:sz w:val="11"/>
          <w:szCs w:val="11"/>
          <w:i w:val="1"/>
          <w:iCs w:val="1"/>
          <w:color w:val="auto"/>
        </w:rPr>
        <w:t>Non-GAAP Measures."</w:t>
      </w:r>
    </w:p>
    <w:p>
      <w:pPr>
        <w:spacing w:after="0" w:line="163" w:lineRule="exact"/>
        <w:rPr>
          <w:rFonts w:ascii="Arial" w:cs="Arial" w:eastAsia="Arial" w:hAnsi="Arial"/>
          <w:sz w:val="15"/>
          <w:szCs w:val="15"/>
          <w:color w:val="auto"/>
          <w:vertAlign w:val="superscript"/>
        </w:rPr>
      </w:pPr>
    </w:p>
    <w:p>
      <w:pPr>
        <w:ind w:right="300" w:firstLine="8"/>
        <w:spacing w:after="0" w:line="265" w:lineRule="auto"/>
        <w:tabs>
          <w:tab w:leader="none" w:pos="145" w:val="left"/>
        </w:tabs>
        <w:numPr>
          <w:ilvl w:val="0"/>
          <w:numId w:val="15"/>
        </w:numPr>
        <w:rPr>
          <w:rFonts w:ascii="Arial" w:cs="Arial" w:eastAsia="Arial" w:hAnsi="Arial"/>
          <w:sz w:val="16"/>
          <w:szCs w:val="16"/>
          <w:color w:val="auto"/>
          <w:vertAlign w:val="superscript"/>
        </w:rPr>
      </w:pPr>
      <w:r>
        <w:rPr>
          <w:rFonts w:ascii="Arial" w:cs="Arial" w:eastAsia="Arial" w:hAnsi="Arial"/>
          <w:sz w:val="12"/>
          <w:szCs w:val="12"/>
          <w:color w:val="auto"/>
        </w:rPr>
        <w:t>Hospital revenue includes Hemostasis Management revenue of $50.0 million and $49.2 million during the six months ended September 26, 2020 and September 28, 2019, respectively. Hemostasis Management revenue increased 1.7% in the first six months of fiscal 2021, as compared with the same period of fiscal 2020. Without the effect of foreign exchange, Hemostasis Management revenue increased 4.4% in the first six months of fiscal 2021, as compared with the same period of fiscal 2020.</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Plasma</w:t>
      </w:r>
    </w:p>
    <w:p>
      <w:pPr>
        <w:spacing w:after="0" w:line="25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Plasma revenue decreased 32.4% and 35.2% during the three and six months ended September 26, 2020, respectively, as compared with the same periods of fiscal 2020. Without the effect of foreign exchange, Plasma revenue decreased 32.4% and 35.1% during the three and six months ended September 26, 2020, respectively, as compared with the same periods of fiscal 2020. This revenue decrease during the three and six months ended September 26, 2020 was driven by a decline in the volume of plasma disposables, primarily in the U.S., due to the COVID-19 pandemic and declines in plasma liquid solutions as a result of certain strategic exits within our plasma liquid solutions business. Additionally, declines in software revenue due to a one time favorable impact in the prior year period also contributed to the decrease during the six months ended September 26, 2020.</w:t>
      </w:r>
    </w:p>
    <w:p>
      <w:pPr>
        <w:spacing w:after="0" w:line="191"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While we experienced slight improvements during three months ended September 26, 2020 compared with the prior quarter, we anticipate a continued negative impact from COVID-19 on our fiscal 2021 Plasma results. The timing of the plasma collection recovery remains uncertain as our customers respond to declines in donor traffic. While we expect a return to historic collection volume growth rates in the future, we anticipate that the recovery of plasma collection volumes will be protracted. We remain confident in the strength of the plasma end market as the long-term global demand for plasma-derived pharmaceuticals is expected to continue.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350" w:right="39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auto"/>
        </w:rPr>
        <w:t>Blood Center</w:t>
      </w:r>
    </w:p>
    <w:p>
      <w:pPr>
        <w:spacing w:after="0" w:line="25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Blood Center revenue decreased 8.6% and 3.2% during the three and six months ended September 26, 2020, respectively, as compared with the same periods of fiscal 2020. Without the effect of foreign exchange, Blood Center revenue decreased 10.7% and 4.7% during the three and six months ended September 26, 2020, respectively, as compared with the same periods of fiscal 2020. The decrease during the three and six months ended September 26, 2020 was primarily driven by declines in apheresis revenue as certain customers converted to alternative sources of supply. The expected impact of the loss of this apheresis business is an incremental revenue decline of approximately $17 million in fiscal 2021 as compared with fiscal 2020. The divestiture of certain U.S. blood donor management software solution assets and continued declines in whole blood disposables also contributed to the decrease. The decrease during the six months ended September 26, 2020 was partially offset by growth and order timing of international sales.</w:t>
      </w:r>
    </w:p>
    <w:p>
      <w:pPr>
        <w:spacing w:after="0" w:line="193"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While we have not yet experienced the reversal of the large stocking orders made by distributors and blood collectors during the first quarter of fiscal 2021 in response to the COVID-19 pandemic, we may experience a partial reversal in future periods. Although hospital procedures have resumed, we anticipate that it will take time for procedure volumes to fully revert back to pre-COVID-19 levels, which may temporarily reduce the demand for blood products in fiscal 2021.</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Hospital</w:t>
      </w:r>
    </w:p>
    <w:p>
      <w:pPr>
        <w:spacing w:after="0" w:line="25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Hospital revenue increased 2.6% and decreased 1.6% during the three and six months ended September 26, 2020, respectively, as compared with the same periods of fiscal 2020. Without the effect of foreign exchange, Hospital revenue increased 2.7% and decreased 0.3% during the three and six months ended September 26, 2020, respectively, as compared with the same periods of fiscal 2020. The increase during the three months ended September 26, 2020 was primarily due to an increase in TEG disposables revenue in the U.S. and Transfusion Management growth in Europe, partially offset by declines in Cell Salvage. The decrease during the six months ended September 26, 2020 was primarily due to a decline in Cell Salvage revenue as a result of the COVID-19 pandemic, partially offset by increases in Transfusion Management and Hemostasis Management sales.</w:t>
      </w:r>
    </w:p>
    <w:p>
      <w:pPr>
        <w:spacing w:after="0" w:line="191"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During the six months ended September 26, 2020, revenue in the Hospital business unit was negatively impacted by COVID-19. We experienced these declines primarily in China and the U.S., however, we had consistent improvement in the second quarter of fiscal 2021 in both markets as restrictions in China eased and hospitals in the U.S. experienced an increase in procedure volume compared with the prior quarter. We believe that the demand for our hospital products is inherently strong and that procedure volumes will continue to improve with a return to normal levels anticipated by the end of our fiscal year.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1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2"/>
              </w:rPr>
              <w:t>Six Months Ended</w:t>
            </w: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0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11"/>
                <w:szCs w:val="11"/>
                <w:color w:val="auto"/>
              </w:rPr>
            </w:pPr>
          </w:p>
        </w:tc>
        <w:tc>
          <w:tcPr>
            <w:tcW w:w="1120" w:type="dxa"/>
            <w:vAlign w:val="bottom"/>
          </w:tcPr>
          <w:p>
            <w:pPr>
              <w:jc w:val="right"/>
              <w:ind w:right="119"/>
              <w:spacing w:after="0" w:line="135" w:lineRule="exact"/>
              <w:rPr>
                <w:sz w:val="20"/>
                <w:szCs w:val="20"/>
                <w:color w:val="auto"/>
              </w:rPr>
            </w:pPr>
            <w:r>
              <w:rPr>
                <w:rFonts w:ascii="Arial" w:cs="Arial" w:eastAsia="Arial" w:hAnsi="Arial"/>
                <w:sz w:val="14"/>
                <w:szCs w:val="14"/>
                <w:b w:val="1"/>
                <w:bCs w:val="1"/>
                <w:color w:val="auto"/>
                <w:w w:val="93"/>
              </w:rPr>
              <w:t>September 26,</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September 28,</w:t>
            </w:r>
          </w:p>
        </w:tc>
        <w:tc>
          <w:tcPr>
            <w:tcW w:w="12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 Increase/</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September 26,</w:t>
            </w:r>
          </w:p>
        </w:tc>
        <w:tc>
          <w:tcPr>
            <w:tcW w:w="160" w:type="dxa"/>
            <w:vAlign w:val="bottom"/>
          </w:tcPr>
          <w:p>
            <w:pPr>
              <w:spacing w:after="0"/>
              <w:rPr>
                <w:sz w:val="11"/>
                <w:szCs w:val="11"/>
                <w:color w:val="auto"/>
              </w:rPr>
            </w:pPr>
          </w:p>
        </w:tc>
        <w:tc>
          <w:tcPr>
            <w:tcW w:w="12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1"/>
              </w:rPr>
              <w:t>September 28,</w:t>
            </w:r>
          </w:p>
        </w:tc>
        <w:tc>
          <w:tcPr>
            <w:tcW w:w="12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 Increase/</w:t>
            </w:r>
          </w:p>
        </w:tc>
        <w:tc>
          <w:tcPr>
            <w:tcW w:w="0" w:type="dxa"/>
            <w:vAlign w:val="bottom"/>
          </w:tcPr>
          <w:p>
            <w:pPr>
              <w:spacing w:after="0"/>
              <w:rPr>
                <w:sz w:val="1"/>
                <w:szCs w:val="1"/>
                <w:color w:val="auto"/>
              </w:rPr>
            </w:pPr>
          </w:p>
        </w:tc>
      </w:tr>
      <w:tr>
        <w:trPr>
          <w:trHeight w:val="188"/>
        </w:trPr>
        <w:tc>
          <w:tcPr>
            <w:tcW w:w="30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39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center"/>
              <w:ind w:right="79"/>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6"/>
                <w:szCs w:val="16"/>
                <w:color w:val="auto"/>
              </w:rPr>
            </w:pPr>
          </w:p>
        </w:tc>
        <w:tc>
          <w:tcPr>
            <w:tcW w:w="1540" w:type="dxa"/>
            <w:vAlign w:val="bottom"/>
            <w:gridSpan w:val="3"/>
          </w:tcPr>
          <w:p>
            <w:pPr>
              <w:jc w:val="center"/>
              <w:ind w:right="170"/>
              <w:spacing w:after="0"/>
              <w:rPr>
                <w:sz w:val="20"/>
                <w:szCs w:val="20"/>
                <w:color w:val="auto"/>
              </w:rPr>
            </w:pPr>
            <w:r>
              <w:rPr>
                <w:rFonts w:ascii="Arial" w:cs="Arial" w:eastAsia="Arial" w:hAnsi="Arial"/>
                <w:sz w:val="14"/>
                <w:szCs w:val="14"/>
                <w:b w:val="1"/>
                <w:bCs w:val="1"/>
                <w:color w:val="auto"/>
                <w:w w:val="89"/>
              </w:rPr>
              <w:t>(Decrease)</w:t>
            </w:r>
          </w:p>
        </w:tc>
        <w:tc>
          <w:tcPr>
            <w:tcW w:w="1120" w:type="dxa"/>
            <w:vAlign w:val="bottom"/>
          </w:tcPr>
          <w:p>
            <w:pPr>
              <w:jc w:val="right"/>
              <w:ind w:right="41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center"/>
              <w:ind w:right="79"/>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24"/>
        </w:trPr>
        <w:tc>
          <w:tcPr>
            <w:tcW w:w="3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rPr>
              <w:t>105,744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rPr>
              <w:t>127,000</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rPr>
              <w:t>195,774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rPr>
              <w:t>242,906</w:t>
            </w:r>
          </w:p>
        </w:tc>
        <w:tc>
          <w:tcPr>
            <w:tcW w:w="1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30"/>
        </w:trPr>
        <w:tc>
          <w:tcPr>
            <w:tcW w:w="3080" w:type="dxa"/>
            <w:vAlign w:val="bottom"/>
          </w:tcPr>
          <w:p>
            <w:pPr>
              <w:ind w:left="120"/>
              <w:spacing w:after="0"/>
              <w:rPr>
                <w:sz w:val="20"/>
                <w:szCs w:val="20"/>
                <w:color w:val="auto"/>
              </w:rPr>
            </w:pPr>
            <w:r>
              <w:rPr>
                <w:rFonts w:ascii="Arial" w:cs="Arial" w:eastAsia="Arial" w:hAnsi="Arial"/>
                <w:sz w:val="18"/>
                <w:szCs w:val="18"/>
                <w:color w:val="auto"/>
              </w:rPr>
              <w:t>% of net revenues</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50.5 %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50.3 %</w:t>
            </w: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48.3 %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49.5 %</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Gross profit decreased 16.7% and 19.4% during the three and six months ended September 26, 2020, respectively, as compared with the same periods of fiscal 2020. Without the effect of foreign exchange, gross profit decreased 18.3% and 19.3% during the three and six months ended September 26, 2020, respectively, as compared with the same periods of fiscal 2020. The decrease in gross profit margin during the three and six months ended September 26, 2020 was primarily driven by decreased</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5" w:name="page26"/>
    <w:bookmarkEnd w:id="25"/>
    <w:p>
      <w:pPr>
        <w:ind w:right="500"/>
        <w:spacing w:after="0" w:line="277" w:lineRule="auto"/>
        <w:rPr>
          <w:sz w:val="20"/>
          <w:szCs w:val="20"/>
          <w:color w:val="auto"/>
        </w:rPr>
      </w:pPr>
      <w:r>
        <w:rPr>
          <w:rFonts w:ascii="Arial" w:cs="Arial" w:eastAsia="Arial" w:hAnsi="Arial"/>
          <w:sz w:val="18"/>
          <w:szCs w:val="18"/>
          <w:color w:val="auto"/>
        </w:rPr>
        <w:t>sales volume, unfavorable product mix and higher operational costs as a result of the COVID-19 pandemic. The decline was partially offset by lower depreciation expense and productivity savings from the 2020 Program.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2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3"/>
              </w:rPr>
              <w:t>Six Months Ended</w:t>
            </w: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1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1"/>
                <w:szCs w:val="11"/>
                <w:color w:val="auto"/>
              </w:rPr>
            </w:pPr>
          </w:p>
        </w:tc>
        <w:tc>
          <w:tcPr>
            <w:tcW w:w="1100" w:type="dxa"/>
            <w:vAlign w:val="bottom"/>
          </w:tcPr>
          <w:p>
            <w:pPr>
              <w:jc w:val="right"/>
              <w:ind w:right="93"/>
              <w:spacing w:after="0" w:line="135" w:lineRule="exact"/>
              <w:rPr>
                <w:sz w:val="20"/>
                <w:szCs w:val="20"/>
                <w:color w:val="auto"/>
              </w:rPr>
            </w:pPr>
            <w:r>
              <w:rPr>
                <w:rFonts w:ascii="Arial" w:cs="Arial" w:eastAsia="Arial" w:hAnsi="Arial"/>
                <w:sz w:val="14"/>
                <w:szCs w:val="14"/>
                <w:b w:val="1"/>
                <w:bCs w:val="1"/>
                <w:color w:val="auto"/>
                <w:w w:val="93"/>
              </w:rPr>
              <w:t>September 26,</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September 28,</w:t>
            </w:r>
          </w:p>
        </w:tc>
        <w:tc>
          <w:tcPr>
            <w:tcW w:w="12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 Increase/</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September 26,</w:t>
            </w:r>
          </w:p>
        </w:tc>
        <w:tc>
          <w:tcPr>
            <w:tcW w:w="140" w:type="dxa"/>
            <w:vAlign w:val="bottom"/>
          </w:tcPr>
          <w:p>
            <w:pPr>
              <w:spacing w:after="0"/>
              <w:rPr>
                <w:sz w:val="11"/>
                <w:szCs w:val="11"/>
                <w:color w:val="auto"/>
              </w:rPr>
            </w:pPr>
          </w:p>
        </w:tc>
        <w:tc>
          <w:tcPr>
            <w:tcW w:w="12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1"/>
              </w:rPr>
              <w:t>September 28,</w:t>
            </w:r>
          </w:p>
        </w:tc>
        <w:tc>
          <w:tcPr>
            <w:tcW w:w="1260" w:type="dxa"/>
            <w:vAlign w:val="bottom"/>
          </w:tcPr>
          <w:p>
            <w:pPr>
              <w:jc w:val="right"/>
              <w:ind w:right="175"/>
              <w:spacing w:after="0" w:line="135" w:lineRule="exact"/>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88"/>
        </w:trPr>
        <w:tc>
          <w:tcPr>
            <w:tcW w:w="31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center"/>
              <w:ind w:right="73"/>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6"/>
                <w:szCs w:val="16"/>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(Decrease)</w:t>
            </w:r>
          </w:p>
        </w:tc>
        <w:tc>
          <w:tcPr>
            <w:tcW w:w="140" w:type="dxa"/>
            <w:vAlign w:val="bottom"/>
          </w:tcPr>
          <w:p>
            <w:pPr>
              <w:spacing w:after="0"/>
              <w:rPr>
                <w:sz w:val="16"/>
                <w:szCs w:val="16"/>
                <w:color w:val="auto"/>
              </w:rPr>
            </w:pPr>
          </w:p>
        </w:tc>
        <w:tc>
          <w:tcPr>
            <w:tcW w:w="1120" w:type="dxa"/>
            <w:vAlign w:val="bottom"/>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center"/>
              <w:ind w:right="53"/>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Pr>
          <w:p>
            <w:pPr>
              <w:spacing w:after="0"/>
              <w:rPr>
                <w:sz w:val="16"/>
                <w:szCs w:val="16"/>
                <w:color w:val="auto"/>
              </w:rPr>
            </w:pPr>
          </w:p>
        </w:tc>
        <w:tc>
          <w:tcPr>
            <w:tcW w:w="1260" w:type="dxa"/>
            <w:vAlign w:val="bottom"/>
          </w:tcPr>
          <w:p>
            <w:pPr>
              <w:jc w:val="right"/>
              <w:ind w:right="235"/>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24"/>
        </w:trPr>
        <w:tc>
          <w:tcPr>
            <w:tcW w:w="3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6,763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7,422</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14,513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14,909</w:t>
            </w:r>
          </w:p>
        </w:tc>
        <w:tc>
          <w:tcPr>
            <w:tcW w:w="1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3100" w:type="dxa"/>
            <w:vAlign w:val="bottom"/>
          </w:tcPr>
          <w:p>
            <w:pPr>
              <w:ind w:left="120"/>
              <w:spacing w:after="0"/>
              <w:rPr>
                <w:sz w:val="20"/>
                <w:szCs w:val="20"/>
                <w:color w:val="auto"/>
              </w:rPr>
            </w:pPr>
            <w:r>
              <w:rPr>
                <w:rFonts w:ascii="Arial" w:cs="Arial" w:eastAsia="Arial" w:hAnsi="Arial"/>
                <w:sz w:val="18"/>
                <w:szCs w:val="18"/>
                <w:color w:val="auto"/>
              </w:rPr>
              <w:t>% of net revenues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2.9 %</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3.0 %</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71,697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77,922</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141,234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150,922</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0"/>
        </w:trPr>
        <w:tc>
          <w:tcPr>
            <w:tcW w:w="3100" w:type="dxa"/>
            <w:vAlign w:val="bottom"/>
          </w:tcPr>
          <w:p>
            <w:pPr>
              <w:ind w:left="120"/>
              <w:spacing w:after="0"/>
              <w:rPr>
                <w:sz w:val="20"/>
                <w:szCs w:val="20"/>
                <w:color w:val="auto"/>
              </w:rPr>
            </w:pPr>
            <w:r>
              <w:rPr>
                <w:rFonts w:ascii="Arial" w:cs="Arial" w:eastAsia="Arial" w:hAnsi="Arial"/>
                <w:sz w:val="18"/>
                <w:szCs w:val="18"/>
                <w:color w:val="auto"/>
              </w:rPr>
              <w:t>% of net revenues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34.2 %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30.9 %</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34.9 %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30.7 %</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of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1,028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48,721</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0" w:type="dxa"/>
            <w:vAlign w:val="bottom"/>
          </w:tcPr>
          <w:p>
            <w:pPr>
              <w:spacing w:after="0"/>
              <w:rPr>
                <w:sz w:val="1"/>
                <w:szCs w:val="1"/>
                <w:color w:val="auto"/>
              </w:rPr>
            </w:pPr>
          </w:p>
        </w:tc>
      </w:tr>
      <w:tr>
        <w:trPr>
          <w:trHeight w:val="229"/>
        </w:trPr>
        <w:tc>
          <w:tcPr>
            <w:tcW w:w="3100" w:type="dxa"/>
            <w:vAlign w:val="bottom"/>
          </w:tcPr>
          <w:p>
            <w:pPr>
              <w:ind w:left="120"/>
              <w:spacing w:after="0"/>
              <w:rPr>
                <w:sz w:val="20"/>
                <w:szCs w:val="20"/>
                <w:color w:val="auto"/>
              </w:rPr>
            </w:pPr>
            <w:r>
              <w:rPr>
                <w:rFonts w:ascii="Arial" w:cs="Arial" w:eastAsia="Arial" w:hAnsi="Arial"/>
                <w:sz w:val="18"/>
                <w:szCs w:val="18"/>
                <w:color w:val="auto"/>
              </w:rPr>
              <w:t>% of net revenues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0.3 %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9.9 %</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Gains on divestitures and sale of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(31,498)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(8,083)</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n/m</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(31,498)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(8,083)</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3100" w:type="dxa"/>
            <w:vAlign w:val="bottom"/>
          </w:tcPr>
          <w:p>
            <w:pPr>
              <w:ind w:left="120"/>
              <w:spacing w:after="0"/>
              <w:rPr>
                <w:sz w:val="20"/>
                <w:szCs w:val="20"/>
                <w:color w:val="auto"/>
              </w:rPr>
            </w:pPr>
            <w:r>
              <w:rPr>
                <w:rFonts w:ascii="Arial" w:cs="Arial" w:eastAsia="Arial" w:hAnsi="Arial"/>
                <w:sz w:val="18"/>
                <w:szCs w:val="18"/>
                <w:color w:val="auto"/>
              </w:rPr>
              <w:t>% of net revenues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46,962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77,261</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125,277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206,469</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30"/>
        </w:trPr>
        <w:tc>
          <w:tcPr>
            <w:tcW w:w="3100" w:type="dxa"/>
            <w:vAlign w:val="bottom"/>
          </w:tcPr>
          <w:p>
            <w:pPr>
              <w:ind w:left="120"/>
              <w:spacing w:after="0"/>
              <w:rPr>
                <w:sz w:val="20"/>
                <w:szCs w:val="20"/>
                <w:color w:val="auto"/>
              </w:rPr>
            </w:pPr>
            <w:r>
              <w:rPr>
                <w:rFonts w:ascii="Arial" w:cs="Arial" w:eastAsia="Arial" w:hAnsi="Arial"/>
                <w:sz w:val="18"/>
                <w:szCs w:val="18"/>
                <w:color w:val="auto"/>
              </w:rPr>
              <w:t>% of net revenues</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22.4 %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30.6 %</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30.9 %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42.0 %</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52" w:lineRule="exact"/>
        <w:rPr>
          <w:sz w:val="20"/>
          <w:szCs w:val="20"/>
          <w:color w:val="auto"/>
        </w:rPr>
      </w:pPr>
    </w:p>
    <w:p>
      <w:pPr>
        <w:jc w:val="both"/>
        <w:ind w:right="60"/>
        <w:spacing w:after="0" w:line="257" w:lineRule="auto"/>
        <w:rPr>
          <w:sz w:val="20"/>
          <w:szCs w:val="20"/>
          <w:color w:val="auto"/>
        </w:rPr>
      </w:pPr>
      <w:r>
        <w:rPr>
          <w:rFonts w:ascii="Arial" w:cs="Arial" w:eastAsia="Arial" w:hAnsi="Arial"/>
          <w:sz w:val="18"/>
          <w:szCs w:val="18"/>
          <w:color w:val="auto"/>
        </w:rPr>
        <w:t>Research and development expenses decreased 8.9% and 2.7% during the three and six months ended September 26, 2020, respectively, as compared with the same periods of fiscal 2020. Without the effect of foreign exchange, research and development expenses decreased 9.0% and 2.3% during the three and six months ended September 26, 2020, respectively, as compared with the same periods of fiscal 2020. The decrease during the three and six months ended September 26, 2020 was driven by cost savings primarily related to the 2020 Program, partially offset by continued investments, primarily in our Hospital Business unit.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252"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Selling, general and administrative expenses decreased 8.0% and 6.4% during the three and six months ended September 26, 2020, respectively, as compared with the same periods of fiscal 2020. Without the effect of foreign exchange, selling, general, and administrative expenses decreased 8.3% and 6.2% during the three and six months ended September 26, 2020, respectively, as compared with the same periods of fiscal 2020. The decrease during the three and six months ended September 26, 2020 was due to a reduction in variable compensation, cost containment actions taken to offset the negative effects related to the COVID-19 pandemic and incremental productivity savings from the 2020 Program.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assets</w:t>
      </w:r>
    </w:p>
    <w:p>
      <w:pPr>
        <w:spacing w:after="0" w:line="25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recognized impairment charges of $1.0 million during the six months ended September 26, 2020 in connection with the sale of our Fajardo, Puerto Rico, manufacturing operations. During the six months ended September 28, 2019, we recognized $48.7 million of impairment charges in connection with the sale of our Union, South Carolina facility. There were no impairments recognized during the three months ended September 26, 2020 and September 28, 2019.</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color w:val="auto"/>
        </w:rPr>
        <w:t>Gains on divestitures</w:t>
      </w:r>
    </w:p>
    <w:p>
      <w:pPr>
        <w:spacing w:after="0" w:line="25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We recognized gains on divestitures of $31.5 million during the three and six months ended September 26, 2020. Refer to Note 5, </w:t>
      </w:r>
      <w:r>
        <w:rPr>
          <w:rFonts w:ascii="Arial" w:cs="Arial" w:eastAsia="Arial" w:hAnsi="Arial"/>
          <w:sz w:val="18"/>
          <w:szCs w:val="18"/>
          <w:i w:val="1"/>
          <w:iCs w:val="1"/>
          <w:color w:val="auto"/>
        </w:rPr>
        <w:t>Divestitures</w:t>
      </w:r>
      <w:r>
        <w:rPr>
          <w:rFonts w:ascii="Arial" w:cs="Arial" w:eastAsia="Arial" w:hAnsi="Arial"/>
          <w:sz w:val="18"/>
          <w:szCs w:val="18"/>
          <w:color w:val="auto"/>
        </w:rPr>
        <w:t>, to the Unaudited Condensed Consolidated Financial Statements in this Quarterly Report on Form 10-Q for additional information pertaining to these divestitures. We recognized gains on sale of assets of $8.1 during the three and six months ended September 28, 2019 due to the sale of assets associated with our Braintree corporate headquarters.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and Other Expense, Net</w:t>
      </w:r>
    </w:p>
    <w:p>
      <w:pPr>
        <w:spacing w:after="0" w:line="25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Interest expense from our $350.0 million term loan and $350.0 million revolving loan constitutes the majority of our interest and other expenses. During the three and six months ended September 26, 2020, our interest expense associated with this debt declined by $2.0 million and $3.2 million, respectively, despite higher loan balances in the current year period due to a decrease in the effective interest rate. The effective interest rate on total debt outstanding as of September 26, 2020 was 1.4%.</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5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conduct business globally and report our results of operations in a number of foreign jurisdictions in addition to the United States. Our reported tax rate is impacted by the jurisdictional mix of earnings in any given period as the foreign jurisdictions in which we operate have tax rates that differ from the U.S. statutory tax rate.</w:t>
      </w:r>
    </w:p>
    <w:p>
      <w:pPr>
        <w:spacing w:after="0" w:line="211"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 xml:space="preserve">For the three and six months ended September 26, 2020, we reported income tax expense of $6.9 million and $4.3 million, respectively, representing effective tax rates of 12.5% and 6.8%, respectively. The effective tax rate for the three and six months ended September 26, 2020 includes discrete tax benefits recognized from excess stock compensation deductions of $0.1 million and $4.1 million, respectively. The effective tax rates were also impacted by the jurisdictional mix of earnings including divestiture transactions. During the three and six months ended September 26, 2020, we sold our Fajardo, Puerto Rico manufacturing operations, certain U.S. blood donor management software solution assets, and our wholly-owned subsidiary Inlog Holdings France SAS. The tax expense on divestitures, including the associated valuation allowance impacts, were included in the computation of the annual effective tax rate. Refer to Note 5, </w:t>
      </w:r>
      <w:r>
        <w:rPr>
          <w:rFonts w:ascii="Arial" w:cs="Arial" w:eastAsia="Arial" w:hAnsi="Arial"/>
          <w:sz w:val="17"/>
          <w:szCs w:val="17"/>
          <w:i w:val="1"/>
          <w:iCs w:val="1"/>
          <w:color w:val="auto"/>
        </w:rPr>
        <w:t>Divestitures</w:t>
      </w:r>
      <w:r>
        <w:rPr>
          <w:rFonts w:ascii="Arial" w:cs="Arial" w:eastAsia="Arial" w:hAnsi="Arial"/>
          <w:sz w:val="17"/>
          <w:szCs w:val="17"/>
          <w:color w:val="auto"/>
        </w:rPr>
        <w:t>, to the Unaudited Condensed Consolidated Financial Statements in this Quarterly Report on Form 10-Q for information pertaining to these divestitures.</w:t>
      </w:r>
    </w:p>
    <w:p>
      <w:pPr>
        <w:spacing w:after="0" w:line="20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For the three and six months ended September 28, 2019, we reported an income tax provision of $7.6 million and a benefit of $1.6 million, respectively, representing effective tax rates of 16.9% and (6.0)%, respectively. The effective tax rate for the three and six months ended September 28, 2019 was lower than the U.S. statutory tax rate primarily due to a discrete tax benefit recognized from excess stock compensation deductions of $4.4 million and $9.3 million, respectively. The effective tax rates were also impacted by the jurisdictional mix of earnings and the impact of the divestiture of the Union, South Carolina facility in the first quarter of fiscal 2020.</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certain key performance indicators we believe depict our liquidity and cash flow position:</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220" w:type="dxa"/>
            <w:vAlign w:val="bottom"/>
          </w:tcPr>
          <w:p>
            <w:pPr>
              <w:spacing w:after="0"/>
              <w:rPr>
                <w:sz w:val="14"/>
                <w:szCs w:val="14"/>
                <w:color w:val="auto"/>
              </w:rPr>
            </w:pPr>
          </w:p>
        </w:tc>
        <w:tc>
          <w:tcPr>
            <w:tcW w:w="148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26,</w:t>
            </w:r>
          </w:p>
        </w:tc>
        <w:tc>
          <w:tcPr>
            <w:tcW w:w="280" w:type="dxa"/>
            <w:vAlign w:val="bottom"/>
          </w:tcPr>
          <w:p>
            <w:pPr>
              <w:spacing w:after="0"/>
              <w:rPr>
                <w:sz w:val="14"/>
                <w:szCs w:val="14"/>
                <w:color w:val="auto"/>
              </w:rPr>
            </w:pPr>
          </w:p>
        </w:tc>
        <w:tc>
          <w:tcPr>
            <w:tcW w:w="1300" w:type="dxa"/>
            <w:vAlign w:val="bottom"/>
          </w:tcPr>
          <w:p>
            <w:pPr>
              <w:jc w:val="right"/>
              <w:ind w:right="395"/>
              <w:spacing w:after="0"/>
              <w:rPr>
                <w:sz w:val="20"/>
                <w:szCs w:val="20"/>
                <w:color w:val="auto"/>
              </w:rPr>
            </w:pPr>
            <w:r>
              <w:rPr>
                <w:rFonts w:ascii="Arial" w:cs="Arial" w:eastAsia="Arial" w:hAnsi="Arial"/>
                <w:sz w:val="14"/>
                <w:szCs w:val="14"/>
                <w:b w:val="1"/>
                <w:bCs w:val="1"/>
                <w:color w:val="auto"/>
              </w:rPr>
              <w:t>March 28,</w:t>
            </w:r>
          </w:p>
        </w:tc>
        <w:tc>
          <w:tcPr>
            <w:tcW w:w="0" w:type="dxa"/>
            <w:vAlign w:val="bottom"/>
          </w:tcPr>
          <w:p>
            <w:pPr>
              <w:spacing w:after="0"/>
              <w:rPr>
                <w:sz w:val="1"/>
                <w:szCs w:val="1"/>
                <w:color w:val="auto"/>
              </w:rPr>
            </w:pPr>
          </w:p>
        </w:tc>
      </w:tr>
      <w:tr>
        <w:trPr>
          <w:trHeight w:val="188"/>
        </w:trPr>
        <w:tc>
          <w:tcPr>
            <w:tcW w:w="79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7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&amp; cash equivalents</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279,169</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137,311</w:t>
            </w:r>
          </w:p>
        </w:tc>
        <w:tc>
          <w:tcPr>
            <w:tcW w:w="0" w:type="dxa"/>
            <w:vAlign w:val="bottom"/>
          </w:tcPr>
          <w:p>
            <w:pPr>
              <w:spacing w:after="0"/>
              <w:rPr>
                <w:sz w:val="1"/>
                <w:szCs w:val="1"/>
                <w:color w:val="auto"/>
              </w:rPr>
            </w:pPr>
          </w:p>
        </w:tc>
      </w:tr>
      <w:tr>
        <w:trPr>
          <w:trHeight w:val="229"/>
        </w:trPr>
        <w:tc>
          <w:tcPr>
            <w:tcW w:w="7900" w:type="dxa"/>
            <w:vAlign w:val="bottom"/>
            <w:gridSpan w:val="2"/>
          </w:tcPr>
          <w:p>
            <w:pPr>
              <w:ind w:left="20"/>
              <w:spacing w:after="0"/>
              <w:rPr>
                <w:sz w:val="20"/>
                <w:szCs w:val="20"/>
                <w:color w:val="auto"/>
              </w:rPr>
            </w:pPr>
            <w:r>
              <w:rPr>
                <w:rFonts w:ascii="Arial" w:cs="Arial" w:eastAsia="Arial" w:hAnsi="Arial"/>
                <w:sz w:val="18"/>
                <w:szCs w:val="18"/>
                <w:color w:val="auto"/>
              </w:rPr>
              <w:t>Working capital</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421,711</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328,817</w:t>
            </w:r>
          </w:p>
        </w:tc>
        <w:tc>
          <w:tcPr>
            <w:tcW w:w="0" w:type="dxa"/>
            <w:vAlign w:val="bottom"/>
          </w:tcPr>
          <w:p>
            <w:pPr>
              <w:spacing w:after="0"/>
              <w:rPr>
                <w:sz w:val="1"/>
                <w:szCs w:val="1"/>
                <w:color w:val="auto"/>
              </w:rPr>
            </w:pPr>
          </w:p>
        </w:tc>
      </w:tr>
      <w:tr>
        <w:trPr>
          <w:trHeight w:val="230"/>
        </w:trPr>
        <w:tc>
          <w:tcPr>
            <w:tcW w:w="7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ratio</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79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Net debt</w:t>
            </w:r>
            <w:r>
              <w:rPr>
                <w:rFonts w:ascii="Arial" w:cs="Arial" w:eastAsia="Arial" w:hAnsi="Arial"/>
                <w:sz w:val="23"/>
                <w:szCs w:val="23"/>
                <w:color w:val="auto"/>
                <w:vertAlign w:val="superscript"/>
              </w:rPr>
              <w:t>(1)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(184,848)</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(245,182)</w:t>
            </w:r>
          </w:p>
        </w:tc>
        <w:tc>
          <w:tcPr>
            <w:tcW w:w="0" w:type="dxa"/>
            <w:vAlign w:val="bottom"/>
          </w:tcPr>
          <w:p>
            <w:pPr>
              <w:spacing w:after="0"/>
              <w:rPr>
                <w:sz w:val="1"/>
                <w:szCs w:val="1"/>
                <w:color w:val="auto"/>
              </w:rPr>
            </w:pPr>
          </w:p>
        </w:tc>
      </w:tr>
      <w:tr>
        <w:trPr>
          <w:trHeight w:val="230"/>
        </w:trPr>
        <w:tc>
          <w:tcPr>
            <w:tcW w:w="7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Days sales outstanding (DSO)</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0"/>
        </w:trPr>
        <w:tc>
          <w:tcPr>
            <w:tcW w:w="7900" w:type="dxa"/>
            <w:vAlign w:val="bottom"/>
            <w:gridSpan w:val="2"/>
          </w:tcPr>
          <w:p>
            <w:pPr>
              <w:ind w:left="20"/>
              <w:spacing w:after="0"/>
              <w:rPr>
                <w:sz w:val="20"/>
                <w:szCs w:val="20"/>
                <w:color w:val="auto"/>
              </w:rPr>
            </w:pPr>
            <w:r>
              <w:rPr>
                <w:rFonts w:ascii="Arial" w:cs="Arial" w:eastAsia="Arial" w:hAnsi="Arial"/>
                <w:sz w:val="18"/>
                <w:szCs w:val="18"/>
                <w:color w:val="auto"/>
              </w:rPr>
              <w:t>Inventory turnover</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bl>
    <w:p>
      <w:pPr>
        <w:spacing w:after="0" w:line="61" w:lineRule="exact"/>
        <w:rPr>
          <w:sz w:val="20"/>
          <w:szCs w:val="20"/>
          <w:color w:val="auto"/>
        </w:rPr>
      </w:pPr>
    </w:p>
    <w:p>
      <w:pPr>
        <w:spacing w:after="0"/>
        <w:rPr>
          <w:sz w:val="20"/>
          <w:szCs w:val="20"/>
          <w:color w:val="auto"/>
        </w:rPr>
      </w:pPr>
      <w:r>
        <w:rPr>
          <w:rFonts w:ascii="Arial" w:cs="Arial" w:eastAsia="Arial" w:hAnsi="Arial"/>
          <w:sz w:val="9"/>
          <w:szCs w:val="9"/>
          <w:color w:val="auto"/>
        </w:rPr>
        <w:t>(1)</w:t>
      </w:r>
      <w:r>
        <w:rPr>
          <w:rFonts w:ascii="Arial" w:cs="Arial" w:eastAsia="Arial" w:hAnsi="Arial"/>
          <w:sz w:val="14"/>
          <w:szCs w:val="14"/>
          <w:color w:val="auto"/>
        </w:rPr>
        <w:t>Net debt position is the sum of cash and cash equivalents less total debt.</w:t>
      </w:r>
    </w:p>
    <w:p>
      <w:pPr>
        <w:spacing w:after="0" w:line="24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July 2019, our Board of Directors approved the 2020 Program. We estimate that we will incur aggregate charges between $60 million and $70 million in connection with the 2020 Program. These charges, the majority of which will result in cash outlays, including severance and other employee costs, will be incurred as the specific actions required to execute these initiatives are identified and approved and are expected to be substantially completed by the end of fiscal 2023. During the three and six months ended September 26, 2020, we incurred $4.4 million and $8.0 million, respectively, of restructuring and turnaround costs under this program.</w:t>
      </w:r>
    </w:p>
    <w:p>
      <w:pPr>
        <w:sectPr>
          <w:pgSz w:w="11900" w:h="16838" w:orient="portrait"/>
          <w:cols w:equalWidth="0" w:num="1">
            <w:col w:w="11220"/>
          </w:cols>
          <w:pgMar w:left="320" w:top="895" w:right="35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type w:val="continuous"/>
        </w:sectPr>
      </w:pPr>
    </w:p>
    <w:bookmarkStart w:id="27" w:name="page28"/>
    <w:bookmarkEnd w:id="27"/>
    <w:p>
      <w:pPr>
        <w:ind w:right="20"/>
        <w:spacing w:after="0" w:line="259" w:lineRule="auto"/>
        <w:rPr>
          <w:sz w:val="20"/>
          <w:szCs w:val="20"/>
          <w:color w:val="auto"/>
        </w:rPr>
      </w:pPr>
      <w:r>
        <w:rPr>
          <w:rFonts w:ascii="Arial" w:cs="Arial" w:eastAsia="Arial" w:hAnsi="Arial"/>
          <w:sz w:val="18"/>
          <w:szCs w:val="18"/>
          <w:color w:val="auto"/>
        </w:rPr>
        <w:t>Our primary sources of liquidity are cash and cash equivalents, internally generated cash flow from operations, our revolving credit line and proceeds from employee stock option exercises. We believe these sources are sufficient to fund our cash requirements over at least the next twelve months. Our expected cash outlays relate primarily to investments, capital expenditures, including production of the NexSys PCS and Plasma plant capacity expansions, cash payments under the loan agreement and restructuring and turnaround initiatives.</w:t>
      </w:r>
    </w:p>
    <w:p>
      <w:pPr>
        <w:spacing w:after="0" w:line="214"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As of September 26, 2020, we had $279.2 million in cash and cash equivalents, the majority of which is held in the U.S. or in countries from which it can be repatriated to the U.S. On June 15, 2018, we entered into a five-year credit agreement which provided for a $350.0 million term loan and a $350.0 million revolving loan (together with the term loan, the "Credit Facilities"). Interest on the term loan and revolving loan is established using LIBOR plus 1.13% - 1.75%, depending on our leverage ratio. Under the Credit Facilities, we are required to maintain certain leverage and interest coverage ratios specified in the credit agreement as well as other customary non-financial affirmative and negative covenants. At September 26, 2020, $315.0 million was outstanding under the term loan with an effective interest rate of 1.4% and $150.0 million was outstanding on the revolving loan. On October 8, 2020, subsequent to the balance sheet date, we reduced our borrowings on the revolving loan by $150.0 million. We also had $26.2 million of uncommitted operating lines of credit to fund our global operations under which there were no outstanding borrowings as of September 26, 2020.</w:t>
      </w:r>
    </w:p>
    <w:p>
      <w:pPr>
        <w:spacing w:after="0" w:line="19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have scheduled principal payments of $13.1 million required during the remainder of fiscal 2020. We were in compliance with the leverage and interest coverage ratios specified in the credit agreement as well as all other bank covenants as of September 26, 2020.</w:t>
      </w:r>
    </w:p>
    <w:p>
      <w:pPr>
        <w:spacing w:after="0" w:line="197"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In May 2019, our Board of Directors authorized the repurchase of up to $500.0 million of Haemonetics common shares over the next two years. As of September 26, 2020, the total remaining authorization for repurchases of the Company's common stock under the share repurchase program was $325.0 million.</w:t>
      </w:r>
    </w:p>
    <w:p>
      <w:pPr>
        <w:spacing w:after="0" w:line="21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continue to manage the ongoing impacts of the COVID-19 pandemic. While the duration and impacts of the pandemic remain uncertain, we have been successful in preserving cash by implementing a number of actions including restricting travel, reducing certain compensation-related items and non-essential spending and delaying hiring. We will continue to invest in our business with a bias towards organic growth and innovation that will continue to expand our commercial capabilities. Our commitment to our shareholders will continue to be an important element of our capital allocation strategy, however, our priority will be focused on providing the appropriate levels of funding across our organization and ensuring that we are well positioned to address any challenges that may arise over the course of the pandemic.</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3"/>
              </w:rPr>
              <w:t>Six Months Ended</w:t>
            </w: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620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11"/>
                <w:szCs w:val="11"/>
                <w:color w:val="auto"/>
              </w:rPr>
            </w:pPr>
          </w:p>
        </w:tc>
        <w:tc>
          <w:tcPr>
            <w:tcW w:w="1480" w:type="dxa"/>
            <w:vAlign w:val="bottom"/>
            <w:gridSpan w:val="2"/>
          </w:tcPr>
          <w:p>
            <w:pPr>
              <w:ind w:left="120"/>
              <w:spacing w:after="0" w:line="135" w:lineRule="exact"/>
              <w:rPr>
                <w:sz w:val="20"/>
                <w:szCs w:val="20"/>
                <w:color w:val="auto"/>
              </w:rPr>
            </w:pPr>
            <w:r>
              <w:rPr>
                <w:rFonts w:ascii="Arial" w:cs="Arial" w:eastAsia="Arial" w:hAnsi="Arial"/>
                <w:sz w:val="14"/>
                <w:szCs w:val="14"/>
                <w:b w:val="1"/>
                <w:bCs w:val="1"/>
                <w:color w:val="auto"/>
              </w:rPr>
              <w:t>September 26,</w:t>
            </w:r>
          </w:p>
        </w:tc>
        <w:tc>
          <w:tcPr>
            <w:tcW w:w="160" w:type="dxa"/>
            <w:vAlign w:val="bottom"/>
          </w:tcPr>
          <w:p>
            <w:pPr>
              <w:spacing w:after="0"/>
              <w:rPr>
                <w:sz w:val="11"/>
                <w:szCs w:val="11"/>
                <w:color w:val="auto"/>
              </w:rPr>
            </w:pPr>
          </w:p>
        </w:tc>
        <w:tc>
          <w:tcPr>
            <w:tcW w:w="1420" w:type="dxa"/>
            <w:vAlign w:val="bottom"/>
          </w:tcPr>
          <w:p>
            <w:pPr>
              <w:jc w:val="center"/>
              <w:ind w:right="97"/>
              <w:spacing w:after="0" w:line="135" w:lineRule="exact"/>
              <w:rPr>
                <w:sz w:val="20"/>
                <w:szCs w:val="20"/>
                <w:color w:val="auto"/>
              </w:rPr>
            </w:pPr>
            <w:r>
              <w:rPr>
                <w:rFonts w:ascii="Arial" w:cs="Arial" w:eastAsia="Arial" w:hAnsi="Arial"/>
                <w:sz w:val="14"/>
                <w:szCs w:val="14"/>
                <w:b w:val="1"/>
                <w:bCs w:val="1"/>
                <w:color w:val="auto"/>
                <w:w w:val="91"/>
              </w:rPr>
              <w:t>September 28,</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00" w:type="dxa"/>
            <w:vAlign w:val="bottom"/>
          </w:tcPr>
          <w:p>
            <w:pPr>
              <w:jc w:val="right"/>
              <w:ind w:right="436"/>
              <w:spacing w:after="0" w:line="135"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88"/>
        </w:trPr>
        <w:tc>
          <w:tcPr>
            <w:tcW w:w="62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center"/>
              <w:ind w:right="77"/>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jc w:val="right"/>
              <w:ind w:right="376"/>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24"/>
        </w:trPr>
        <w:tc>
          <w:tcPr>
            <w:tcW w:w="6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(used in):</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gridSpan w:val="2"/>
          </w:tcPr>
          <w:p>
            <w:pPr>
              <w:ind w:left="120"/>
              <w:spacing w:after="0"/>
              <w:rPr>
                <w:sz w:val="20"/>
                <w:szCs w:val="20"/>
                <w:color w:val="auto"/>
              </w:rPr>
            </w:pPr>
            <w:r>
              <w:rPr>
                <w:rFonts w:ascii="Arial" w:cs="Arial" w:eastAsia="Arial" w:hAnsi="Arial"/>
                <w:sz w:val="18"/>
                <w:szCs w:val="18"/>
                <w:color w:val="auto"/>
              </w:rPr>
              <w:t>Operating activities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40,967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32,529</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8,438</w:t>
            </w:r>
          </w:p>
        </w:tc>
        <w:tc>
          <w:tcPr>
            <w:tcW w:w="0" w:type="dxa"/>
            <w:vAlign w:val="bottom"/>
          </w:tcPr>
          <w:p>
            <w:pPr>
              <w:spacing w:after="0"/>
              <w:rPr>
                <w:sz w:val="1"/>
                <w:szCs w:val="1"/>
                <w:color w:val="auto"/>
              </w:rPr>
            </w:pPr>
          </w:p>
        </w:tc>
      </w:tr>
      <w:tr>
        <w:trPr>
          <w:trHeight w:val="230"/>
        </w:trPr>
        <w:tc>
          <w:tcPr>
            <w:tcW w:w="62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Investing activities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5,414</w:t>
            </w:r>
          </w:p>
        </w:tc>
        <w:tc>
          <w:tcPr>
            <w:tcW w:w="0" w:type="dxa"/>
            <w:vAlign w:val="bottom"/>
          </w:tcPr>
          <w:p>
            <w:pPr>
              <w:spacing w:after="0"/>
              <w:rPr>
                <w:sz w:val="1"/>
                <w:szCs w:val="1"/>
                <w:color w:val="auto"/>
              </w:rPr>
            </w:pPr>
          </w:p>
        </w:tc>
      </w:tr>
      <w:tr>
        <w:trPr>
          <w:trHeight w:val="230"/>
        </w:trPr>
        <w:tc>
          <w:tcPr>
            <w:tcW w:w="6200" w:type="dxa"/>
            <w:vAlign w:val="bottom"/>
            <w:gridSpan w:val="2"/>
          </w:tcPr>
          <w:p>
            <w:pPr>
              <w:ind w:left="120"/>
              <w:spacing w:after="0"/>
              <w:rPr>
                <w:sz w:val="20"/>
                <w:szCs w:val="20"/>
                <w:color w:val="auto"/>
              </w:rPr>
            </w:pPr>
            <w:r>
              <w:rPr>
                <w:rFonts w:ascii="Arial" w:cs="Arial" w:eastAsia="Arial" w:hAnsi="Arial"/>
                <w:sz w:val="18"/>
                <w:szCs w:val="18"/>
                <w:color w:val="auto"/>
              </w:rPr>
              <w:t>Financing activities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84,633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(96,427)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181,060</w:t>
            </w:r>
          </w:p>
        </w:tc>
        <w:tc>
          <w:tcPr>
            <w:tcW w:w="0" w:type="dxa"/>
            <w:vAlign w:val="bottom"/>
          </w:tcPr>
          <w:p>
            <w:pPr>
              <w:spacing w:after="0"/>
              <w:rPr>
                <w:sz w:val="1"/>
                <w:szCs w:val="1"/>
                <w:color w:val="auto"/>
              </w:rPr>
            </w:pPr>
          </w:p>
        </w:tc>
      </w:tr>
      <w:tr>
        <w:trPr>
          <w:trHeight w:val="229"/>
        </w:trPr>
        <w:tc>
          <w:tcPr>
            <w:tcW w:w="62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Effect of exchange rate changes on cash and cash equivalents</w:t>
            </w:r>
            <w:r>
              <w:rPr>
                <w:rFonts w:ascii="Arial" w:cs="Arial" w:eastAsia="Arial" w:hAnsi="Arial"/>
                <w:sz w:val="23"/>
                <w:szCs w:val="23"/>
                <w:color w:val="auto"/>
                <w:vertAlign w:val="superscript"/>
              </w:rPr>
              <w:t>(1)</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4,267</w:t>
            </w:r>
          </w:p>
        </w:tc>
        <w:tc>
          <w:tcPr>
            <w:tcW w:w="0" w:type="dxa"/>
            <w:vAlign w:val="bottom"/>
          </w:tcPr>
          <w:p>
            <w:pPr>
              <w:spacing w:after="0"/>
              <w:rPr>
                <w:sz w:val="1"/>
                <w:szCs w:val="1"/>
                <w:color w:val="auto"/>
              </w:rPr>
            </w:pPr>
          </w:p>
        </w:tc>
      </w:tr>
      <w:tr>
        <w:trPr>
          <w:trHeight w:val="223"/>
        </w:trPr>
        <w:tc>
          <w:tcPr>
            <w:tcW w:w="6200" w:type="dxa"/>
            <w:vAlign w:val="bottom"/>
            <w:gridSpan w:val="2"/>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141,858</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(57,321)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right="40"/>
        <w:spacing w:after="0" w:line="273" w:lineRule="auto"/>
        <w:rPr>
          <w:sz w:val="20"/>
          <w:szCs w:val="20"/>
          <w:color w:val="auto"/>
        </w:rPr>
      </w:pPr>
      <w:r>
        <w:rPr>
          <w:rFonts w:ascii="Arial" w:cs="Arial" w:eastAsia="Arial" w:hAnsi="Arial"/>
          <w:sz w:val="9"/>
          <w:szCs w:val="9"/>
          <w:color w:val="auto"/>
        </w:rPr>
        <w:t>(1)</w:t>
      </w:r>
      <w:r>
        <w:rPr>
          <w:rFonts w:ascii="Arial" w:cs="Arial" w:eastAsia="Arial" w:hAnsi="Arial"/>
          <w:sz w:val="14"/>
          <w:szCs w:val="14"/>
          <w:color w:val="auto"/>
        </w:rPr>
        <w:t>The balance sheet is affected by spot exchange rates used to translate local currency amounts into U.S. Dollars. In accordance with U.S. GAAP, we have removed the effect of foreign currency</w:t>
      </w:r>
      <w:r>
        <w:rPr>
          <w:rFonts w:ascii="Arial" w:cs="Arial" w:eastAsia="Arial" w:hAnsi="Arial"/>
          <w:sz w:val="9"/>
          <w:szCs w:val="9"/>
          <w:color w:val="auto"/>
        </w:rPr>
        <w:t xml:space="preserve"> </w:t>
      </w:r>
      <w:r>
        <w:rPr>
          <w:rFonts w:ascii="Arial" w:cs="Arial" w:eastAsia="Arial" w:hAnsi="Arial"/>
          <w:sz w:val="14"/>
          <w:szCs w:val="14"/>
          <w:color w:val="auto"/>
        </w:rPr>
        <w:t>throughout our cash flow statement, except for its effect on our cash and cash equivalents.</w:t>
      </w:r>
    </w:p>
    <w:p>
      <w:pPr>
        <w:spacing w:after="0" w:line="205"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Net cash provided by operating activities increased by $8.4 million during the six months ended September 26, 2020, as compared with the six months ended September 28, 2019. The increase in cash provided by operating activities was primarily the result of a decrease in working capital as compared with the prior year period due to lower inventory growth, primarily related to NexSys PCS devices, a decrease in the build of accounts receivable due to lower sales and improved collection timing, and a large payment to a key service provider in the prior year period. The reduction in net income, as adjusted for depreciation, amortization and other non-cash charges compared with the prior year period, partially offset this increase.</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38" w:right="379" w:bottom="1440" w:gutter="0" w:footer="0" w:header="0"/>
        </w:sectPr>
      </w:pPr>
    </w:p>
    <w:bookmarkStart w:id="28" w:name="page29"/>
    <w:bookmarkEnd w:id="28"/>
    <w:p>
      <w:pPr>
        <w:ind w:right="20"/>
        <w:spacing w:after="0" w:line="257" w:lineRule="auto"/>
        <w:rPr>
          <w:sz w:val="20"/>
          <w:szCs w:val="20"/>
          <w:color w:val="auto"/>
        </w:rPr>
      </w:pPr>
      <w:r>
        <w:rPr>
          <w:rFonts w:ascii="Arial" w:cs="Arial" w:eastAsia="Arial" w:hAnsi="Arial"/>
          <w:sz w:val="18"/>
          <w:szCs w:val="18"/>
          <w:color w:val="auto"/>
        </w:rPr>
        <w:t>Net cash provided by investing activities increased by $5.4 million during the six months ended September 26, 2020, as compared with the six months ended September 28, 2019. The increase in cash used in investing activities was primarily the result of cash received related to the sale of our Fajardo, Puerto Rico manufacturing operations, certain U.S. blood donor management software solution assets and, our wholly-owned subsidiary Inlog Holdings France SAS. This was partially offset by the cash paid for the acquisition of enicor during fiscal 2021 and proceeds received related to the divestiture of our plasma liquid solutions operations in the prior year period.</w:t>
      </w:r>
    </w:p>
    <w:p>
      <w:pPr>
        <w:spacing w:after="0" w:line="215"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Net cash provided by financing activities increased by $181.1 million during the six months ended September 26, 2020, as compared with the six months ended September 28, 2019, primarily due to a decrease in share repurchases compared with the prior year period and an increase in borrowings on our revolving credit facility, net of payments, during fiscal 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56"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Concentrations of credit risk with respect to trade accounts receivable are generally limited due to our large number of customers and their diversity across many geographic areas. Certain markets and industries, however, can expose us to concentrations of credit risk. For example, in the Plasma business unit, sales are concentrated with several large customers. As a result, accounts receivable extended to any one of these biopharmaceutical customers can be significant at any point in time. In addition, a portion of our trade accounts receivable outside the U.S. include sales to government-owned or supported healthcare systems in several countries, which are subject to payment delays and local economic conditions. Payment is dependent upon the financial stability and creditworthiness of those countries' national economies.</w:t>
      </w:r>
    </w:p>
    <w:p>
      <w:pPr>
        <w:spacing w:after="0" w:line="205"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We have not incurred significant losses on receivables. We continually evaluate all receivables for potential collection risks associated with the availability of government funding and reimbursement practices. If the financial condition of customers or the countries' healthcare systems deteriorate such that their ability to make payments is uncertain, allowances may be required in future periods.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56"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We do not believe that inflation had a significant impact on our results of operations for the periods presented. Historically, we believe we have been able to mitigate the effects of inflation by improving our manufacturing and purchasing efficiencies, by increasing employee productivity and by adjusting the selling prices of products. We continue to monitor inflation pressures generally and raw materials indices that may affect our procurement and production costs. Increases in the price of petroleum derivatives could result in corresponding increases in our costs to procure plastic raw materials.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w:t>
      </w:r>
    </w:p>
    <w:p>
      <w:pPr>
        <w:spacing w:after="0" w:line="256"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During the three and six months ended September 26, 2020, 40.8% and 42.0%, respectively, of our sales were generated outside the U.S., generally in foreign currencies, yet our reporting currency is the U.S. Dollar. We also incur certain manufacturing, marketing and selling costs in international markets in local currency. Our primary foreign currency exposures relate to sales denominated in Euro, Japanese Yen, Chinese Yuan and Australian Dollars. We also have foreign currency exposure related to manufacturing and other operational costs denominated in Swiss Francs, Canadian Dollars, Mexican Pesos and Malaysian Ringgit. The Yen, Euro, Yuan and Australian Dollar sales exposure is partially mitigated by costs and expenses for foreign operations and sourcing products denominated in foreign currencies.</w:t>
      </w:r>
    </w:p>
    <w:p>
      <w:pPr>
        <w:spacing w:after="0" w:line="21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Since our foreign currency denominated Yen, Euro, Yuan and Australian Dollar sales exceed the foreign currency denominated costs, whenever the U.S. Dollar strengthens relative to the Yen, Euro, Yuan or Australian Dollar, there is an adverse effect on our results of operations and, conversely, whenever the U.S. Dollar weakens relative to the Yen, Euro, Yuan or Australian Dollar, there is a positive effect on our results of operations. For Swiss Francs, Canadian Dollars Mexican Pesos and Malaysian Ringgit our primary cash flows relate to product costs or costs and expenses of local operations. Whenever the U.S. Dollar strengthens relative to these foreign currencies, there is a positive effect on our results of operations. Conversely, whenever the U.S. Dollar weakens relative to these currencies, there is an adverse effect on our results of operations.</w:t>
      </w:r>
    </w:p>
    <w:p>
      <w:pPr>
        <w:spacing w:after="0" w:line="205"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We have a program in place that is designed to mitigate our exposure to changes in foreign currency exchange rates. That program includes the use of derivative financial instruments to minimize, for a period of time, the unforeseen impact on our financial results from changes in foreign exchange rates. We utilize forward foreign currency contracts to hedge the anticipated cash flows from transactions denominated in foreign currencies, primarily Japanese Yen and Euro, and to a lesser extent Swiss Francs, Australian Dollars, Canadian Dollars and Mexican Pesos. This does not eliminate the volatility of foreign exchange rates, but because we generally enter into forward contracts one year out, rates are fixed for a one-year period, thereby facilitating financial planning and resource allocation. These contracts are designated as cash flow hedges. The final impact of</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currency fluctuations on the results of operations is dependent on the local currency amounts hedged and the actual local currency results.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Standards to be Implemented</w:t>
      </w:r>
    </w:p>
    <w:p>
      <w:pPr>
        <w:spacing w:after="0" w:line="252" w:lineRule="exact"/>
        <w:rPr>
          <w:sz w:val="20"/>
          <w:szCs w:val="20"/>
          <w:color w:val="auto"/>
        </w:rPr>
      </w:pPr>
    </w:p>
    <w:p>
      <w:pPr>
        <w:jc w:val="both"/>
        <w:ind w:right="40"/>
        <w:spacing w:after="0" w:line="301" w:lineRule="auto"/>
        <w:rPr>
          <w:sz w:val="20"/>
          <w:szCs w:val="20"/>
          <w:color w:val="auto"/>
        </w:rPr>
      </w:pPr>
      <w:r>
        <w:rPr>
          <w:rFonts w:ascii="Arial" w:cs="Arial" w:eastAsia="Arial" w:hAnsi="Arial"/>
          <w:sz w:val="16"/>
          <w:szCs w:val="16"/>
          <w:color w:val="auto"/>
        </w:rPr>
        <w:t>In December 2019, the Financial Accounting Standards Board ("FASB") issued Accounting Standards Codification ("ASC") Update No. 2019-12, Income Taxes (Topic 740). The new guidance will improve consistent application of and simplify the accounting for income taxes by removing certain exceptions to the general principals in Topic 740. ASC Update No. 2019-12 is effective for annual periods beginning after December 15, 2020, and is applicable to us in fiscal 2022. We are in the process of determining the effect that the adoption will have on our financial position and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25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Certain statements that we make from time to time, including statements contained in this Quarterly Report on Form 10-Q and incorporated by reference into this report, constitute “forward looking-statements” within the meaning of Section 27A of the Securities Act of 1933 and Section 21E of the Securities Exchange Act of 1934. Forward-looking statements do not relate strictly to historical or current facts and reflect management’s assumptions, views, plans, objectives and projections about the future. Forward-looking statements may be identified by the use of words such as “may,” “will,” “should,” “could,” “would,” “expects,” “plans,” “anticipates,” “believes,” “estimates,” “projects,” “predicts,” “potential” and other words of similar meaning in conjunction with, among other things: discussions of future operations; expected operating results and financial performance; impacts of the COVID-19 pandemic; the Company’s strategy for growth; product development, commercialization and anticipated performance and benefits; regulatory approvals; impact of planned acquisitions or dispositions; market position and expenditures.</w:t>
      </w:r>
    </w:p>
    <w:p>
      <w:pPr>
        <w:spacing w:after="0" w:line="11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Because forward-looking statements are based on current beliefs, expectations and assumptions regarding future events, they are subject to uncertainties, risks and changes that are difficult to predict and many of which are outside of the Company's control. Investors should realize that if underlying assumptions prove inaccurate, or known or unknown risks or uncertainties materialize, the Company’s actual results and financial condition could vary materially from expectations and projections expressed or implied in its forward-looking statements. Investors are therefore cautioned not to rely on these forward-looking statements.</w:t>
      </w:r>
    </w:p>
    <w:p>
      <w:pPr>
        <w:spacing w:after="0" w:line="10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 xml:space="preserve">The following are some important factors that could cause our actual results to differ from our expectations in any forward-looking statements. For further discussion of these and other factors, see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our most recent Annual Report on Form 10-K.</w:t>
      </w:r>
    </w:p>
    <w:p>
      <w:pPr>
        <w:spacing w:after="0" w:line="103" w:lineRule="exact"/>
        <w:rPr>
          <w:sz w:val="20"/>
          <w:szCs w:val="20"/>
          <w:color w:val="auto"/>
        </w:rPr>
      </w:pPr>
    </w:p>
    <w:p>
      <w:pPr>
        <w:ind w:left="660" w:right="440" w:hanging="328"/>
        <w:spacing w:after="0" w:line="342" w:lineRule="auto"/>
        <w:tabs>
          <w:tab w:leader="none" w:pos="655"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effect of the ongoing COVID-19 pandemic, or outbreaks of communicable diseases, on our business, financial conditions and results of operations, which may be heightened if the pandemic and various government responses to it continue for an extended period of time;</w:t>
      </w:r>
    </w:p>
    <w:p>
      <w:pPr>
        <w:spacing w:after="0" w:line="150" w:lineRule="exact"/>
        <w:rPr>
          <w:rFonts w:ascii="Arial" w:cs="Arial" w:eastAsia="Arial" w:hAnsi="Arial"/>
          <w:sz w:val="16"/>
          <w:szCs w:val="16"/>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to achieve our long-term strategic and financial-improvement goals;</w:t>
      </w:r>
    </w:p>
    <w:p>
      <w:pPr>
        <w:spacing w:after="0" w:line="252"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Demand for and market acceptance risks for new and existing products, including material reductions in purchasing from or loss of a significant customer;</w:t>
      </w:r>
    </w:p>
    <w:p>
      <w:pPr>
        <w:spacing w:after="0" w:line="197" w:lineRule="exact"/>
        <w:rPr>
          <w:rFonts w:ascii="Arial" w:cs="Arial" w:eastAsia="Arial" w:hAnsi="Arial"/>
          <w:sz w:val="18"/>
          <w:szCs w:val="18"/>
          <w:color w:val="auto"/>
        </w:rPr>
      </w:pPr>
    </w:p>
    <w:p>
      <w:pPr>
        <w:ind w:left="660" w:right="70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Product quality or safety concerns, leading to product recalls, withdrawals, regulatory action by the FDA (or similar non-U.S. regulatory agencies), reputational damage, declining sales or litigation;</w:t>
      </w:r>
    </w:p>
    <w:p>
      <w:pPr>
        <w:spacing w:after="0" w:line="197" w:lineRule="exact"/>
        <w:rPr>
          <w:rFonts w:ascii="Arial" w:cs="Arial" w:eastAsia="Arial" w:hAnsi="Arial"/>
          <w:sz w:val="18"/>
          <w:szCs w:val="18"/>
          <w:color w:val="auto"/>
        </w:rPr>
      </w:pPr>
    </w:p>
    <w:p>
      <w:pPr>
        <w:ind w:left="660" w:right="420" w:hanging="328"/>
        <w:spacing w:after="0" w:line="308" w:lineRule="auto"/>
        <w:tabs>
          <w:tab w:leader="none" w:pos="655" w:val="left"/>
        </w:tabs>
        <w:numPr>
          <w:ilvl w:val="0"/>
          <w:numId w:val="16"/>
        </w:numPr>
        <w:rPr>
          <w:rFonts w:ascii="Arial" w:cs="Arial" w:eastAsia="Arial" w:hAnsi="Arial"/>
          <w:sz w:val="17"/>
          <w:szCs w:val="17"/>
          <w:color w:val="auto"/>
        </w:rPr>
      </w:pPr>
      <w:r>
        <w:rPr>
          <w:rFonts w:ascii="Arial" w:cs="Arial" w:eastAsia="Arial" w:hAnsi="Arial"/>
          <w:sz w:val="17"/>
          <w:szCs w:val="17"/>
          <w:color w:val="auto"/>
        </w:rPr>
        <w:t>Security breaches of our information technology systems or our products, which could impair our ability to conduct business or compromise sensitive information of the Company or its customers, suppliers and other business partners, or of customers' patients;</w:t>
      </w:r>
    </w:p>
    <w:p>
      <w:pPr>
        <w:spacing w:after="0" w:line="173" w:lineRule="exact"/>
        <w:rPr>
          <w:rFonts w:ascii="Arial" w:cs="Arial" w:eastAsia="Arial" w:hAnsi="Arial"/>
          <w:sz w:val="17"/>
          <w:szCs w:val="17"/>
          <w:color w:val="auto"/>
        </w:rPr>
      </w:pPr>
    </w:p>
    <w:p>
      <w:pPr>
        <w:ind w:left="660" w:right="20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Pricing pressures resulting from trends toward health care cost containment, including the continued consolidation among health care providers and other market participants;</w:t>
      </w:r>
    </w:p>
    <w:p>
      <w:pPr>
        <w:spacing w:after="0" w:line="197" w:lineRule="exact"/>
        <w:rPr>
          <w:rFonts w:ascii="Arial" w:cs="Arial" w:eastAsia="Arial" w:hAnsi="Arial"/>
          <w:sz w:val="18"/>
          <w:szCs w:val="18"/>
          <w:color w:val="auto"/>
        </w:rPr>
      </w:pPr>
    </w:p>
    <w:p>
      <w:pPr>
        <w:ind w:left="660" w:right="520" w:hanging="328"/>
        <w:spacing w:after="0" w:line="342" w:lineRule="auto"/>
        <w:tabs>
          <w:tab w:leader="none" w:pos="655"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continuity, availability and pricing of plastic and other raw materials, finished goods and components used in the manufacturing of our products (including those purchased from sole-source suppliers) and the related continuity of our manufacturing and distribution;</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95" w:right="399" w:bottom="1440" w:gutter="0" w:footer="0" w:header="0"/>
        </w:sectPr>
      </w:pPr>
    </w:p>
    <w:bookmarkStart w:id="30" w:name="page31"/>
    <w:bookmarkEnd w:id="30"/>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develop new products or enhancements on commercially acceptable terms or at all;</w:t>
      </w:r>
    </w:p>
    <w:p>
      <w:pPr>
        <w:spacing w:after="0" w:line="252" w:lineRule="exact"/>
        <w:rPr>
          <w:rFonts w:ascii="Arial" w:cs="Arial" w:eastAsia="Arial" w:hAnsi="Arial"/>
          <w:sz w:val="18"/>
          <w:szCs w:val="18"/>
          <w:color w:val="auto"/>
        </w:rPr>
      </w:pPr>
    </w:p>
    <w:p>
      <w:pPr>
        <w:ind w:left="660" w:right="46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obtain the anticipated benefits of restructuring programs that we have or may undertake, including the Operational Excellence Program;</w:t>
      </w:r>
    </w:p>
    <w:p>
      <w:pPr>
        <w:spacing w:after="0" w:line="197"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potential that the expected strategic benefits and opportunities from any planned or completed acquisition or divestiture by the Company may not be realized or may take longer to realize than expected;</w:t>
      </w:r>
    </w:p>
    <w:p>
      <w:pPr>
        <w:spacing w:after="0" w:line="197" w:lineRule="exact"/>
        <w:rPr>
          <w:rFonts w:ascii="Arial" w:cs="Arial" w:eastAsia="Arial" w:hAnsi="Arial"/>
          <w:sz w:val="18"/>
          <w:szCs w:val="18"/>
          <w:color w:val="auto"/>
        </w:rPr>
      </w:pPr>
    </w:p>
    <w:p>
      <w:pPr>
        <w:ind w:left="660" w:right="18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impact of enhanced requirements to obtain regulatory approval in the U.S. and around the world, including the EU MDR and the associated timing and cost of product approval, and</w:t>
      </w:r>
    </w:p>
    <w:p>
      <w:pPr>
        <w:spacing w:after="0" w:line="197" w:lineRule="exact"/>
        <w:rPr>
          <w:rFonts w:ascii="Arial" w:cs="Arial" w:eastAsia="Arial" w:hAnsi="Arial"/>
          <w:sz w:val="18"/>
          <w:szCs w:val="18"/>
          <w:color w:val="auto"/>
        </w:rPr>
      </w:pPr>
    </w:p>
    <w:p>
      <w:pPr>
        <w:ind w:left="660" w:right="320" w:hanging="328"/>
        <w:spacing w:after="0" w:line="342" w:lineRule="auto"/>
        <w:tabs>
          <w:tab w:leader="none" w:pos="655"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ability to comply with established and developing U.S. and foreign legal and regulatory requirements, including the U.S. Foreign Corrupt Practices Act, or FCPA, and similar laws in other jurisdictions, as well as U.S. and foreign export and import restrictions and tariffs;</w:t>
      </w:r>
    </w:p>
    <w:p>
      <w:pPr>
        <w:spacing w:after="0" w:line="150" w:lineRule="exact"/>
        <w:rPr>
          <w:rFonts w:ascii="Arial" w:cs="Arial" w:eastAsia="Arial" w:hAnsi="Arial"/>
          <w:sz w:val="16"/>
          <w:szCs w:val="16"/>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execute and realize anticipated benefits from our investments in emerging economies;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retain and attract key personnel;</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Costs and risks associated with product liability and other litigation claims;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meet our existing debt obligations and raise additional capital when desire on terms reasonably acceptable to us;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potential effect of foreign currency fluctuations and interest rate fluctuations on our net sales, expenses, and resulting margins;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impact of changes in U.S. and international tax laws;</w:t>
      </w:r>
    </w:p>
    <w:p>
      <w:pPr>
        <w:spacing w:after="0" w:line="252" w:lineRule="exact"/>
        <w:rPr>
          <w:rFonts w:ascii="Arial" w:cs="Arial" w:eastAsia="Arial" w:hAnsi="Arial"/>
          <w:sz w:val="18"/>
          <w:szCs w:val="18"/>
          <w:color w:val="auto"/>
        </w:rPr>
      </w:pPr>
    </w:p>
    <w:p>
      <w:pPr>
        <w:ind w:left="660" w:right="46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Market conditions impacting our stock price and/or share repurchase program, and the possibility that our share repurchase program may be delayed, suspended or discontinued; and</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protect intellectual property and the outcome of patent litigation.</w:t>
      </w:r>
    </w:p>
    <w:p>
      <w:pPr>
        <w:spacing w:after="0" w:line="25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Investors should understand that it is not possible to predict or identify all such factors and should not consider the risks described above and in Item 1A. </w:t>
      </w:r>
      <w:r>
        <w:rPr>
          <w:rFonts w:ascii="Arial" w:cs="Arial" w:eastAsia="Arial" w:hAnsi="Arial"/>
          <w:sz w:val="18"/>
          <w:szCs w:val="18"/>
          <w:i w:val="1"/>
          <w:iCs w:val="1"/>
          <w:color w:val="auto"/>
        </w:rPr>
        <w:t xml:space="preserve">Risk Factors </w:t>
      </w:r>
      <w:r>
        <w:rPr>
          <w:rFonts w:ascii="Arial" w:cs="Arial" w:eastAsia="Arial" w:hAnsi="Arial"/>
          <w:sz w:val="18"/>
          <w:szCs w:val="18"/>
          <w:color w:val="auto"/>
        </w:rPr>
        <w:t>in our Annual Report on Form 10-K to be a complete statement of all potential risks and uncertainties. The Company does not undertake to</w:t>
      </w:r>
      <w:r>
        <w:rPr>
          <w:rFonts w:ascii="Arial" w:cs="Arial" w:eastAsia="Arial" w:hAnsi="Arial"/>
          <w:sz w:val="18"/>
          <w:szCs w:val="18"/>
          <w:i w:val="1"/>
          <w:iCs w:val="1"/>
          <w:color w:val="auto"/>
        </w:rPr>
        <w:t xml:space="preserve"> </w:t>
      </w:r>
      <w:r>
        <w:rPr>
          <w:rFonts w:ascii="Arial" w:cs="Arial" w:eastAsia="Arial" w:hAnsi="Arial"/>
          <w:sz w:val="18"/>
          <w:szCs w:val="18"/>
          <w:color w:val="auto"/>
        </w:rPr>
        <w:t>publicly update any forward-looking statement that may be made from time to time, whether as a result of new information or future events or developments.</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Our exposure relative to market risk is due to foreign exchange risk and interest rate risk.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Risk</w:t>
      </w:r>
    </w:p>
    <w:p>
      <w:pPr>
        <w:spacing w:after="0" w:line="25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See the section above entitled Foreign Exchange for a discussion of how foreign currency affects our business. It is our policy to minimize, for a period of time, the unforeseen impact on our financial results of fluctuations in foreign exchange rates by using derivative financial instruments known as forward contracts to hedge anticipated cash flows from forecasted foreign currency denominated sales and costs. We do not use the financial instruments for speculative or trading activities.</w:t>
      </w:r>
    </w:p>
    <w:p>
      <w:pPr>
        <w:spacing w:after="0" w:line="21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estimate the change in the fair value of all forward contracts assuming both a 10% strengthening and weakening of the U.S. Dollar relative to all other major currencies. In the event of a 10% strengthening of the U.S. Dollar, the change in fair value of all forward contracts would result in a $10.8 million increase in the fair value of the forward contracts; whereas a 10% weakening of the U.S. Dollar would result in a $12.2 million decrease of the fair value of the forward contracts.</w:t>
      </w:r>
    </w:p>
    <w:p>
      <w:pPr>
        <w:sectPr>
          <w:pgSz w:w="11900" w:h="16838" w:orient="portrait"/>
          <w:cols w:equalWidth="0" w:num="1">
            <w:col w:w="11200"/>
          </w:cols>
          <w:pgMar w:left="320" w:top="89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Interest Rate Risk</w:t>
      </w:r>
    </w:p>
    <w:p>
      <w:pPr>
        <w:spacing w:after="0" w:line="256" w:lineRule="exact"/>
        <w:rPr>
          <w:sz w:val="20"/>
          <w:szCs w:val="20"/>
          <w:color w:val="auto"/>
        </w:rPr>
      </w:pPr>
    </w:p>
    <w:p>
      <w:pPr>
        <w:jc w:val="both"/>
        <w:ind w:right="20"/>
        <w:spacing w:after="0" w:line="296" w:lineRule="auto"/>
        <w:rPr>
          <w:sz w:val="20"/>
          <w:szCs w:val="20"/>
          <w:color w:val="auto"/>
        </w:rPr>
      </w:pPr>
      <w:r>
        <w:rPr>
          <w:rFonts w:ascii="Arial" w:cs="Arial" w:eastAsia="Arial" w:hAnsi="Arial"/>
          <w:sz w:val="16"/>
          <w:szCs w:val="16"/>
          <w:color w:val="auto"/>
        </w:rPr>
        <w:t>Our exposure to changes in interest rates is associated with borrowings under our Credit Facilities, all of which is variable rate debt. Total outstanding debt under our Credit Facilities as of September 26, 2020 was $315.0 million with an interest rate of 1.4% based on prevailing LIBOR rates. An increase of 100 basis points in LIBOR rates would result in additional annual interest expense of $1.0 million. On August 21, 2018, we entered into two interest rate swap agreements to effectively convert $241.9 million of borrowings under our Credit Facilities from a variable rate to a fixed rate. These interest rate swaps are intended to mitigate the exposure to fluctuations in interest rates and qualify for hedge accounting treatment as cash flow hedges.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5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conducted an evaluation, as of September 26, 2020, under the supervision and with the participation of our management, including our Chief Executive Officer and Chief Financial Officer (our principal executive officer and principal financial officer, respectively) regarding the effectiveness of the design and operation of our disclosure controls and procedures as defined in Rule 13a-15 of the Exchange Act. Based upon that evaluation, the Chief Executive Officer and Chief Financial Officer concluded that our disclosure controls and procedures are effective as of September 26, 2020.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5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three and six months ended September 26, 2020 that have materially affected, or are reasonably likely to materially affect, our internal control over financial reporting.</w:t>
      </w: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PART II — OTHER INFORMATION</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 xml:space="preserve">Information with respect to this Item may be found in Note 13,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to the Unaudited Condensed Consolidated Financial Statements in this Quarterly Report on Form 10-Q, which is incorporated herein by reference.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There are no material changes from the Risk Factors previously disclosed in our Annual Report on Form 10-K for the fiscal year ended March 28, 2020.</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Issuer Purchases of Equity Securities</w:t>
      </w:r>
    </w:p>
    <w:p>
      <w:pPr>
        <w:spacing w:after="0" w:line="25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May 2019, our Board of Directors authorized the repurchase of up to $500 million of Haemonetics common shares over the next two years. We had no share repurchases during the six months ended September 26, 2020. The total remaining authorization for repurchases of our common stock under the share repurchase program was $325 million as of September 26, 2020.</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891" w:right="1440"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Item 6. Exhibits</w:t>
      </w:r>
    </w:p>
    <w:p>
      <w:pPr>
        <w:spacing w:after="0" w:line="133" w:lineRule="exact"/>
        <w:rPr>
          <w:sz w:val="20"/>
          <w:szCs w:val="20"/>
          <w:color w:val="auto"/>
        </w:rPr>
      </w:pPr>
    </w:p>
    <w:p>
      <w:pPr>
        <w:ind w:left="20"/>
        <w:spacing w:after="0"/>
        <w:tabs>
          <w:tab w:leader="none" w:pos="780" w:val="left"/>
        </w:tabs>
        <w:rPr>
          <w:rFonts w:ascii="Arial" w:cs="Arial" w:eastAsia="Arial" w:hAnsi="Arial"/>
          <w:sz w:val="18"/>
          <w:szCs w:val="18"/>
          <w:color w:val="0000FF"/>
        </w:rPr>
      </w:pPr>
      <w:hyperlink r:id="rId53">
        <w:r>
          <w:rPr>
            <w:rFonts w:ascii="Arial" w:cs="Arial" w:eastAsia="Arial" w:hAnsi="Arial"/>
            <w:sz w:val="18"/>
            <w:szCs w:val="18"/>
            <w:u w:val="single" w:color="auto"/>
            <w:color w:val="0000FF"/>
          </w:rPr>
          <w:t>3.1</w:t>
        </w:r>
      </w:hyperlink>
      <w:r>
        <w:rPr>
          <w:rFonts w:ascii="Arial" w:cs="Arial" w:eastAsia="Arial" w:hAnsi="Arial"/>
          <w:sz w:val="18"/>
          <w:szCs w:val="18"/>
          <w:color w:val="0000FF"/>
        </w:rPr>
        <w:tab/>
      </w:r>
      <w:r>
        <w:rPr>
          <w:rFonts w:ascii="Arial" w:cs="Arial" w:eastAsia="Arial" w:hAnsi="Arial"/>
          <w:sz w:val="16"/>
          <w:szCs w:val="16"/>
          <w:color w:val="0000FF"/>
        </w:rPr>
        <w:t>Restated Articles of Organization of Haemonetics Corporation, reflecting Articles of Amendment dated August 23, 1993, August 21, 2006, July</w:t>
      </w:r>
    </w:p>
    <w:p>
      <w:pPr>
        <w:ind w:left="800"/>
        <w:spacing w:after="0"/>
        <w:rPr>
          <w:sz w:val="20"/>
          <w:szCs w:val="20"/>
          <w:color w:val="auto"/>
        </w:rPr>
      </w:pPr>
      <w:r>
        <w:rPr>
          <w:rFonts w:ascii="Arial" w:cs="Arial" w:eastAsia="Arial" w:hAnsi="Arial"/>
          <w:sz w:val="17"/>
          <w:szCs w:val="17"/>
          <w:color w:val="auto"/>
        </w:rPr>
        <w:t>26, 2018 and July 25, 2019 (filed as Exhibit 3.1 to the Company’s Form 8-K dated July 29, 2019 and incorporated herein by reference).</w:t>
      </w:r>
    </w:p>
    <w:p>
      <w:pPr>
        <w:spacing w:after="0" w:line="275" w:lineRule="exact"/>
        <w:rPr>
          <w:sz w:val="20"/>
          <w:szCs w:val="20"/>
          <w:color w:val="auto"/>
        </w:rPr>
      </w:pPr>
    </w:p>
    <w:p>
      <w:pPr>
        <w:ind w:left="800" w:right="600" w:hanging="768"/>
        <w:spacing w:after="0" w:line="235" w:lineRule="auto"/>
        <w:tabs>
          <w:tab w:leader="none" w:pos="780" w:val="left"/>
        </w:tabs>
        <w:rPr>
          <w:rFonts w:ascii="Arial" w:cs="Arial" w:eastAsia="Arial" w:hAnsi="Arial"/>
          <w:sz w:val="18"/>
          <w:szCs w:val="18"/>
          <w:color w:val="0000FF"/>
        </w:rPr>
      </w:pPr>
      <w:hyperlink r:id="rId54">
        <w:r>
          <w:rPr>
            <w:rFonts w:ascii="Arial" w:cs="Arial" w:eastAsia="Arial" w:hAnsi="Arial"/>
            <w:sz w:val="18"/>
            <w:szCs w:val="18"/>
            <w:u w:val="single" w:color="auto"/>
            <w:color w:val="0000FF"/>
          </w:rPr>
          <w:t>3.2</w:t>
        </w:r>
      </w:hyperlink>
      <w:r>
        <w:rPr>
          <w:rFonts w:ascii="Arial" w:cs="Arial" w:eastAsia="Arial" w:hAnsi="Arial"/>
          <w:sz w:val="18"/>
          <w:szCs w:val="18"/>
          <w:color w:val="0000FF"/>
        </w:rPr>
        <w:tab/>
        <w:t>By-Laws of the Company, as amended through June 29, 2020 (filed as Exhibit 3.1 to the Company’s Form 8-K dated June 30, 2020 and incorporated herein by reference).</w:t>
      </w:r>
    </w:p>
    <w:p>
      <w:pPr>
        <w:spacing w:after="0" w:line="256" w:lineRule="exact"/>
        <w:rPr>
          <w:sz w:val="20"/>
          <w:szCs w:val="20"/>
          <w:color w:val="auto"/>
        </w:rPr>
      </w:pPr>
    </w:p>
    <w:p>
      <w:pPr>
        <w:ind w:left="800" w:right="260" w:hanging="768"/>
        <w:spacing w:after="0" w:line="235" w:lineRule="auto"/>
        <w:tabs>
          <w:tab w:leader="none" w:pos="780" w:val="left"/>
        </w:tabs>
        <w:rPr>
          <w:rFonts w:ascii="Arial" w:cs="Arial" w:eastAsia="Arial" w:hAnsi="Arial"/>
          <w:sz w:val="18"/>
          <w:szCs w:val="18"/>
          <w:color w:val="0000FF"/>
        </w:rPr>
      </w:pPr>
      <w:hyperlink w:anchor="page37">
        <w:r>
          <w:rPr>
            <w:rFonts w:ascii="Arial" w:cs="Arial" w:eastAsia="Arial" w:hAnsi="Arial"/>
            <w:sz w:val="18"/>
            <w:szCs w:val="18"/>
            <w:u w:val="single" w:color="auto"/>
            <w:color w:val="0000FF"/>
          </w:rPr>
          <w:t>31.1</w:t>
        </w:r>
      </w:hyperlink>
      <w:r>
        <w:rPr>
          <w:rFonts w:ascii="Arial" w:cs="Arial" w:eastAsia="Arial" w:hAnsi="Arial"/>
          <w:sz w:val="18"/>
          <w:szCs w:val="18"/>
          <w:color w:val="0000FF"/>
        </w:rPr>
        <w:tab/>
        <w:t>Certification pursuant to Section 302 of Sarbanes-Oxley Act of 2002, of Christopher A. Simon, President and Chief Executive Officer of the Company.</w:t>
      </w:r>
    </w:p>
    <w:p>
      <w:pPr>
        <w:spacing w:after="0" w:line="229" w:lineRule="exact"/>
        <w:rPr>
          <w:sz w:val="20"/>
          <w:szCs w:val="20"/>
          <w:color w:val="auto"/>
        </w:rPr>
      </w:pPr>
    </w:p>
    <w:p>
      <w:pPr>
        <w:ind w:left="800" w:right="260" w:hanging="768"/>
        <w:spacing w:after="0" w:line="235" w:lineRule="auto"/>
        <w:tabs>
          <w:tab w:leader="none" w:pos="780" w:val="left"/>
        </w:tabs>
        <w:rPr>
          <w:rFonts w:ascii="Arial" w:cs="Arial" w:eastAsia="Arial" w:hAnsi="Arial"/>
          <w:sz w:val="18"/>
          <w:szCs w:val="18"/>
          <w:color w:val="0000FF"/>
        </w:rPr>
      </w:pPr>
      <w:hyperlink w:anchor="page38">
        <w:r>
          <w:rPr>
            <w:rFonts w:ascii="Arial" w:cs="Arial" w:eastAsia="Arial" w:hAnsi="Arial"/>
            <w:sz w:val="18"/>
            <w:szCs w:val="18"/>
            <w:u w:val="single" w:color="auto"/>
            <w:color w:val="0000FF"/>
          </w:rPr>
          <w:t>31.2</w:t>
        </w:r>
      </w:hyperlink>
      <w:r>
        <w:rPr>
          <w:rFonts w:ascii="Arial" w:cs="Arial" w:eastAsia="Arial" w:hAnsi="Arial"/>
          <w:sz w:val="18"/>
          <w:szCs w:val="18"/>
          <w:color w:val="0000FF"/>
        </w:rPr>
        <w:tab/>
        <w:t>Certification pursuant to Section 302 of Sarbanes-Oxley of 2002, of William Burke, Executive Vice President, Chief Financial Officer of the Company.</w:t>
      </w:r>
    </w:p>
    <w:p>
      <w:pPr>
        <w:spacing w:after="0" w:line="229" w:lineRule="exact"/>
        <w:rPr>
          <w:sz w:val="20"/>
          <w:szCs w:val="20"/>
          <w:color w:val="auto"/>
        </w:rPr>
      </w:pPr>
    </w:p>
    <w:p>
      <w:pPr>
        <w:ind w:left="800" w:right="560" w:hanging="768"/>
        <w:spacing w:after="0" w:line="235" w:lineRule="auto"/>
        <w:tabs>
          <w:tab w:leader="none" w:pos="780" w:val="left"/>
        </w:tabs>
        <w:rPr>
          <w:rFonts w:ascii="Arial" w:cs="Arial" w:eastAsia="Arial" w:hAnsi="Arial"/>
          <w:sz w:val="18"/>
          <w:szCs w:val="18"/>
          <w:color w:val="0000FF"/>
        </w:rPr>
      </w:pPr>
      <w:hyperlink w:anchor="page39">
        <w:r>
          <w:rPr>
            <w:rFonts w:ascii="Arial" w:cs="Arial" w:eastAsia="Arial" w:hAnsi="Arial"/>
            <w:sz w:val="18"/>
            <w:szCs w:val="18"/>
            <w:u w:val="single" w:color="auto"/>
            <w:color w:val="0000FF"/>
          </w:rPr>
          <w:t>32.1</w:t>
        </w:r>
      </w:hyperlink>
      <w:r>
        <w:rPr>
          <w:rFonts w:ascii="Arial" w:cs="Arial" w:eastAsia="Arial" w:hAnsi="Arial"/>
          <w:sz w:val="18"/>
          <w:szCs w:val="18"/>
          <w:color w:val="0000FF"/>
        </w:rPr>
        <w:tab/>
        <w:t>Certification Pursuant to 18 United States Code Section 1350, as adopted Pursuant to Section 906 of the Sarbanes-Oxley Act of 2002, of Christopher A. Simon, President and Chief Executive Officer of the Company.</w:t>
      </w:r>
    </w:p>
    <w:p>
      <w:pPr>
        <w:spacing w:after="0" w:line="229" w:lineRule="exact"/>
        <w:rPr>
          <w:sz w:val="20"/>
          <w:szCs w:val="20"/>
          <w:color w:val="auto"/>
        </w:rPr>
      </w:pPr>
    </w:p>
    <w:p>
      <w:pPr>
        <w:ind w:left="800" w:right="560" w:hanging="768"/>
        <w:spacing w:after="0" w:line="235" w:lineRule="auto"/>
        <w:tabs>
          <w:tab w:leader="none" w:pos="780" w:val="left"/>
        </w:tabs>
        <w:rPr>
          <w:rFonts w:ascii="Arial" w:cs="Arial" w:eastAsia="Arial" w:hAnsi="Arial"/>
          <w:sz w:val="18"/>
          <w:szCs w:val="18"/>
          <w:color w:val="0000FF"/>
        </w:rPr>
      </w:pPr>
      <w:hyperlink w:anchor="page40">
        <w:r>
          <w:rPr>
            <w:rFonts w:ascii="Arial" w:cs="Arial" w:eastAsia="Arial" w:hAnsi="Arial"/>
            <w:sz w:val="18"/>
            <w:szCs w:val="18"/>
            <w:u w:val="single" w:color="auto"/>
            <w:color w:val="0000FF"/>
          </w:rPr>
          <w:t>32.2</w:t>
        </w:r>
      </w:hyperlink>
      <w:r>
        <w:rPr>
          <w:rFonts w:ascii="Arial" w:cs="Arial" w:eastAsia="Arial" w:hAnsi="Arial"/>
          <w:sz w:val="18"/>
          <w:szCs w:val="18"/>
          <w:color w:val="0000FF"/>
        </w:rPr>
        <w:tab/>
        <w:t>Certification Pursuant to 18 United States Code Section 1350, as adopted Pursuant to Section 906 of the Sarbanes-Oxley Act of 2002, of William Burke, Executive Vice President, Chief Financial Officer of the Company.</w:t>
      </w:r>
    </w:p>
    <w:p>
      <w:pPr>
        <w:spacing w:after="0" w:line="270" w:lineRule="exact"/>
        <w:rPr>
          <w:sz w:val="20"/>
          <w:szCs w:val="20"/>
          <w:color w:val="auto"/>
        </w:rPr>
      </w:pPr>
    </w:p>
    <w:p>
      <w:pPr>
        <w:ind w:left="800" w:hanging="779"/>
        <w:spacing w:after="0" w:line="219" w:lineRule="auto"/>
        <w:tabs>
          <w:tab w:leader="none" w:pos="7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The following materials from Haemonetics Corporation on Form 10-Q for the quarter ended September 26, 2020, formatted in inline Extensible Business Reporting Language (XBRL) includes: (i) Condensed Consolidated Statements of Income and Comprehensive Income, (ii) Condensed Consolidated Balance Sheets, (iii) Condensed Consolidated Statements of Cash Flows, and (iv) Notes to Condensed Consolidated Financial Statements.</w:t>
      </w:r>
    </w:p>
    <w:p>
      <w:pPr>
        <w:spacing w:after="0" w:line="257" w:lineRule="exact"/>
        <w:rPr>
          <w:sz w:val="20"/>
          <w:szCs w:val="20"/>
          <w:color w:val="auto"/>
        </w:rPr>
      </w:pPr>
    </w:p>
    <w:p>
      <w:pPr>
        <w:ind w:left="800" w:hanging="774"/>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and contained in Exhibit 101).</w:t>
      </w:r>
    </w:p>
    <w:p>
      <w:pPr>
        <w:spacing w:after="0" w:line="9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_____________________________</w:t>
      </w:r>
    </w:p>
    <w:p>
      <w:pPr>
        <w:spacing w:after="0" w:line="144" w:lineRule="exact"/>
        <w:rPr>
          <w:sz w:val="20"/>
          <w:szCs w:val="20"/>
          <w:color w:val="auto"/>
        </w:rPr>
      </w:pPr>
    </w:p>
    <w:p>
      <w:pPr>
        <w:ind w:left="660" w:right="60" w:hanging="634"/>
        <w:spacing w:after="0" w:line="22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accordance with Rule 406T of Regulation S-T, the XBRL-related information in Exhibit 101 to this Form 10-Q is deemed not filed or part of a registration statement or prospectus for purposes of sections 11 or 12 of the Securities Act, is deemed not filed for the purposes of section 18 of the Exchange Act, and otherwise is not subject to liability under these sections.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sectPr>
      </w:pPr>
    </w:p>
    <w:bookmarkStart w:id="35" w:name="page36"/>
    <w:bookmarkEnd w:id="35"/>
    <w:p>
      <w:pPr>
        <w:ind w:left="5040"/>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89"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HAEMONETICS CORPORATION</w:t>
      </w:r>
    </w:p>
    <w:p>
      <w:pPr>
        <w:spacing w:after="0" w:line="23" w:lineRule="exact"/>
        <w:rPr>
          <w:sz w:val="20"/>
          <w:szCs w:val="20"/>
          <w:color w:val="auto"/>
        </w:rPr>
      </w:pPr>
    </w:p>
    <w:p>
      <w:pPr>
        <w:ind w:left="20"/>
        <w:spacing w:after="0"/>
        <w:tabs>
          <w:tab w:leader="none" w:pos="4100" w:val="left"/>
          <w:tab w:leader="none" w:pos="4680" w:val="left"/>
        </w:tabs>
        <w:rPr>
          <w:sz w:val="20"/>
          <w:szCs w:val="20"/>
          <w:color w:val="auto"/>
        </w:rPr>
      </w:pPr>
      <w:r>
        <w:rPr>
          <w:rFonts w:ascii="Arial" w:cs="Arial" w:eastAsia="Arial" w:hAnsi="Arial"/>
          <w:sz w:val="18"/>
          <w:szCs w:val="18"/>
          <w:color w:val="auto"/>
        </w:rPr>
        <w:t>November 4,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Christopher A.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14605</wp:posOffset>
            </wp:positionV>
            <wp:extent cx="30175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ind w:left="4700"/>
        <w:spacing w:after="0"/>
        <w:rPr>
          <w:sz w:val="20"/>
          <w:szCs w:val="20"/>
          <w:color w:val="auto"/>
        </w:rPr>
      </w:pPr>
      <w:r>
        <w:rPr>
          <w:rFonts w:ascii="Arial" w:cs="Arial" w:eastAsia="Arial" w:hAnsi="Arial"/>
          <w:sz w:val="18"/>
          <w:szCs w:val="18"/>
          <w:color w:val="auto"/>
        </w:rPr>
        <w:t>Christopher A. Simon,</w:t>
      </w:r>
    </w:p>
    <w:p>
      <w:pPr>
        <w:ind w:left="4700"/>
        <w:spacing w:after="0"/>
        <w:rPr>
          <w:sz w:val="20"/>
          <w:szCs w:val="20"/>
          <w:color w:val="auto"/>
        </w:rPr>
      </w:pPr>
      <w:r>
        <w:rPr>
          <w:rFonts w:ascii="Arial" w:cs="Arial" w:eastAsia="Arial" w:hAnsi="Arial"/>
          <w:sz w:val="18"/>
          <w:szCs w:val="18"/>
          <w:color w:val="auto"/>
        </w:rPr>
        <w:t>President and Chief Executive Officer</w:t>
      </w:r>
    </w:p>
    <w:p>
      <w:pPr>
        <w:spacing w:after="0" w:line="7"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(Principal Executive Officer)</w:t>
      </w:r>
    </w:p>
    <w:p>
      <w:pPr>
        <w:spacing w:after="0" w:line="29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720" w:type="dxa"/>
            <w:vAlign w:val="bottom"/>
          </w:tcPr>
          <w:p>
            <w:pPr>
              <w:spacing w:after="0"/>
              <w:rPr>
                <w:sz w:val="20"/>
                <w:szCs w:val="20"/>
                <w:color w:val="auto"/>
              </w:rPr>
            </w:pPr>
            <w:r>
              <w:rPr>
                <w:rFonts w:ascii="Arial" w:cs="Arial" w:eastAsia="Arial" w:hAnsi="Arial"/>
                <w:sz w:val="18"/>
                <w:szCs w:val="18"/>
                <w:color w:val="auto"/>
              </w:rPr>
              <w:t>November 4, 2020</w:t>
            </w:r>
          </w:p>
        </w:tc>
        <w:tc>
          <w:tcPr>
            <w:tcW w:w="1940" w:type="dxa"/>
            <w:vAlign w:val="bottom"/>
          </w:tcPr>
          <w:p>
            <w:pPr>
              <w:ind w:left="1380"/>
              <w:spacing w:after="0"/>
              <w:rPr>
                <w:sz w:val="20"/>
                <w:szCs w:val="20"/>
                <w:color w:val="auto"/>
              </w:rPr>
            </w:pPr>
            <w:r>
              <w:rPr>
                <w:rFonts w:ascii="Arial" w:cs="Arial" w:eastAsia="Arial" w:hAnsi="Arial"/>
                <w:sz w:val="18"/>
                <w:szCs w:val="18"/>
                <w:color w:val="auto"/>
              </w:rPr>
              <w:t>By:</w:t>
            </w:r>
          </w:p>
        </w:tc>
        <w:tc>
          <w:tcPr>
            <w:tcW w:w="4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William Burke</w:t>
            </w:r>
          </w:p>
        </w:tc>
      </w:tr>
      <w:tr>
        <w:trPr>
          <w:trHeight w:val="169"/>
        </w:trPr>
        <w:tc>
          <w:tcPr>
            <w:tcW w:w="27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760" w:type="dxa"/>
            <w:vAlign w:val="bottom"/>
          </w:tcPr>
          <w:p>
            <w:pPr>
              <w:ind w:left="20"/>
              <w:spacing w:after="0" w:line="169" w:lineRule="exact"/>
              <w:rPr>
                <w:sz w:val="20"/>
                <w:szCs w:val="20"/>
                <w:color w:val="auto"/>
              </w:rPr>
            </w:pPr>
            <w:r>
              <w:rPr>
                <w:rFonts w:ascii="Arial" w:cs="Arial" w:eastAsia="Arial" w:hAnsi="Arial"/>
                <w:sz w:val="18"/>
                <w:szCs w:val="18"/>
                <w:color w:val="auto"/>
              </w:rPr>
              <w:t>William Burke, Executive Vice President, Chief Financial</w:t>
            </w:r>
          </w:p>
        </w:tc>
      </w:tr>
      <w:tr>
        <w:trPr>
          <w:trHeight w:val="229"/>
        </w:trPr>
        <w:tc>
          <w:tcPr>
            <w:tcW w:w="27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4760" w:type="dxa"/>
            <w:vAlign w:val="bottom"/>
          </w:tcPr>
          <w:p>
            <w:pPr>
              <w:ind w:left="20"/>
              <w:spacing w:after="0"/>
              <w:rPr>
                <w:sz w:val="20"/>
                <w:szCs w:val="20"/>
                <w:color w:val="auto"/>
              </w:rPr>
            </w:pPr>
            <w:r>
              <w:rPr>
                <w:rFonts w:ascii="Arial" w:cs="Arial" w:eastAsia="Arial" w:hAnsi="Arial"/>
                <w:sz w:val="18"/>
                <w:szCs w:val="18"/>
                <w:color w:val="auto"/>
              </w:rPr>
              <w:t>Officer</w:t>
            </w:r>
          </w:p>
        </w:tc>
      </w:tr>
      <w:tr>
        <w:trPr>
          <w:trHeight w:val="230"/>
        </w:trPr>
        <w:tc>
          <w:tcPr>
            <w:tcW w:w="27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76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340"/>
          </w:cols>
          <w:pgMar w:left="320" w:top="891" w:right="1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Christopher A. Simon, certify that:</w:t>
      </w:r>
    </w:p>
    <w:p>
      <w:pPr>
        <w:spacing w:after="0" w:line="117"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Haemonetics Corporation;</w:t>
      </w:r>
    </w:p>
    <w:p>
      <w:pPr>
        <w:spacing w:after="0" w:line="117"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980" w:right="60" w:hanging="324"/>
        <w:spacing w:after="0" w:line="263" w:lineRule="auto"/>
        <w:tabs>
          <w:tab w:leader="none" w:pos="971"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980" w:right="360" w:hanging="324"/>
        <w:spacing w:after="0" w:line="263" w:lineRule="auto"/>
        <w:tabs>
          <w:tab w:leader="none" w:pos="968"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980" w:right="560" w:hanging="324"/>
        <w:spacing w:after="0" w:line="342" w:lineRule="auto"/>
        <w:tabs>
          <w:tab w:leader="none" w:pos="971"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60" w:hanging="324"/>
        <w:spacing w:after="0" w:line="263" w:lineRule="auto"/>
        <w:tabs>
          <w:tab w:leader="none" w:pos="968"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980" w:right="780" w:hanging="324"/>
        <w:spacing w:after="0" w:line="342" w:lineRule="auto"/>
        <w:tabs>
          <w:tab w:leader="none" w:pos="971"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980" w:right="480" w:hanging="324"/>
        <w:spacing w:after="0" w:line="277" w:lineRule="auto"/>
        <w:tabs>
          <w:tab w:leader="none" w:pos="968"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November 4, 2020</w:t>
      </w:r>
    </w:p>
    <w:p>
      <w:pPr>
        <w:spacing w:after="0" w:line="144"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Christopher A.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14605</wp:posOffset>
            </wp:positionV>
            <wp:extent cx="306895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1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Christopher A. Simon, President and Chief Executive Officer</w:t>
      </w:r>
    </w:p>
    <w:p>
      <w:pPr>
        <w:spacing w:after="0" w:line="23"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5"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William Burke, certify that:</w:t>
      </w:r>
    </w:p>
    <w:p>
      <w:pPr>
        <w:spacing w:after="0" w:line="117"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Haemonetics Corporation;</w:t>
      </w:r>
    </w:p>
    <w:p>
      <w:pPr>
        <w:spacing w:after="0" w:line="117"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980" w:right="60" w:hanging="324"/>
        <w:spacing w:after="0" w:line="263" w:lineRule="auto"/>
        <w:tabs>
          <w:tab w:leader="none" w:pos="971"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980" w:right="360" w:hanging="324"/>
        <w:spacing w:after="0" w:line="263" w:lineRule="auto"/>
        <w:tabs>
          <w:tab w:leader="none" w:pos="968"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980" w:right="520" w:hanging="324"/>
        <w:spacing w:after="0" w:line="342" w:lineRule="auto"/>
        <w:tabs>
          <w:tab w:leader="none" w:pos="1016"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60" w:hanging="324"/>
        <w:spacing w:after="0" w:line="263" w:lineRule="auto"/>
        <w:tabs>
          <w:tab w:leader="none" w:pos="968"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980" w:right="780" w:hanging="324"/>
        <w:spacing w:after="0" w:line="342" w:lineRule="auto"/>
        <w:tabs>
          <w:tab w:leader="none" w:pos="971"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980" w:right="480" w:hanging="324"/>
        <w:spacing w:after="0" w:line="277" w:lineRule="auto"/>
        <w:tabs>
          <w:tab w:leader="none" w:pos="968"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November 4, 2020</w:t>
      </w:r>
    </w:p>
    <w:p>
      <w:pPr>
        <w:spacing w:after="0" w:line="14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William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14605</wp:posOffset>
            </wp:positionV>
            <wp:extent cx="306006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1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William Burke, Executive Vice President, Chief Financial Officer</w:t>
      </w:r>
    </w:p>
    <w:p>
      <w:pPr>
        <w:spacing w:after="0" w:line="2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1215"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connection with the Quarterly Report of Haemonetics Corporation (the “Company”) on Form 10-Q for the period ended September 26, 2020 as filed with the Securities and Exchange Commission on the date hereof (the “Report”), I, Christopher A. Simon, President and Chief Executive Officer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November 4, 2020</w:t>
      </w:r>
    </w:p>
    <w:p>
      <w:pPr>
        <w:spacing w:after="0" w:line="144"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/s/ Christopher A.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28117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16"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Christopher A. Simon,</w:t>
      </w:r>
    </w:p>
    <w:p>
      <w:pPr>
        <w:spacing w:after="0" w:line="2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6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p>
      <w:pPr>
        <w:sectPr>
          <w:pgSz w:w="11900" w:h="16838" w:orient="portrait"/>
          <w:cols w:equalWidth="0" w:num="1">
            <w:col w:w="11240"/>
          </w:cols>
          <w:pgMar w:left="320" w:top="1107"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connection with the Quarterly Report of Haemonetics Corporation (the “Company”) on Form 10-Q for the period ended September 26, 2020 as filed with the Securities and Exchange Commission on the date hereof (the “Report”), I, William Burke, Executive Vice President, Chief Financial Officer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November 4, 2020</w:t>
      </w:r>
    </w:p>
    <w:p>
      <w:pPr>
        <w:spacing w:after="0" w:line="144"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/s/ William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28117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16"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William Burke,</w:t>
      </w:r>
    </w:p>
    <w:p>
      <w:pPr>
        <w:spacing w:after="0" w:line="2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Executive Vice President, Chief Financial Officer</w:t>
      </w:r>
    </w:p>
    <w:p>
      <w:pPr>
        <w:spacing w:after="0" w:line="200" w:lineRule="exact"/>
        <w:rPr>
          <w:sz w:val="20"/>
          <w:szCs w:val="20"/>
          <w:color w:val="auto"/>
        </w:rPr>
      </w:pPr>
    </w:p>
    <w:p>
      <w:pPr>
        <w:spacing w:after="0" w:line="26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sectPr>
      <w:pgSz w:w="11900" w:h="16838" w:orient="portrait"/>
      <w:cols w:equalWidth="0" w:num="1">
        <w:col w:w="11240"/>
      </w:cols>
      <w:pgMar w:left="320" w:top="110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2"/>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1)"/>
      <w:numFmt w:val="decimal"/>
      <w:start w:val="1"/>
    </w:lvl>
  </w:abstractNum>
  <w:abstractNum w:abstractNumId="14">
    <w:nsid w:val="431BD7B7"/>
    <w:multiLevelType w:val="hybridMultilevel"/>
    <w:lvl w:ilvl="0">
      <w:lvlJc w:val="left"/>
      <w:lvlText w:val="(%1)"/>
      <w:numFmt w:val="decimal"/>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1"/>
      <w:numFmt w:val="decimal"/>
      <w:start w:val="104"/>
    </w:lvl>
  </w:abstractNum>
  <w:abstractNum w:abstractNumId="18">
    <w:nsid w:val="62BBD95A"/>
    <w:multiLevelType w:val="hybridMultilevel"/>
    <w:lvl w:ilvl="0">
      <w:lvlJc w:val="left"/>
      <w:lvlText w:val="*"/>
      <w:numFmt w:val="bullet"/>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53" Type="http://schemas.openxmlformats.org/officeDocument/2006/relationships/hyperlink" Target="http://www.sec.gov/Archives/edgar/data/313143/000031314319000035/exhibit31-restatedarticles.htm" TargetMode="External"/><Relationship Id="rId54" Type="http://schemas.openxmlformats.org/officeDocument/2006/relationships/hyperlink" Target="http://www.sec.gov/Archives/edgar/data/313143/000031314320000052/by-lawsasamended6292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2020-11-04T05:24:36Z</dcterms:created>
  <dcterms:modified xsi:type="dcterms:W3CDTF">2020-11-04T05:24:36Z</dcterms:modified>
</cp:coreProperties>
</file>