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For the quarter ended: June 28, 2008</w:t>
      </w:r>
      <w:r>
        <w:rPr>
          <w:sz w:val="20"/>
          <w:szCs w:val="20"/>
          <w:color w:val="auto"/>
        </w:rPr>
        <w:tab/>
      </w:r>
      <w:r>
        <w:rPr>
          <w:rFonts w:ascii="Arial" w:cs="Arial" w:eastAsia="Arial" w:hAnsi="Arial"/>
          <w:sz w:val="16"/>
          <w:szCs w:val="16"/>
          <w:b w:val="1"/>
          <w:bCs w:val="1"/>
          <w:color w:val="auto"/>
        </w:rPr>
        <w:t>Commission File Number: 1-10730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HAEMONETICS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3"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04-2882273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43" w:orient="portrait"/>
          <w:cols w:equalWidth="0" w:num="2">
            <w:col w:w="6600" w:space="720"/>
            <w:col w:w="4100"/>
          </w:cols>
          <w:pgMar w:left="240" w:top="233" w:right="239" w:bottom="0" w:gutter="0" w:footer="0" w:header="0"/>
          <w:type w:val="continuous"/>
        </w:sectPr>
      </w:pPr>
    </w:p>
    <w:p>
      <w:pPr>
        <w:spacing w:after="0" w:line="30"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400 Wood Road, Braintree, MA 02184</w:t>
      </w:r>
    </w:p>
    <w:p>
      <w:pPr>
        <w:spacing w:after="0" w:line="50" w:lineRule="exact"/>
        <w:rPr>
          <w:sz w:val="24"/>
          <w:szCs w:val="24"/>
          <w:color w:val="auto"/>
        </w:rPr>
      </w:pPr>
    </w:p>
    <w:p>
      <w:pPr>
        <w:ind w:left="4280"/>
        <w:spacing w:after="0"/>
        <w:rPr>
          <w:sz w:val="20"/>
          <w:szCs w:val="20"/>
          <w:color w:val="auto"/>
        </w:rPr>
      </w:pPr>
      <w:r>
        <w:rPr>
          <w:rFonts w:ascii="Arial" w:cs="Arial" w:eastAsia="Arial" w:hAnsi="Arial"/>
          <w:sz w:val="16"/>
          <w:szCs w:val="16"/>
          <w:color w:val="auto"/>
        </w:rPr>
        <w:t>(Address of principal executive offices)</w:t>
      </w:r>
    </w:p>
    <w:p>
      <w:pPr>
        <w:sectPr>
          <w:pgSz w:w="11900" w:h="16843" w:orient="portrait"/>
          <w:cols w:equalWidth="0" w:num="1">
            <w:col w:w="11420"/>
          </w:cols>
          <w:pgMar w:left="240" w:top="233"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 (781) 848-7100</w:t>
      </w:r>
    </w:p>
    <w:p>
      <w:pPr>
        <w:spacing w:after="0" w:line="22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181"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25"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24" w:lineRule="exact"/>
        <w:rPr>
          <w:sz w:val="24"/>
          <w:szCs w:val="24"/>
          <w:color w:val="auto"/>
        </w:rPr>
      </w:pPr>
    </w:p>
    <w:p>
      <w:pPr>
        <w:ind w:left="1960"/>
        <w:spacing w:after="0"/>
        <w:tabs>
          <w:tab w:leader="none" w:pos="45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60"/>
        <w:spacing w:after="0"/>
        <w:tabs>
          <w:tab w:leader="none" w:pos="382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number of shares of $.01 par value common stock outstanding as of June 28,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25,394,824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4"/>
          <w:szCs w:val="24"/>
          <w:color w:val="auto"/>
        </w:rPr>
      </w:pPr>
    </w:p>
    <w:p>
      <w:pPr>
        <w:ind w:left="108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6771640</wp:posOffset>
            </wp:positionH>
            <wp:positionV relativeFrom="paragraph">
              <wp:posOffset>6350</wp:posOffset>
            </wp:positionV>
            <wp:extent cx="480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1660" w:type="dxa"/>
            <w:vAlign w:val="bottom"/>
            <w:tcBorders>
              <w:bottom w:val="single" w:sz="8" w:color="0000EE"/>
            </w:tcBorders>
          </w:tcPr>
          <w:p>
            <w:pPr>
              <w:ind w:left="40"/>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Financial Statements</w:t>
              </w:r>
            </w:hyperlink>
          </w:p>
        </w:tc>
        <w:tc>
          <w:tcPr>
            <w:tcW w:w="7300" w:type="dxa"/>
            <w:vAlign w:val="bottom"/>
            <w:gridSpan w:val="8"/>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360" w:type="dxa"/>
            <w:vAlign w:val="bottom"/>
          </w:tcPr>
          <w:p>
            <w:pPr>
              <w:spacing w:after="0"/>
              <w:rPr>
                <w:sz w:val="24"/>
                <w:szCs w:val="24"/>
                <w:color w:val="auto"/>
              </w:rPr>
            </w:pPr>
          </w:p>
        </w:tc>
        <w:tc>
          <w:tcPr>
            <w:tcW w:w="74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Statements of Income – Three Months Ended June 28, 2008 and June 30, 2007</w:t>
              </w:r>
            </w:hyperlink>
          </w:p>
        </w:tc>
        <w:tc>
          <w:tcPr>
            <w:tcW w:w="184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360" w:type="dxa"/>
            <w:vAlign w:val="bottom"/>
          </w:tcPr>
          <w:p>
            <w:pPr>
              <w:spacing w:after="0"/>
              <w:rPr>
                <w:sz w:val="24"/>
                <w:szCs w:val="24"/>
                <w:color w:val="auto"/>
              </w:rPr>
            </w:pPr>
          </w:p>
        </w:tc>
        <w:tc>
          <w:tcPr>
            <w:tcW w:w="56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Balance Sheets —June 28, 2008 and March 29, 2008</w:t>
              </w:r>
            </w:hyperlink>
          </w:p>
        </w:tc>
        <w:tc>
          <w:tcPr>
            <w:tcW w:w="3700" w:type="dxa"/>
            <w:vAlign w:val="bottom"/>
            <w:gridSpan w:val="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60" w:type="dxa"/>
            <w:vAlign w:val="bottom"/>
          </w:tcPr>
          <w:p>
            <w:pPr>
              <w:spacing w:after="0"/>
              <w:rPr>
                <w:sz w:val="24"/>
                <w:szCs w:val="24"/>
                <w:color w:val="auto"/>
              </w:rPr>
            </w:pPr>
          </w:p>
        </w:tc>
        <w:tc>
          <w:tcPr>
            <w:tcW w:w="93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 of Stockholders’ Equity -Three Months Ended June 28, 2008</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32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Cash Flows - Three Months Ended June 28, 2008 and June 30, 2007</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36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Notes to Unaudited Consolidated Financial Statements</w:t>
              </w:r>
            </w:hyperlink>
          </w:p>
        </w:tc>
        <w:tc>
          <w:tcPr>
            <w:tcW w:w="3780" w:type="dxa"/>
            <w:vAlign w:val="bottom"/>
            <w:tcBorders>
              <w:top w:val="single" w:sz="8" w:color="0000EE"/>
            </w:tcBorders>
            <w:gridSpan w:val="6"/>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2.</w:t>
              </w:r>
            </w:hyperlink>
          </w:p>
        </w:tc>
        <w:tc>
          <w:tcPr>
            <w:tcW w:w="6880" w:type="dxa"/>
            <w:vAlign w:val="bottom"/>
            <w:tcBorders>
              <w:bottom w:val="single" w:sz="8" w:color="0000EE"/>
            </w:tcBorders>
            <w:gridSpan w:val="6"/>
          </w:tcPr>
          <w:p>
            <w:pPr>
              <w:ind w:left="40"/>
              <w:spacing w:after="0"/>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Management’s Discussion and Analysis of Financial Condition and Results of Operations</w:t>
              </w:r>
            </w:hyperlink>
          </w:p>
        </w:tc>
        <w:tc>
          <w:tcPr>
            <w:tcW w:w="208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720" w:type="dxa"/>
            <w:vAlign w:val="bottom"/>
            <w:gridSpan w:val="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3.</w:t>
              </w:r>
            </w:hyperlink>
          </w:p>
        </w:tc>
        <w:tc>
          <w:tcPr>
            <w:tcW w:w="8960" w:type="dxa"/>
            <w:vAlign w:val="bottom"/>
            <w:gridSpan w:val="9"/>
          </w:tcPr>
          <w:p>
            <w:pPr>
              <w:ind w:left="4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ectPr>
          <w:pgSz w:w="11900" w:h="16843"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gridSpan w:val="8"/>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4. Controls and Procedures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8220" w:type="dxa"/>
            <w:vAlign w:val="bottom"/>
            <w:gridSpan w:val="8"/>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6. Exhibits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68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3"/>
        </w:trPr>
        <w:tc>
          <w:tcPr>
            <w:tcW w:w="360" w:type="dxa"/>
            <w:vAlign w:val="bottom"/>
            <w:gridSpan w:val="2"/>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100" w:type="dxa"/>
            <w:vAlign w:val="bottom"/>
            <w:gridSpan w:val="5"/>
          </w:tcPr>
          <w:p>
            <w:pPr>
              <w:jc w:val="center"/>
              <w:ind w:left="199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2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2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tcPr>
          <w:p>
            <w:pPr>
              <w:jc w:val="center"/>
              <w:ind w:left="310"/>
              <w:spacing w:after="0"/>
              <w:rPr>
                <w:sz w:val="20"/>
                <w:szCs w:val="20"/>
                <w:color w:val="auto"/>
              </w:rPr>
            </w:pPr>
            <w:r>
              <w:rPr>
                <w:rFonts w:ascii="Arial" w:cs="Arial" w:eastAsia="Arial" w:hAnsi="Arial"/>
                <w:sz w:val="18"/>
                <w:szCs w:val="18"/>
                <w:b w:val="1"/>
                <w:bCs w:val="1"/>
                <w:color w:val="auto"/>
              </w:rPr>
              <w:t>HAEMONETICS CORPORATION AND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tcPr>
          <w:p>
            <w:pPr>
              <w:jc w:val="center"/>
              <w:ind w:left="290"/>
              <w:spacing w:after="0"/>
              <w:rPr>
                <w:sz w:val="20"/>
                <w:szCs w:val="20"/>
                <w:color w:val="auto"/>
              </w:rPr>
            </w:pPr>
            <w:r>
              <w:rPr>
                <w:rFonts w:ascii="Arial" w:cs="Arial" w:eastAsia="Arial" w:hAnsi="Arial"/>
                <w:sz w:val="18"/>
                <w:szCs w:val="18"/>
                <w:b w:val="1"/>
                <w:bCs w:val="1"/>
                <w:color w:val="auto"/>
              </w:rPr>
              <w:t>CONSOLIDATED INCOME STATEMENTS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June 28</w:t>
            </w: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12"/>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revenues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144,116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121,936</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71,079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73,037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Research, development and engineering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Borders>
              <w:bottom w:val="single" w:sz="8" w:color="CCEEFF"/>
            </w:tcBorders>
            <w:gridSpan w:val="7"/>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00" w:type="dxa"/>
            <w:vAlign w:val="bottom"/>
            <w:gridSpan w:val="7"/>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14,341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12,677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b w:val="1"/>
                <w:bCs w:val="1"/>
                <w:color w:val="auto"/>
              </w:rPr>
              <w:t>Basic income per common share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7"/>
          </w:tcPr>
          <w:p>
            <w:pPr>
              <w:ind w:left="34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gridSpan w:val="7"/>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26,517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27,403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-6262370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-6262370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28, 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March 29, 2008</w:t>
            </w:r>
          </w:p>
        </w:tc>
      </w:tr>
      <w:tr>
        <w:trPr>
          <w:trHeight w:val="142"/>
        </w:trPr>
        <w:tc>
          <w:tcPr>
            <w:tcW w:w="7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120,287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133,553</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 less allowance of $2,496 at June 28, 2008 and $2,365 at March 29, 2008</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127,931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120,252</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65,388</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15,832</w:t>
            </w:r>
          </w:p>
        </w:tc>
      </w:tr>
      <w:tr>
        <w:trPr>
          <w:trHeight w:val="178"/>
        </w:trPr>
        <w:tc>
          <w:tcPr>
            <w:tcW w:w="78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324"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Land, building and building improvements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43,765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Plant equipment and machinery</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Office equipment and information technology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53,348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Haemonetics equipment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252,155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b w:val="1"/>
                <w:bCs w:val="1"/>
                <w:color w:val="auto"/>
              </w:rPr>
              <w:t>Net property, plant and equipment</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intangibles, less amortization of $21,380 at June 28, 2008 and $19,821 at March 29, 2008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54,786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 long term</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assets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608,229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9,028</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20,774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39,088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2"/>
              </w:rPr>
              <w:t>Common stock, $0.01 par value; Authorized - 150,000,000 shares; Issued and outstanding– 25,394,824 shares at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June 28, 2008 and 25,694,769 shares at March 29, 2008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193,413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291,462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493,930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6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608,229</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HAEMONETICS CORPORATION AND SUBSIDIARIES CONSOLIDATED STATEMENTS OF STOCKHOLDERS’ EQUITY AND OTHER COMPREHENSIVE INCOME (Unaudited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2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Stockholders’</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7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Income / (Loss)</w:t>
            </w: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Equity</w:t>
            </w:r>
          </w:p>
        </w:tc>
        <w:tc>
          <w:tcPr>
            <w:tcW w:w="13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March 29, 2008</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25,695</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186,933</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302,196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494,188</w:t>
            </w: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Employee stock purchase</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plan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1,396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Exercise of stock options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ind w:left="340"/>
              <w:spacing w:after="0"/>
              <w:rPr>
                <w:sz w:val="20"/>
                <w:szCs w:val="20"/>
                <w:color w:val="auto"/>
              </w:rPr>
            </w:pPr>
            <w:r>
              <w:rPr>
                <w:rFonts w:ascii="Arial" w:cs="Arial" w:eastAsia="Arial" w:hAnsi="Arial"/>
                <w:sz w:val="14"/>
                <w:szCs w:val="14"/>
                <w:color w:val="auto"/>
              </w:rPr>
              <w:t>and related tax benefit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6,458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Shares repurchased</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(25,075)</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(28,820)</w:t>
            </w: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Issuance of restricted stock,</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ind w:left="340"/>
              <w:spacing w:after="0"/>
              <w:rPr>
                <w:sz w:val="20"/>
                <w:szCs w:val="20"/>
                <w:color w:val="auto"/>
              </w:rPr>
            </w:pPr>
            <w:r>
              <w:rPr>
                <w:rFonts w:ascii="Arial" w:cs="Arial" w:eastAsia="Arial" w:hAnsi="Arial"/>
                <w:sz w:val="14"/>
                <w:szCs w:val="14"/>
                <w:color w:val="auto"/>
              </w:rPr>
              <w:t>net of cancellations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Stock Compensation</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expense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14,341</w:t>
            </w:r>
          </w:p>
        </w:tc>
        <w:tc>
          <w:tcPr>
            <w:tcW w:w="100" w:type="dxa"/>
            <w:vAlign w:val="bottom"/>
          </w:tcPr>
          <w:p>
            <w:pPr>
              <w:spacing w:after="0"/>
              <w:rPr>
                <w:sz w:val="12"/>
                <w:szCs w:val="12"/>
                <w:color w:val="auto"/>
              </w:rPr>
            </w:pPr>
          </w:p>
        </w:tc>
        <w:tc>
          <w:tcPr>
            <w:tcW w:w="1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14,341</w:t>
            </w:r>
          </w:p>
        </w:tc>
        <w:tc>
          <w:tcPr>
            <w:tcW w:w="28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(1,502)</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Unrealized gain on hedges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2,907</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2,907</w:t>
            </w:r>
          </w:p>
        </w:tc>
        <w:tc>
          <w:tcPr>
            <w:tcW w:w="28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Reclassification of hedge</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to earnings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2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ind w:left="160"/>
              <w:spacing w:after="0" w:line="142" w:lineRule="exact"/>
              <w:rPr>
                <w:sz w:val="20"/>
                <w:szCs w:val="20"/>
                <w:color w:val="auto"/>
              </w:rPr>
            </w:pPr>
            <w:r>
              <w:rPr>
                <w:rFonts w:ascii="Arial" w:cs="Arial" w:eastAsia="Arial" w:hAnsi="Arial"/>
                <w:sz w:val="14"/>
                <w:szCs w:val="14"/>
                <w:color w:val="auto"/>
              </w:rPr>
              <w:t>Comprehensive income</w:t>
            </w:r>
          </w:p>
        </w:tc>
        <w:tc>
          <w:tcPr>
            <w:tcW w:w="10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June 28, 2008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25,395</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193,413</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291,462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8,801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493,930</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40" w:right="239" w:bottom="0" w:gutter="0" w:footer="0" w:header="0"/>
          <w:type w:val="continuous"/>
        </w:sectPr>
      </w:pPr>
    </w:p>
    <w:bookmarkStart w:id="3" w:name="page4"/>
    <w:bookmarkEnd w:id="3"/>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14,341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2,367</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on sales of plant, property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Unrealized loss/(gain) from hedging activities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1,985</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accounts receivable, net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(10,448)</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Increase in inventories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(4,865)</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prepaid income taxes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Increase in other assets and other long-term liabilities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of exercise of stock options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6,817</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on property, plant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Proceeds from sale of property, plant and equipment</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2,476</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Medicell</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Payments on long-term real estate mortgage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increase/(decrease) in short-term revolving credit agreements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3,178</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1,396</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Excess tax benefit on exercise of stock options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(14,465)</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133,553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120,287</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216,056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Non-cash Investing and Financing Activities:</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Income taxes paid</w:t>
            </w: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3,923</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three months ended June 28, 2008. Operating results for the three month period ended June 28, 2008 are not necessarily indicative of the results that may be expected for the full fiscal year ending March 28, 2009, or any other interim period. These unaudited consolidated financial statements should be read in conjunction with our audited consolidated financial statements and footnotes included in our annual report on Form 10-K for the fiscal year ended March 29, 2008.</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years 2009 and 2008 include 52 weeks with all four quarters including 13 weeks.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revenue recognition policy is to recognize revenues from product sales, software and services in accordance with SAB No. 104, “Revenue Recognition” , EITF 00-21, “Revenue Arrangements with Multiple Deliverables” and Statement of Position (“SOP”) 97-2, “Software Revenue Recognition, as amended”.</w:t>
      </w:r>
    </w:p>
    <w:p>
      <w:pPr>
        <w:sectPr>
          <w:pgSz w:w="11900" w:h="16881" w:orient="portrait"/>
          <w:cols w:equalWidth="0" w:num="1">
            <w:col w:w="11420"/>
          </w:cols>
          <w:pgMar w:left="240" w:top="517" w:right="239" w:bottom="0" w:gutter="0" w:footer="0" w:header="0"/>
        </w:sectPr>
      </w:pPr>
    </w:p>
    <w:bookmarkStart w:id="4" w:name="page5"/>
    <w:bookmarkEnd w:id="4"/>
    <w:p>
      <w:pPr>
        <w:spacing w:after="0" w:line="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other objective evidence as defined in EITF 00-21, or vendor specific objective evidenced under SOP 97-2.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and Service Revenues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At this time, our software and services business principally provides support to our plasma and blood collection customers. Through our Haemonetics Software Solutions unit, (formerly 5D™ Information Management (“5D”) and Information Data Management (“IDM”)),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for the period for which the service is provided. Our software and service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75"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w:t>
      </w:r>
      <w:r>
        <w:rPr>
          <w:rFonts w:ascii="Arial" w:cs="Arial" w:eastAsia="Arial" w:hAnsi="Arial"/>
          <w:sz w:val="17"/>
          <w:szCs w:val="17"/>
          <w:i w:val="1"/>
          <w:iCs w:val="1"/>
          <w:color w:val="auto"/>
        </w:rPr>
        <w:t>”</w:t>
      </w:r>
      <w:r>
        <w:rPr>
          <w:rFonts w:ascii="Arial" w:cs="Arial" w:eastAsia="Arial" w:hAnsi="Arial"/>
          <w:sz w:val="17"/>
          <w:szCs w:val="17"/>
          <w:color w:val="auto"/>
        </w:rPr>
        <w:t>. With the issuance of SFAS No. 162, the GAAP hierarchy for nongovernmental entities will move from auditing literature to accounting literature</w:t>
      </w:r>
      <w:r>
        <w:rPr>
          <w:rFonts w:ascii="Arial" w:cs="Arial" w:eastAsia="Arial" w:hAnsi="Arial"/>
          <w:sz w:val="16"/>
          <w:szCs w:val="16"/>
          <w:color w:val="auto"/>
        </w:rPr>
        <w:t>.</w:t>
      </w:r>
      <w:r>
        <w:rPr>
          <w:rFonts w:ascii="Arial" w:cs="Arial" w:eastAsia="Arial" w:hAnsi="Arial"/>
          <w:sz w:val="17"/>
          <w:szCs w:val="17"/>
          <w:color w:val="auto"/>
        </w:rPr>
        <w:t xml:space="preserve"> SFAS No. 162 will be effective 60 days following the SEC’s approval of the Public Company Accounting Oversight Board (PCAOB) amendments to AU Section 411, “The Meaning of Present Fairly in Conformity With Generally Accepted Accounting Principles”. We are currently evaluating the potential impact of SFAS No. 162 on our financial position and results of operations.</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annual periods beginning on or after November 15, 2008. We are currently evaluating the potential impact of SFAS No. 161 on our financial position and results of operations. This statement is effective for our fiscal year 2010.</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141(R)”). In SFAS 141(R), the FASB retained the fundamental requirements of SFAS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SFAS 141(R) on our financial position and results of operations. This statement is effective for our fiscal year 2010.</w:t>
      </w:r>
    </w:p>
    <w:p>
      <w:pPr>
        <w:spacing w:after="0" w:line="19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of which the objective is to improve the relevance, comparability, and transparency of the financial information that a reporting entity provides in its consolidated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statements by establishing accounting and reporting standards by requiring all entities to report noncontrolling (minority) interests in subsidiaries in the same way - as equity in the consolidated financial statements. Moreover, SFAS No. 160 eliminates the diversity that currently exists in accounting for transactions between an entity and noncontrolling interests by requiring they be treated as equity transactions. SFAS No. 160 is effective for annual periods beginning on or after December 15, 2008. We are currently evaluating the potential impact of SFAS No. 160 on our financial position and results of operations. This statement is effective for our fiscal year 2010.</w:t>
      </w:r>
    </w:p>
    <w:p>
      <w:pPr>
        <w:spacing w:after="0" w:line="18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ectPr>
          <w:pgSz w:w="11900" w:h="16870" w:orient="portrait"/>
          <w:cols w:equalWidth="0" w:num="1">
            <w:col w:w="11420"/>
          </w:cols>
          <w:pgMar w:left="240" w:top="125" w:right="239" w:bottom="0" w:gutter="0" w:footer="0" w:header="0"/>
        </w:sectPr>
      </w:pPr>
    </w:p>
    <w:bookmarkStart w:id="5" w:name="page6"/>
    <w:bookmarkEnd w:id="5"/>
    <w:p>
      <w:pPr>
        <w:spacing w:after="0" w:line="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 as required by SFAS Statement No. 128, “Earnings Per Share.” Basic EPS is computed by dividing net income by weighted average shares outstanding. Diluted EPS includes the effect of potentially dilutive common shares.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June 28, 2008</w:t>
            </w: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June 30, 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gridSpan w:val="4"/>
          </w:tcPr>
          <w:p>
            <w:pPr>
              <w:jc w:val="center"/>
              <w:ind w:right="132"/>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14,341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25,607</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26,534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Basic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25,607</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26,517</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Stock-based compensation expense of $2.4 million was recognized for the both three months ended June 28, 2008 and June 30, 2007. The related income tax benefit recognized was $0.7 million for the both three months ended June 28, 2008 and June 30, 2007. We recognize stock-based compensation on a straight line basis.</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a more detailed description of our stock-based compensation plans, see Note 11—Capital Stock to the Company’s consolidated financial statements included in our Annual Report on Form 10-K for the year ended March 29, 2008. Our stock-based compensation plans currently consist of stock options, restricted stock awards, restricted stock units and an employee stock purchase plan. Options become exercisable in the manner specified by the Compensation Committee of our Board of Directors. With the exception of one performance based restricted stock award granted this quarter, all options, restricted stock awards and restricted stock units granted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employees in the three months ended June 28, 2008 vest over a four year period of time and the options expire not more than 7 years from the date of grant.</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relating to the benefits of tax deductions in excess of compensation cost recognized (in our reported or proforma results) are reported as a financing cash flow, rather than as an operating cash flow. This excess tax benefit was $1.3 million and $0.6 million for the three months ended June 28, 2008 and June 30, 2007,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stock options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Exercise Price</w:t>
            </w:r>
          </w:p>
        </w:tc>
        <w:tc>
          <w:tcPr>
            <w:tcW w:w="2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29, 2008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3,657,566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83"/>
              </w:rPr>
              <w:t>79,183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(180,095)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28, 2008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3,438,283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69,606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28, 2008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2,386,164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June 28, 2008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3,213,986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total intrinsic value of options exercised during the three month periods ended June 28, 2008 and June 30, 2007, was $5.6 million and $3.6 million, respectively.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28, 2008 and June 30, 2007, there was $12.2 million and $16.9 million, respectively, of total unrecognized compensation cost related to non vested stock options. That cost is expected to be recognized over a weighted average period of 2.0 years and 2.36 years. The total fair value of shares fully vested during the three months ended June 28, 2008 was $14.1 million and during the three months ended June 30, 2007 was $14.2 million.</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weighted average fair value for our options granted in the first three months of 2008 and 2007 was $17.32 and $17.00, respectively. The fair value was estimated using the Black-Scholes option-pricing model based on the weighted average of the high and low stock prices at the grant date and the weighted</w:t>
      </w:r>
    </w:p>
    <w:p>
      <w:pPr>
        <w:sectPr>
          <w:pgSz w:w="11900" w:h="16867" w:orient="portrait"/>
          <w:cols w:equalWidth="0" w:num="1">
            <w:col w:w="11400"/>
          </w:cols>
          <w:pgMar w:left="240" w:top="341" w:right="259" w:bottom="0" w:gutter="0" w:footer="0" w:header="0"/>
        </w:sectPr>
      </w:pPr>
    </w:p>
    <w:bookmarkStart w:id="6" w:name="page7"/>
    <w:bookmarkEnd w:id="6"/>
    <w:p>
      <w:pPr>
        <w:spacing w:after="0" w:line="4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The assumptions utilized for option grants during the periods presented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338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900" w:type="dxa"/>
            <w:vAlign w:val="bottom"/>
          </w:tcPr>
          <w:p>
            <w:pPr>
              <w:spacing w:after="0"/>
              <w:rPr>
                <w:sz w:val="12"/>
                <w:szCs w:val="12"/>
                <w:color w:val="auto"/>
              </w:rPr>
            </w:pPr>
          </w:p>
        </w:tc>
        <w:tc>
          <w:tcPr>
            <w:tcW w:w="176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June 28, 2008</w:t>
            </w:r>
          </w:p>
        </w:tc>
        <w:tc>
          <w:tcPr>
            <w:tcW w:w="144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June 30, 2007</w:t>
            </w:r>
          </w:p>
        </w:tc>
        <w:tc>
          <w:tcPr>
            <w:tcW w:w="180" w:type="dxa"/>
            <w:vAlign w:val="bottom"/>
          </w:tcPr>
          <w:p>
            <w:pPr>
              <w:spacing w:after="0"/>
              <w:rPr>
                <w:sz w:val="12"/>
                <w:szCs w:val="12"/>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Black-Scholes assumptions (weighted average):</w:t>
            </w: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28.94%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30.50%</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28, 2008 and June 30, 2007, there was $0.4 and $0.5 million, respectively, of total unrecognized compensation cost related to non vested restricted stock awards. That cost is expected to be recognized over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weighted average period of 2.42 and 3.84 years, respectively. The total fair value of restricted stock awards vested during the three months ended June 28, 2008 was $0.1 million and during the three months ended June 30, 2007 was $0.0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awards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0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98"/>
              </w:rPr>
              <w:t>Shares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29, 2008</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3,456</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(2,500)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Nonvested at June 28, 2008</w:t>
            </w:r>
          </w:p>
        </w:tc>
        <w:tc>
          <w:tcPr>
            <w:tcW w:w="1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10,956</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28, 2008 and June 30, 2007, there was $2.0 and $0.0 million, respectively, of total unrecognized compensation cost related to non vested restricted stock units. That cost is expected to be recognized over a weighted average period of 3.2 years. The total fair value of shares fully vested was $0.0 million for both the three months ended June 28, 2008 and June 30,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units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 Value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29, 2008</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58,332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28, 2008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56,637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28, 2008, there was $0.2 million of total unrecognized compensation expense, net of estimated forfeitures, related to the Employee Stock Purchase Plan (“ESPP”) shares. That cost is expected to be recognized over the remainder of fiscal year 2009.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June 28, 2008 and June 30, 2007, there were 31,474 and 28,968 shares purchased under the ESPP, respectively. They were purchased at $44.353 and $38.6325 per share under the ESPP.</w:t>
      </w:r>
    </w:p>
    <w:p>
      <w:pPr>
        <w:spacing w:after="0" w:line="16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SHIPPING AND HANDLING COSTS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Shipping and handling costs are included in cost of goods sold with the exception of $3.1 million and $1.9 million for the three month periods ended June 28, 2008 and June 30, 2007, respectively, that are included in selling,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general, and administrative expenses. Freight is classified in cost of goods sold when the customer is charged for freight and in selling, general and administration when the customer is not explicitly charged for freight.</w:t>
      </w:r>
    </w:p>
    <w:p>
      <w:pPr>
        <w:spacing w:after="0" w:line="16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enter into forward exchange contracts to hedge the probable cash flows from forecasted inter-company foreign currency denominated revenues, principally Japanese Yen and Euro. The purpose of our hedging strategy is to lock in foreign exchange rates for 12 months to minimize, for this period of</w:t>
      </w:r>
    </w:p>
    <w:p>
      <w:pPr>
        <w:sectPr>
          <w:pgSz w:w="11900" w:h="16881" w:orient="portrait"/>
          <w:cols w:equalWidth="0" w:num="1">
            <w:col w:w="11380"/>
          </w:cols>
          <w:pgMar w:left="240" w:top="125" w:right="279" w:bottom="0" w:gutter="0" w:footer="0" w:header="0"/>
        </w:sectPr>
      </w:pPr>
    </w:p>
    <w:bookmarkStart w:id="7" w:name="page8"/>
    <w:bookmarkEnd w:id="7"/>
    <w:p>
      <w:pPr>
        <w:ind w:right="80"/>
        <w:spacing w:after="0" w:line="253" w:lineRule="auto"/>
        <w:rPr>
          <w:sz w:val="20"/>
          <w:szCs w:val="20"/>
          <w:color w:val="auto"/>
        </w:rPr>
      </w:pPr>
      <w:r>
        <w:rPr>
          <w:rFonts w:ascii="Arial" w:cs="Arial" w:eastAsia="Arial" w:hAnsi="Arial"/>
          <w:sz w:val="18"/>
          <w:szCs w:val="18"/>
          <w:color w:val="auto"/>
        </w:rPr>
        <w:t>time, the unforeseen impact on our results of operations of fluctuations in foreign exchange rates. We also enter into forward contracts that settle within 35 days to hedge certain inter-company receivables denominated in foreign currencies. These derivative financial instruments are not used for trading purposes. The forward exchange contracts are recorded at fair value and are included in other current assets or other current liabilities on our consolidated balance sheets. The gains or losses on the forward exchange contracts designated as hedges are recorded in net revenues on our consolidated statements of income when the underlying hedge transaction affects earnings. The cash flows related to the gains and losses on these foreign currency hedges are classified in the consolidated statements of cash flows as part of cash flows from operating activities. In the event the hedged forecasted transaction does not occur, or it becomes probable that it will not occur, the Company would reclassify any gain or loss on the related cash flow hedge from other comprehensive income to earnings at that time. The ineffective portion of a derivative’s change in fair value is recognized currently in other income, net in our consolidated statements of income.</w:t>
      </w:r>
    </w:p>
    <w:p>
      <w:pPr>
        <w:spacing w:after="0" w:line="19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June 28, 2008</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June 30, 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5"/>
          </w:tcPr>
          <w:p>
            <w:pPr>
              <w:jc w:val="center"/>
              <w:ind w:right="7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Warranty Provision</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end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For us, all other non-owner changes are primarily foreign currency translation, the change in our net minimum pension liability, and the changes in fair value of the effective portion of our outstanding cash flow hedge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28, 2008</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8"/>
              </w:rPr>
              <w:t>June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cash flow hedges, net of tax</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2,593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June 28, 2008</w:t>
            </w:r>
          </w:p>
        </w:tc>
        <w:tc>
          <w:tcPr>
            <w:tcW w:w="16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29, 2008</w:t>
            </w:r>
          </w:p>
        </w:tc>
      </w:tr>
      <w:tr>
        <w:trPr>
          <w:trHeight w:val="142"/>
        </w:trPr>
        <w:tc>
          <w:tcPr>
            <w:tcW w:w="3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4"/>
          </w:tcPr>
          <w:p>
            <w:pPr>
              <w:jc w:val="right"/>
              <w:ind w:right="97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16,107</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Work-in-process</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15,713</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14,430</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34,851</w:t>
            </w:r>
          </w:p>
        </w:tc>
        <w:tc>
          <w:tcPr>
            <w:tcW w:w="100" w:type="dxa"/>
            <w:vAlign w:val="bottom"/>
            <w:shd w:val="clear" w:color="auto" w:fill="CCEEFF"/>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71,196</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40" w:firstLine="8"/>
        <w:spacing w:after="0" w:line="503" w:lineRule="auto"/>
        <w:tabs>
          <w:tab w:leader="none" w:pos="3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our goodwill during the three months ended June 28, 2008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March 29, 2008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54,222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Medicell (a)</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Haemoscope (b)</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Effect of change in rates used for translation</w:t>
            </w: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r>
      <w:tr>
        <w:trPr>
          <w:trHeight w:val="210"/>
        </w:trPr>
        <w:tc>
          <w:tcPr>
            <w:tcW w:w="76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8" w:name="page9"/>
    <w:bookmarkEnd w:id="8"/>
    <w:p>
      <w:pPr>
        <w:spacing w:after="0"/>
        <w:tabs>
          <w:tab w:leader="none" w:pos="7640" w:val="left"/>
          <w:tab w:leader="none" w:pos="8520" w:val="left"/>
        </w:tabs>
        <w:rPr>
          <w:sz w:val="20"/>
          <w:szCs w:val="20"/>
          <w:color w:val="auto"/>
        </w:rPr>
      </w:pPr>
      <w:r>
        <w:rPr>
          <w:rFonts w:ascii="Arial" w:cs="Arial" w:eastAsia="Arial" w:hAnsi="Arial"/>
          <w:sz w:val="18"/>
          <w:szCs w:val="18"/>
          <w:color w:val="auto"/>
        </w:rPr>
        <w:t>Carrying amount as of June 28, 2008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54,786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31750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the acquisition of Medicell Ltd. which occurred on April 4, 2008, is included later in this footnote.</w:t>
      </w:r>
    </w:p>
    <w:p>
      <w:pPr>
        <w:spacing w:after="0" w:line="225" w:lineRule="exact"/>
        <w:rPr>
          <w:rFonts w:ascii="Arial" w:cs="Arial" w:eastAsia="Arial" w:hAnsi="Arial"/>
          <w:sz w:val="18"/>
          <w:szCs w:val="18"/>
          <w:color w:val="auto"/>
        </w:rPr>
      </w:pPr>
    </w:p>
    <w:p>
      <w:pPr>
        <w:ind w:left="660" w:right="400" w:hanging="328"/>
        <w:spacing w:after="0" w:line="308" w:lineRule="auto"/>
        <w:tabs>
          <w:tab w:leader="none" w:pos="6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Foot Note #3, Acquisitions, in our fiscal year 2008 Form 10-K for a full description of the acquisition of Haemoscope Corporation’s TEG® Thrombelastograph® Hemostasis Analyzer business (“Haemoscope”), which occurred on November 20, 2007.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 of June 28,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Gross Carrying Amount</w:t>
            </w:r>
          </w:p>
        </w:tc>
        <w:tc>
          <w:tcPr>
            <w:tcW w:w="26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1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Amortization</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Useful Life (in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Intangibles</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14,821</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28,523</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10,354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 and related relationships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30,644</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86,377</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21,380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 Life Intangibles Trade name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86,900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21,380</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March 29, 2008</w:t>
            </w: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Gross Carrying Amount</w:t>
            </w:r>
          </w:p>
        </w:tc>
        <w:tc>
          <w:tcPr>
            <w:tcW w:w="26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Amortization</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Useful Life (in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Intangibles</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13,638</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28,327</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 and related relationships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29,342</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83,632</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19,821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 Life Intangibles Trade name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84,154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19,821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On April 4, 2008, the Company acquired Medicell Ltd. (“Medicell”) for approximately $2.4 million in cash plus contingent consideration based upon future operating performance. Medicell has been the exclusive distributor in the United Kingdom for the Haemoscope product line since 1998. The purchase price was principally allocated to intangible assets including goodwill. The purchase price allocation will be finalized no later than one year from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The results of the Medicell operations are included in our consolidated results for periods after the acquisition date.</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addition to the Medicell acquisition discussed above, changes to the net carrying value of our intangible assets from March 29, 2008 to June 28, 2008, reflect the capitalization of software costs associated with our devices and software products (see Footnote #17), amortization expense and the effect of exchange rate changes in the translation of our intangible assets held by our international subsidiaries.</w:t>
      </w:r>
    </w:p>
    <w:p>
      <w:pPr>
        <w:sectPr>
          <w:pgSz w:w="11900" w:h="16838" w:orient="portrait"/>
          <w:cols w:equalWidth="0" w:num="1">
            <w:col w:w="11420"/>
          </w:cols>
          <w:pgMar w:left="240" w:top="125" w:right="239" w:bottom="0" w:gutter="0" w:footer="0" w:header="0"/>
        </w:sectPr>
      </w:pPr>
    </w:p>
    <w:bookmarkStart w:id="9" w:name="page10"/>
    <w:bookmarkEnd w:id="9"/>
    <w:p>
      <w:pPr>
        <w:ind w:right="260"/>
        <w:spacing w:after="0" w:line="286" w:lineRule="auto"/>
        <w:rPr>
          <w:sz w:val="20"/>
          <w:szCs w:val="20"/>
          <w:color w:val="auto"/>
        </w:rPr>
      </w:pPr>
      <w:r>
        <w:rPr>
          <w:rFonts w:ascii="Arial" w:cs="Arial" w:eastAsia="Arial" w:hAnsi="Arial"/>
          <w:sz w:val="17"/>
          <w:szCs w:val="17"/>
          <w:color w:val="auto"/>
        </w:rPr>
        <w:t>Amortization expense for amortized other intangible assets was $1.5 million and $0.9 million for the three months ended June 28, 2008 and June 30, 2007, respectively. Annual amortization expense is expected to approximate $5.8 million for fiscal year 2009, $6.1 million for fiscal year 2010, $6.2 million for fiscal year 2011, $5.8 million for fiscal year 2012, $5.7 million for fiscal year 2013, and $6.2 million for fiscal year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We adopted Financial Accounting Standards Board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 of March 30, 2008. Statement No. 157 defines fair value, establishes a framework for measuring fair value in accordance with U.S. GAAP, and expands disclosures about fair value measurements. Statement No. 157 does not require any new fair value measurements; rather, it applies to other accounting pronouncements that require or permit fair value measurements. In February 2008, the FASB released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which delays the effective date of Statement No. 157 for all nonfinancial assets and nonfinancial liabilities, except for those that are recognized or disclosed at fair value in the financial statements on a recurring basis. In accordance with Staff Position No. 157-2, we have not applied the provisions of Statement No. 157 to the following nonfinancial assets and nonfinancial liabilities:</w:t>
      </w:r>
    </w:p>
    <w:p>
      <w:pPr>
        <w:spacing w:after="0" w:line="189" w:lineRule="exact"/>
        <w:rPr>
          <w:sz w:val="20"/>
          <w:szCs w:val="20"/>
          <w:color w:val="auto"/>
        </w:rPr>
      </w:pPr>
    </w:p>
    <w:p>
      <w:pPr>
        <w:ind w:left="660" w:right="160" w:hanging="328"/>
        <w:spacing w:after="0" w:line="258"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Nonfinancial assets and nonfinancial liabilities initially measured at fair value in a business combination or other new basis event, but not measured at fair value in subsequent reporting periods;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Reporting units and nonfinancial assets and nonfinancial liabilities measured at fair value for our goodwill impairment test in accordance with FASB Statement No. 142, </w:t>
      </w:r>
      <w:r>
        <w:rPr>
          <w:rFonts w:ascii="Arial" w:cs="Arial" w:eastAsia="Arial" w:hAnsi="Arial"/>
          <w:sz w:val="18"/>
          <w:szCs w:val="18"/>
          <w:i w:val="1"/>
          <w:iCs w:val="1"/>
          <w:color w:val="auto"/>
        </w:rPr>
        <w:t>Goodwill and Other Intangible Assets;</w:t>
      </w: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Indefinite-lived intangible assets measured at fair value for impairment assessment in accordance with Statement No. 142;</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Nonfinancial long-lived assets or asset groups measured at fair value for impairment assessment or disposal under FASB Statement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and</w:t>
      </w:r>
    </w:p>
    <w:p>
      <w:pPr>
        <w:ind w:left="660" w:right="420" w:hanging="328"/>
        <w:spacing w:after="0" w:line="261"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Nonfinancial liabilities associated with exit or disposal activities initially measured at fair value under FASB Statement No. 146,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Associated with Exit or Disposal Activities.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will be required to apply the provisions of Statement No. 157 to these nonfinancial assets and nonfinancial liabilities as of March 29, 2009 and are currently evaluating the impact of the application of Statement No. 157 as it pertains to these items. The application of Statement No. 157 for financial assets and financial liabilities did not have a material impact on our financial position, results of operations or cash flows.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and foreign currency derivative contracts. Statement No. 157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Statement No. 157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1"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60" w:hanging="328"/>
        <w:spacing w:after="0" w:line="250"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80" w:hanging="328"/>
        <w:spacing w:after="0" w:line="261"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recognize all derivative financial instruments in our consolidated financial statements at fair value in accordance with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determine the fair value of these instruments using the framework prescribed by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No. 157 by considering the estimated amount we would receive or pay to terminate these agreements at the reporting date and by taking into account current interest rates, the creditworthiness of the counterparty for assets, and our creditworthiness for liabilities. We use a discounted cash flow model to value these forward foreign exchange contracts. The most significant input to this model is the current foreign exchange spot rate. We have classified our derivative assets and liabilities within Level 2 of the fair value hierarchy because these observable inputs are available for substantially the full term of our derivative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June 28,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Quoted</w:t>
            </w:r>
          </w:p>
        </w:tc>
        <w:tc>
          <w:tcPr>
            <w:tcW w:w="20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Prices for</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Assets</w:t>
            </w: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95,364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b w:val="1"/>
                <w:bCs w:val="1"/>
                <w:color w:val="auto"/>
                <w:w w:val="83"/>
              </w:rPr>
              <w:t>95,364</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w w:val="88"/>
              </w:rPr>
              <w:t>—</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96,111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ind w:left="5000"/>
        <w:spacing w:after="0"/>
        <w:tabs>
          <w:tab w:leader="none" w:pos="6200" w:val="left"/>
          <w:tab w:leader="none" w:pos="6680" w:val="left"/>
          <w:tab w:leader="none" w:pos="7620" w:val="left"/>
          <w:tab w:leader="none" w:pos="8300" w:val="left"/>
          <w:tab w:leader="none" w:pos="9480" w:val="left"/>
          <w:tab w:leader="none" w:pos="9940" w:val="left"/>
          <w:tab w:leader="none" w:pos="108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2,739</w:t>
        <w:tab/>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6"/>
          <w:szCs w:val="16"/>
          <w:b w:val="1"/>
          <w:bCs w:val="1"/>
          <w:color w:val="auto"/>
        </w:rPr>
        <w:t>2,739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17145</wp:posOffset>
            </wp:positionV>
            <wp:extent cx="401320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13200" cy="2603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assets or liabilities measured at fair value using significant unobservable inputs (Level 3) during the three months ended June 28, 2008.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which allows an entity to elect to record financial assets and financial liabilities at fair value upon their initial recognition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contract-by-contract basis. We adopted Statement No. 159 as of March 30, 2008 and did not elect the fair value option for our eligible financial assets and financial liabilities.</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reported tax rate includes two principal components: an annual effective tax rate and discrete items that are recorded in the quarter that an event occurs.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Events or items that give rise to discrete recognition include finalizing audit examinations for open tax years and a statute of limitation’s expiration.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rates were 29.5% and 31.2% for the three month periods ended June 28, 2008 and June 30, 2007, respectively.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June 28, 2008, the reported tax rate includes a 35.1% annual effective tax rate. The annual effective tax rate reflects the expiration of federal research and development credits and a shift away from investing in tax-exempt interest bearing assets. Additionally, during the quarter, the reported tax rate also involved a $1.1 million reversal (or a 560 basis point rate reduction) of previously accrued foreign income taxes in Japan due to the expiration of the statute of limitations.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expect our annual effective tax rate to be approximately 35.1% for the remainder of fiscal year 2009.</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29, 2008, our unrecognized tax benefits totaled approximately $5.2 million which, if recognized, would favorably affect our effective tax rate in future periods. Each year the statute of limitations for income tax returns filed in various jurisdictions closes, sometimes without adjustments. In addition to the expiration of the statute of limitations in Japan during the three months ended June 28, 2008, approximately $1.1 million of unrecognized tax benefits may be recognized through the end of the fiscal year if the statute of limitations closes in various jurisdictions and no adjustment is made to our tax position. Total unrecognized tax benefits on June 28, 2008 were $4.2 million.</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historic practice has been and continues to be to recognize interest and penalties related to federal, state, and foreign income tax matters in income tax expense. Approximately $0.85 million and $0.8 million are accrued for interest at June 28, 2008 and March 29, 2008, respectively.</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June 28, 2008</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June 30, 2007</w:t>
            </w:r>
          </w:p>
        </w:tc>
        <w:tc>
          <w:tcPr>
            <w:tcW w:w="12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60" w:type="dxa"/>
            <w:vAlign w:val="bottom"/>
            <w:gridSpan w:val="5"/>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2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150</w:t>
            </w:r>
          </w:p>
        </w:tc>
        <w:tc>
          <w:tcPr>
            <w:tcW w:w="100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02"/>
        </w:trPr>
        <w:tc>
          <w:tcPr>
            <w:tcW w:w="7080" w:type="dxa"/>
            <w:vAlign w:val="bottom"/>
          </w:tcPr>
          <w:p>
            <w:pPr>
              <w:spacing w:after="0" w:line="201" w:lineRule="exact"/>
              <w:rPr>
                <w:sz w:val="20"/>
                <w:szCs w:val="20"/>
                <w:color w:val="auto"/>
              </w:rPr>
            </w:pPr>
            <w:r>
              <w:rPr>
                <w:rFonts w:ascii="Arial" w:cs="Arial" w:eastAsia="Arial" w:hAnsi="Arial"/>
                <w:sz w:val="18"/>
                <w:szCs w:val="18"/>
                <w:color w:val="auto"/>
                <w:w w:val="97"/>
              </w:rPr>
              <w:t>Amortization of unrecognized prior service cost, unrecognized gain and unrecognized initial</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50"/>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automated blood processing systems. Our chief operating decision-maker uses consolidated results to make operating and strategic decisions. Manufacturing processes, as well as the regulatory environment in which we operate, are largely the same for all product lines.</w:t>
      </w:r>
    </w:p>
    <w:p>
      <w:pPr>
        <w:sectPr>
          <w:pgSz w:w="11900" w:h="16838" w:orient="portrait"/>
          <w:cols w:equalWidth="0" w:num="1">
            <w:col w:w="11420"/>
          </w:cols>
          <w:pgMar w:left="240" w:top="121"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three families of products: (1) those that serve the blood donor, (2) those that serve the patient and (3) our services and software products which are used in connections with our donor and patient products. Under the donor family of products we have included blood bank, red cell and plasma collection products. The patient products include autologous blood salvage products targeting surgical patients who lose blood before or after surgery as well as a blood loss diagnostic product. Software and services include information technology platforms and business services that assist blood banks, plasma centers, and hospitals more effectively manage regulatory compliance and operational efficiency.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Donor</w:t>
      </w:r>
    </w:p>
    <w:p>
      <w:pPr>
        <w:spacing w:after="0" w:line="225"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The blood bank products include machines, single use disposables and solutions that perform “apheresis,” (the automated, on-line separation of a blood donor’s whole blood into its components, followed by the diversion of one or more blood components targeted for collection and the automated return to the donor of the “unwanted” components) as well as the washing of red blood cells for certain procedures. The main devices used for these blood component procedures are the MCS</w:t>
      </w:r>
      <w:r>
        <w:rPr>
          <w:rFonts w:ascii="Arial" w:cs="Arial" w:eastAsia="Arial" w:hAnsi="Arial"/>
          <w:sz w:val="28"/>
          <w:szCs w:val="28"/>
          <w:color w:val="auto"/>
          <w:vertAlign w:val="superscript"/>
        </w:rPr>
        <w:t>®</w:t>
      </w:r>
      <w:r>
        <w:rPr>
          <w:rFonts w:ascii="Arial" w:cs="Arial" w:eastAsia="Arial" w:hAnsi="Arial"/>
          <w:sz w:val="17"/>
          <w:szCs w:val="17"/>
          <w:color w:val="auto"/>
        </w:rPr>
        <w:t>+ mobile collection systems and the ACP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215 automated cell processing system.</w:t>
      </w:r>
    </w:p>
    <w:p>
      <w:pPr>
        <w:spacing w:after="0" w:line="42"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Red cell products include machines, single use disposables and solutions that perform apheresis for the collection of red blood cells. The devices used for the collection of red blood cells is the MCS</w:t>
      </w:r>
      <w:r>
        <w:rPr>
          <w:rFonts w:ascii="Arial" w:cs="Arial" w:eastAsia="Arial" w:hAnsi="Arial"/>
          <w:sz w:val="30"/>
          <w:szCs w:val="30"/>
          <w:color w:val="auto"/>
          <w:vertAlign w:val="superscript"/>
        </w:rPr>
        <w:t>®</w:t>
      </w:r>
      <w:r>
        <w:rPr>
          <w:rFonts w:ascii="Arial" w:cs="Arial" w:eastAsia="Arial" w:hAnsi="Arial"/>
          <w:sz w:val="18"/>
          <w:szCs w:val="18"/>
          <w:color w:val="auto"/>
        </w:rPr>
        <w:t>+ 8150 mobile collection system and the Cymbal mobile collection system.</w:t>
      </w:r>
    </w:p>
    <w:p>
      <w:pPr>
        <w:spacing w:after="0" w:line="4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Plasma collection products are machines, disposables and solutions that perform apheresis for the separation of whole blood components and subsequent collection of plasma. The device used in automated plasma collection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PCS</w:t>
      </w:r>
      <w:r>
        <w:rPr>
          <w:rFonts w:ascii="Arial" w:cs="Arial" w:eastAsia="Arial" w:hAnsi="Arial"/>
          <w:sz w:val="30"/>
          <w:szCs w:val="30"/>
          <w:color w:val="auto"/>
          <w:vertAlign w:val="superscript"/>
        </w:rPr>
        <w:t>®</w:t>
      </w:r>
      <w:r>
        <w:rPr>
          <w:rFonts w:ascii="Arial" w:cs="Arial" w:eastAsia="Arial" w:hAnsi="Arial"/>
          <w:sz w:val="18"/>
          <w:szCs w:val="18"/>
          <w:color w:val="auto"/>
        </w:rPr>
        <w:t>2 plasma collection system.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Patient products include machines and single use disposables that process surgical blood. Patient products include the OrthoPAT, Cell Saver and cardioPAT surgical blood salvage systems, and the SmartSuction Harmony surgical suction product. Cell Saver is used in cardiovascular surgeries with high blood loss, other high blood loss surgeries, and trauma. The Cell Saver is used intra-operatively. The cardioPAT is used in lower blood loss and minimally invasive cardiovascular surgeries. The cardioPAT can be used both intra-operatively and post-operatively. OrthoPAT technology is used for lower, slower blood loss orthopedic procedures, where bleeding takes place during and after surgery. These technologies perform a procedure whereby shed blood is collected, cleansed and made available to be transfused back to the patient.</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SmartSuction Harmony is an auto-regulating suction system which removes blood and debris from the surgical field. The systems are used in conjunction with surgical blood salvage.</w:t>
      </w:r>
    </w:p>
    <w:p>
      <w:pPr>
        <w:spacing w:after="0" w:line="174" w:lineRule="exact"/>
        <w:rPr>
          <w:sz w:val="20"/>
          <w:szCs w:val="20"/>
          <w:color w:val="auto"/>
        </w:rPr>
      </w:pPr>
    </w:p>
    <w:p>
      <w:pPr>
        <w:ind w:right="220"/>
        <w:spacing w:after="0" w:line="221" w:lineRule="auto"/>
        <w:rPr>
          <w:sz w:val="20"/>
          <w:szCs w:val="20"/>
          <w:color w:val="auto"/>
        </w:rPr>
      </w:pPr>
      <w:r>
        <w:rPr>
          <w:rFonts w:ascii="Arial" w:cs="Arial" w:eastAsia="Arial" w:hAnsi="Arial"/>
          <w:sz w:val="18"/>
          <w:szCs w:val="18"/>
          <w:color w:val="auto"/>
        </w:rPr>
        <w:t>In November of 2007, we acquired the TEG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Thrombelastograph</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Hemostasis Analyzer business from Haemoscope. The TEG system is a diagnostic tool which allows surgeons to determine the likelihood that a patient will need a transfusion so the surgeon can then decide the best blood-related clinical treatment for the individual patient.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and Services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Software and services revenue include revenue generated from Haemonetics Software Solutions business, equipment repairs performed under preventive maintenance contracts or emergency service billings and miscellaneous sales. Haemonetics Software Solutions provides information technology platforms to plasma collectors, blood banks and the US Department of Defense. Our business services products include service offerings that assist blood banks, plasma centers, and hospitals more effectively manage regulatory compliance and operational efficiency.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42"/>
        </w:trPr>
        <w:tc>
          <w:tcPr>
            <w:tcW w:w="5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6"/>
              </w:rPr>
              <w:t>June 28, 2008</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2"/>
              </w:rPr>
              <w:t>June 30, 2007</w:t>
            </w:r>
          </w:p>
        </w:tc>
        <w:tc>
          <w:tcPr>
            <w:tcW w:w="100" w:type="dxa"/>
            <w:vAlign w:val="bottom"/>
            <w:tcBorders>
              <w:bottom w:val="single" w:sz="8" w:color="auto"/>
            </w:tcBorders>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Disposables Revenues by Product Family</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Donor:</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Plasma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35,955</w:t>
            </w:r>
          </w:p>
        </w:tc>
      </w:tr>
      <w:tr>
        <w:trPr>
          <w:trHeight w:val="216"/>
        </w:trPr>
        <w:tc>
          <w:tcPr>
            <w:tcW w:w="5060" w:type="dxa"/>
            <w:vAlign w:val="bottom"/>
          </w:tcPr>
          <w:p>
            <w:pPr>
              <w:ind w:left="540"/>
              <w:spacing w:after="0"/>
              <w:rPr>
                <w:sz w:val="20"/>
                <w:szCs w:val="20"/>
                <w:color w:val="auto"/>
              </w:rPr>
            </w:pPr>
            <w:r>
              <w:rPr>
                <w:rFonts w:ascii="Arial" w:cs="Arial" w:eastAsia="Arial" w:hAnsi="Arial"/>
                <w:sz w:val="18"/>
                <w:szCs w:val="18"/>
                <w:color w:val="auto"/>
              </w:rPr>
              <w:t>Blood Bank</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35,659</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33,032</w:t>
            </w:r>
          </w:p>
        </w:tc>
      </w:tr>
      <w:tr>
        <w:trPr>
          <w:trHeight w:val="216"/>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 Cell</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10,944</w:t>
            </w:r>
          </w:p>
        </w:tc>
      </w:tr>
      <w:tr>
        <w:trPr>
          <w:trHeight w:val="210"/>
        </w:trPr>
        <w:tc>
          <w:tcPr>
            <w:tcW w:w="5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94,369</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79,931</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Patient: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Surgical &amp; Diagnostic</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16,694</w:t>
            </w:r>
          </w:p>
        </w:tc>
      </w:tr>
      <w:tr>
        <w:trPr>
          <w:trHeight w:val="216"/>
        </w:trPr>
        <w:tc>
          <w:tcPr>
            <w:tcW w:w="5060" w:type="dxa"/>
            <w:vAlign w:val="bottom"/>
          </w:tcPr>
          <w:p>
            <w:pPr>
              <w:ind w:left="540"/>
              <w:spacing w:after="0"/>
              <w:rPr>
                <w:sz w:val="20"/>
                <w:szCs w:val="20"/>
                <w:color w:val="auto"/>
              </w:rPr>
            </w:pPr>
            <w:r>
              <w:rPr>
                <w:rFonts w:ascii="Arial" w:cs="Arial" w:eastAsia="Arial" w:hAnsi="Arial"/>
                <w:sz w:val="18"/>
                <w:szCs w:val="18"/>
                <w:color w:val="auto"/>
              </w:rPr>
              <w:t>OrthoPAT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8,796</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8,187</w:t>
            </w: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Disposables Revenue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125,528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104,812</w:t>
            </w:r>
          </w:p>
        </w:tc>
      </w:tr>
    </w:tbl>
    <w:p>
      <w:pPr>
        <w:sectPr>
          <w:pgSz w:w="11900" w:h="16838" w:orient="portrait"/>
          <w:cols w:equalWidth="0" w:num="1">
            <w:col w:w="11400"/>
          </w:cols>
          <w:pgMar w:left="240" w:top="341" w:right="25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Software Solutions &amp; Services</w:t>
            </w:r>
          </w:p>
        </w:tc>
        <w:tc>
          <w:tcPr>
            <w:tcW w:w="2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10,299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revenues from external customers</w:t>
            </w:r>
          </w:p>
        </w:tc>
        <w:tc>
          <w:tcPr>
            <w:tcW w:w="2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144,116</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121,936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 REORGANIZATION</w:t>
            </w:r>
          </w:p>
        </w:tc>
        <w:tc>
          <w:tcPr>
            <w:tcW w:w="2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last two years, the Company embarked on a business transformation with the primary focus on our international businesses. The goal of the transformation was to position these businesses to complement the growth of our U.S. business.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1, 2008, management announced a plan to transform our Technical Operations organization, which includes research, development and engineering, quality systems and manufacturing. Our goal is to better align our Technical Operations resources with our strategy to be the global leader in blood management solutions for our customers. This transformation will include: optimizing the products manufactured in our plants to best support our global customer base and concentrating our research, development and engineering resources on one platform project at a time.</w:t>
      </w:r>
    </w:p>
    <w:p>
      <w:pPr>
        <w:spacing w:after="0" w:line="17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Over the course of fiscal year 2009, we intend to finalize and implement the Technical Operations organization transformation plan. Once finalized and implemented, we expect to incur exit related costs of $7 million to $8 million. For the three months ended June 28, 2008, we incurred costs totaling $1.2 million of one-time termination benefits and related costs (principally severance and outplacement costs) recorded as selling,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expect this transformation will align our resources with our vision of being the global leader in blood management solutions.</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are finalizing the consolidation of our customer support functions in Europe into our European Headquarters in Signy, Switzerland. The consolidated center in Signy now includes finance, customer and sales support, and logistics supply chain management. The majority of the consolidation of these functions occurred during fiscal year 2008. For the three months ended June 28, 2008 and June 30, 2007, we recorded pre-tax restructuring costs of $0.5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and $1.4 million, respectively, as selling, general, and administrative costs including $0.5 million and $1.3 million, respectively, of one-time termination benefits and related costs (principally severance, outplacement costs, and relocation costs). We also recorded $0.1 million of costs associated with reducing our facilities in the three months ended June 30, 2007.</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Additionally for the three months ended June 28, 2008 and June 30, 2007 we incurred other transformation costs of $0.1 million and $0.2 million including the costs of hiring new personnel in our new shared services center in Signy, Switzerland. These costs are not included in the table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three months ended June 28, 2008 and June 30, 2007,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Three Months Ended June 28, 2008</w:t>
            </w: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Restructuring</w:t>
            </w: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Restructuring</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Accrual Balance</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Asset Write</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 March 29,</w:t>
            </w:r>
          </w:p>
        </w:tc>
        <w:tc>
          <w:tcPr>
            <w:tcW w:w="1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Cost Incurred</w:t>
            </w:r>
          </w:p>
        </w:tc>
        <w:tc>
          <w:tcPr>
            <w:tcW w:w="280" w:type="dxa"/>
            <w:vAlign w:val="bottom"/>
          </w:tcPr>
          <w:p>
            <w:pPr>
              <w:spacing w:after="0"/>
              <w:rPr>
                <w:sz w:val="12"/>
                <w:szCs w:val="12"/>
                <w:color w:val="auto"/>
              </w:rPr>
            </w:pP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Payments</w:t>
            </w:r>
          </w:p>
        </w:tc>
        <w:tc>
          <w:tcPr>
            <w:tcW w:w="28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down</w:t>
            </w:r>
          </w:p>
        </w:tc>
        <w:tc>
          <w:tcPr>
            <w:tcW w:w="3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28, 2008</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96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5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Facility related costs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r>
      <w:tr>
        <w:trPr>
          <w:trHeight w:val="210"/>
        </w:trPr>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 2007</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Balance at March</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w w:val="93"/>
              </w:rPr>
              <w:t>Asset Write</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rPr>
              <w:t>Restructuring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Cost Incurred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rPr>
              <w:t>31, 2007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down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Facility related costs</w:t>
            </w:r>
          </w:p>
        </w:tc>
        <w:tc>
          <w:tcPr>
            <w:tcW w:w="12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79"/>
              </w:rPr>
              <w:t>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CAPITALIZATION OF SOFTWARE DEVELOPMENT COSTS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implementing an Enterprise Resource Planning (ERP) system. In Fiscal 2007, we began our plan to implement the system in two phases over three years. The Company has completed and in-serviced costs relating to Phase I. Phase II began during the three months ended June 28, 2008.</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cost of software that is developed for internal use is accounted for pursuant to AICPA Statement of Position 98-1, “Accounting for the Costs of Computer Software Developed or Obtained for Internal Use” (“SOP 98-1”). Pursuant to SOP 98-1, the Company capitalizes costs incurred during the application development stage of software developed for internal use, and expenses costs incurred during the preliminary project and the post-implementation operation stages of development. The Company capitalized $0.4 million and $0.5 million, respectively, during the three month periods ended June 28, 2008 and June 30, 2007, in costs incurred for acquisition of the software license and related software development costs for new internal software development that was in the application stage. The total capitalized costs incurred to date include $1.8 million for the cost of the software license and $14.9 million in third party development costs and internal personnel.</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SFAS No. 86, “Accounting for the Cost of Computer Software to be Sold, Leased or Otherwise Marketed”, specifies that costs incurred internally in researching and developing a computer software product should be charged to expense until technological feasibility has been established for the product. Once technological</w:t>
      </w:r>
    </w:p>
    <w:p>
      <w:pPr>
        <w:sectPr>
          <w:pgSz w:w="11900" w:h="16838" w:orient="portrait"/>
          <w:cols w:equalWidth="0" w:num="1">
            <w:col w:w="11420"/>
          </w:cols>
          <w:pgMar w:left="240" w:top="140" w:right="239" w:bottom="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feasibility is established, all software costs should be capitalized until the product is available for general release to customers. In connection with the development of the software for our next generation Donor apheresis platform, the Company capitalized $0.7 million during the three month period ended June 28, 2008 and a total of $11.8 million to date. All costs capitalized were incurred after a detailed design of the software was developed and research and development activities on the underlying device were completed. Work on the Donor apheresis platform has been temporarily suspended while the Company focuses on completing another project, which is expected to be completed by early to mid fiscal year 2010. Work on the Donor apheresis platform is expected to resume mid fiscal year 2010. We will begin to amortize these costs when the device is released for sale.</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the Company capitalized $0.7 million in other software development costs for ongoing initiatives. We will begin to amortize these costs when the products are released for sale.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the MD&amp;A contained in our fiscal year 2008 Annual Report on Form 10-K filed with the Securities and Exchange Commission (the “SEC”) on May 27, 2008. The following discussion may contain forward-looking statements and should be read in conjunction with the “</w:t>
      </w:r>
      <w:r>
        <w:rPr>
          <w:rFonts w:ascii="Arial" w:cs="Arial" w:eastAsia="Arial" w:hAnsi="Arial"/>
          <w:sz w:val="18"/>
          <w:szCs w:val="18"/>
          <w:b w:val="1"/>
          <w:bCs w:val="1"/>
          <w:color w:val="auto"/>
        </w:rPr>
        <w:t>Cautionary Statement Regarding Forward-Looking Information</w:t>
      </w:r>
      <w:r>
        <w:rPr>
          <w:rFonts w:ascii="Arial" w:cs="Arial" w:eastAsia="Arial" w:hAnsi="Arial"/>
          <w:sz w:val="18"/>
          <w:szCs w:val="18"/>
          <w:color w:val="auto"/>
        </w:rPr>
        <w:t>” beginning on page 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devices systems, we also provide information technology platforms and value added services to provide customers with business solutions which support improved clinical outcomes for patients and efficiency in the blood supply chain.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systems automate the collection and processing of donated blood; assess likelihood for blood loss; and salvage and process surgical patient blood. These systems include devices and single-use, proprietary disposable sets (“disposables”) that operate only with our specialized devices. Our systems allow users to collect and process only the blood component(s) they target – plasma, platelets, or red blood cells – increasing donor and patient safety as well as collection efficiencies.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LEAN manufacturing and Insight Opportunity Model offerings that support our customers’ needs for regulatory compliance and operational efficiency in the blood supply chain.</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181"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disposables revenue stream (including sales of disposables and fees for the use of our equipment) accounted for approximately 87% and 86% of our total revenues for the first quarter of fiscal year 2009 and 2008,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For the three months ended</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5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June 28, 2008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June 30, 2007</w:t>
            </w:r>
          </w:p>
        </w:tc>
        <w:tc>
          <w:tcPr>
            <w:tcW w:w="280" w:type="dxa"/>
            <w:vAlign w:val="bottom"/>
          </w:tcPr>
          <w:p>
            <w:pPr>
              <w:spacing w:after="0"/>
              <w:rPr>
                <w:sz w:val="12"/>
                <w:szCs w:val="12"/>
                <w:color w:val="auto"/>
              </w:rPr>
            </w:pPr>
          </w:p>
        </w:tc>
        <w:tc>
          <w:tcPr>
            <w:tcW w:w="15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144,116</w:t>
            </w:r>
          </w:p>
        </w:tc>
        <w:tc>
          <w:tcPr>
            <w:tcW w:w="2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121,936</w:t>
            </w:r>
          </w:p>
        </w:tc>
        <w:tc>
          <w:tcPr>
            <w:tcW w:w="28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73,037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61,494</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50.4%</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15,779</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12.9%</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957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20,339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18,432</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Provision for income tax</w:t>
            </w:r>
          </w:p>
        </w:tc>
        <w:tc>
          <w:tcPr>
            <w:tcW w:w="2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5,998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5,755</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 of pre-tax income</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29.5%</w:t>
            </w: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i w:val="1"/>
                <w:iCs w:val="1"/>
                <w:color w:val="auto"/>
              </w:rPr>
              <w:t>31.2%</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14,341</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12,677</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i w:val="1"/>
                <w:iCs w:val="1"/>
                <w:color w:val="auto"/>
              </w:rPr>
              <w:t>% of net revenues</w:t>
            </w:r>
          </w:p>
        </w:tc>
        <w:tc>
          <w:tcPr>
            <w:tcW w:w="2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10.0%</w:t>
            </w:r>
          </w:p>
        </w:tc>
        <w:tc>
          <w:tcPr>
            <w:tcW w:w="50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i w:val="1"/>
                <w:iCs w:val="1"/>
                <w:color w:val="auto"/>
              </w:rPr>
              <w:t>10.4%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2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0.54</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0.46</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revenues increased 18.2% for the first quarter of fiscal year 2009 over the comparable period of fiscal year 2008. The effects of foreign exchange accounted for an increase of 5.0% for the first quarter. The remaining increase of 13.2% for the quarter is mainly due to increases in our disposables revenue and equipment sales. The increase in disposables revenue for the quarter resulted primarily from disposable unit increases across all of our Donor and Patient product lines, including $4.3 million of revenues related to the Haemoscope business which was acquired in third quarter of fiscal year 2008.</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increased 18.8% for the first quarter of fiscal year 2009 over the comparable period of fiscal year 2008. The favorable effects of foreign exchange accounted for an increase of 5.9% for the quarter. The remaining increase of 12.9% for the quarter was due primarily to increased sales offset partly by changes in product mix driven by higher sales of lower margin plasma products.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Operating income increased 22.5% for the first quarter of fiscal year 2009 over the comparable period of fiscal year 2008. The favorable effects of foreign exchange accounted for an increase of operating income of 6.2% for the quarter. Without the effects of foreign exchange operating income increased 16.3%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quarter. These increases were a result of the gross profit changes described above offset by higher operating expenses of 11.5% which are largely related to the expenses that were brought on from the recent acquisitions, including Haemoscope.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income increased 13.1% for the first quarter of fiscal year 2009 over the comparable period of fiscal year 2008. The main factor that affected net income was the increase in operating income, due to the reasons mentioned above and to a lower tax rate. The increase in operating income was partially offset by lower interest and other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900" w:type="dxa"/>
            <w:vAlign w:val="bottom"/>
            <w:gridSpan w:val="6"/>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Percentage Increase</w:t>
            </w:r>
          </w:p>
        </w:tc>
        <w:tc>
          <w:tcPr>
            <w:tcW w:w="0" w:type="dxa"/>
            <w:vAlign w:val="bottom"/>
          </w:tcPr>
          <w:p>
            <w:pPr>
              <w:spacing w:after="0"/>
              <w:rPr>
                <w:sz w:val="1"/>
                <w:szCs w:val="1"/>
                <w:color w:val="auto"/>
              </w:rPr>
            </w:pPr>
          </w:p>
        </w:tc>
      </w:tr>
      <w:tr>
        <w:trPr>
          <w:trHeight w:val="142"/>
        </w:trPr>
        <w:tc>
          <w:tcPr>
            <w:tcW w:w="36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June 28, 2008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June 30, 2007</w:t>
            </w: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54,831</w:t>
            </w:r>
          </w:p>
        </w:tc>
        <w:tc>
          <w:tcPr>
            <w:tcW w:w="16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3"/>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78,327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67,105</w:t>
            </w:r>
          </w:p>
        </w:tc>
        <w:tc>
          <w:tcPr>
            <w:tcW w:w="1640" w:type="dxa"/>
            <w:vAlign w:val="bottom"/>
            <w:gridSpan w:val="2"/>
          </w:tcPr>
          <w:p>
            <w:pPr>
              <w:ind w:left="1140"/>
              <w:spacing w:after="0"/>
              <w:rPr>
                <w:sz w:val="20"/>
                <w:szCs w:val="20"/>
                <w:color w:val="auto"/>
              </w:rPr>
            </w:pPr>
            <w:r>
              <w:rPr>
                <w:rFonts w:ascii="Arial" w:cs="Arial" w:eastAsia="Arial" w:hAnsi="Arial"/>
                <w:sz w:val="18"/>
                <w:szCs w:val="18"/>
                <w:color w:val="auto"/>
                <w:w w:val="93"/>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144,116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121,936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b w:val="1"/>
                <w:bCs w:val="1"/>
                <w:color w:val="auto"/>
                <w:w w:val="85"/>
              </w:rPr>
              <w:t>18.2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50 countries around the world via a direct sales force as well as independent distributors.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revenues generated outside the U.S. approximated 54% and 55% of total sales for the first quarter of fiscal years 2009 and 2008, respectively. Revenues in Japan accounted for approximately 15% and 17% of total revenues for the first quarter of fiscal year 2009 and 2008, respectively. Revenues in Europe accounted for approximately 31% of total revenues for both the first quarter of fiscal year 2009 and 2008. International sales are primarily conducted in local currencies, primarily the Japanese Yen and the Euro. As discussed above, our results of operations can be impacted by changes in the value of the Yen and the Euro relative to the U.S. dollar.</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Product Type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4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Percentage</w:t>
            </w: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June 28, 2008</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4"/>
              </w:rPr>
              <w:t>June 30, 2007</w:t>
            </w:r>
          </w:p>
        </w:tc>
        <w:tc>
          <w:tcPr>
            <w:tcW w:w="280" w:type="dxa"/>
            <w:vAlign w:val="bottom"/>
          </w:tcPr>
          <w:p>
            <w:pPr>
              <w:spacing w:after="0"/>
              <w:rPr>
                <w:sz w:val="12"/>
                <w:szCs w:val="12"/>
                <w:color w:val="auto"/>
              </w:rPr>
            </w:pPr>
          </w:p>
        </w:tc>
        <w:tc>
          <w:tcPr>
            <w:tcW w:w="142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Increase</w:t>
            </w:r>
          </w:p>
        </w:tc>
      </w:tr>
      <w:tr>
        <w:trPr>
          <w:trHeight w:val="210"/>
        </w:trPr>
        <w:tc>
          <w:tcPr>
            <w:tcW w:w="3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Disposables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125,528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104,812</w:t>
            </w:r>
          </w:p>
        </w:tc>
        <w:tc>
          <w:tcPr>
            <w:tcW w:w="2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Software Solutions &amp; Services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10,299</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10,156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2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144,116</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121,936</w:t>
            </w:r>
          </w:p>
        </w:tc>
        <w:tc>
          <w:tcPr>
            <w:tcW w:w="2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Disposables Revenues</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Product Type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3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June 28, 2008</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June 30, 2007</w:t>
            </w:r>
          </w:p>
        </w:tc>
        <w:tc>
          <w:tcPr>
            <w:tcW w:w="280" w:type="dxa"/>
            <w:vAlign w:val="bottom"/>
          </w:tcPr>
          <w:p>
            <w:pPr>
              <w:spacing w:after="0"/>
              <w:rPr>
                <w:sz w:val="12"/>
                <w:szCs w:val="12"/>
                <w:color w:val="auto"/>
              </w:rPr>
            </w:pPr>
          </w:p>
        </w:tc>
        <w:tc>
          <w:tcPr>
            <w:tcW w:w="14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2"/>
              </w:rPr>
              <w:t>Donor:</w:t>
            </w:r>
          </w:p>
        </w:tc>
        <w:tc>
          <w:tcPr>
            <w:tcW w:w="306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Plasma</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46,868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35,955</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Blood Bank</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35,659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33,032</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Red Cell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11,842</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10,944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94,369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79,931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Patient: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Surgical &amp; Diagnostic</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22,363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16,694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OrthoPat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Subtotal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31,159</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24,881</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Total disposables revenue</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125,528</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104,812</w:t>
            </w:r>
          </w:p>
        </w:tc>
        <w:tc>
          <w:tcPr>
            <w:tcW w:w="2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414"/>
        </w:trPr>
        <w:tc>
          <w:tcPr>
            <w:tcW w:w="3600" w:type="dxa"/>
            <w:vAlign w:val="bottom"/>
            <w:gridSpan w:val="4"/>
          </w:tcPr>
          <w:p>
            <w:pPr>
              <w:spacing w:after="0"/>
              <w:rPr>
                <w:sz w:val="20"/>
                <w:szCs w:val="20"/>
                <w:color w:val="auto"/>
              </w:rPr>
            </w:pPr>
            <w:r>
              <w:rPr>
                <w:rFonts w:ascii="Arial" w:cs="Arial" w:eastAsia="Arial" w:hAnsi="Arial"/>
                <w:sz w:val="18"/>
                <w:szCs w:val="18"/>
                <w:b w:val="1"/>
                <w:bCs w:val="1"/>
                <w:color w:val="auto"/>
              </w:rPr>
              <w:t>DONOR PRODUCTS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Donor products include the Plasma, Blood Bank, and Red Cell product lines. Disposables revenue for donor products increased 18.1% for the first quarter of fiscal year 2009 compared to the first quarter of fiscal year 2008. Foreign exchange resulted in a 5.0% increase for the first quarter over the comparable period in fiscal year 2008. The remaining increase of 13.1% for the quarter was driven by increases in the Plasma and Blood Bank product lines,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Plasma disposables revenue increased 30.4% for the first quarter of fiscal year 2009 compared to the same period in fiscal year 2008. Foreign exchange resulted in a 3.9% increase for the first quarter, over the comparable period in fiscal year 2008. The remaining increase of 26.5% for the quarter comes from the U.S. and Europe sales increase. The U.S. increase was due largely to unit growth across our customer base. Europe plasma growth is also the result of increases in collections by our customers as the demand for source plasma strengthened, as well as the new business established with Octapharma Europe and HemaAG.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Blood Bank disposables revenue increased 8.0% for the first quarter of fiscal year 2009 compared to the same period in fiscal year 2008. Foreign exchange resulted in a 7.1% increase in Blood Bank disposables revenue during the quarter over the comparable period in fiscal year 2008. Without the effect of currency, Blood Bank revenue increased 0.9% for the quarter over fiscal year 2008, which is driven by growth in Canada and the Asia Pacific region offset by declines in Europe and Japan.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 Cell</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Red Cell disposables revenue increased 8.2% compared to the first quarter of fiscal year 2009. Foreign exchange accounted for an increase of 1.4% in the quarter over the comparable period in fiscal year 2008. The remaining 6.8% of growth was driven by increased disposables sales due to additional equipment placements over the last year in North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PATIENT PRODUCTS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Patient product line includes the following brand platforms: the Cell Saver® brand, the Haemoscope® products and the OrthoPAT® brand. Patient disposables revenue increased 25.2% for the first quarter of fiscal year 2009 compared to the first quarter of fiscal year 2008. Foreign exchange resulted in a 5% increase in Patient disposables revenue during the quarter. The remaining increase of 20.2% for the quarter was the result of increases in each of the product lines,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Surgical &amp; Diagnostic</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Revenues from our surgical disposables and diagnostic products increased 34.0% for the first quarter of fiscal year 2009 as compared to the first quarter of fiscal year 2008. Surgical and diagnostic disposables revenue consists principally of the Cell Saver, CardioPAT, and Haemoscope products. Foreign exchange resulted in a 5.7% increase in surgical and diagnostic disposables revenue during the quarter. Without the effect of currency, surgical disposables and diagnostic revenue increased 28.3% for the quarter. The growth is principally driven by the impact of adding the TEG® product line to the surgical product portfolio through acquisitions of Haemoscope in third quarter fiscal year 2008 and Medicell in the first quarter fiscal year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OrthoPAT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OrthoPAT disposables revenue increased 7.4% for the first quarter of fiscal year 2009 as compared to the first quarter of fiscal year 2008. Foreign exchange resulted in a 3.6% increase in OrthoPAT disposables revenue during the quarter. Without foreign exchange, revenues increased by 3.8% for the quarter. This growth was driven by increases in Japan and Europe.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4"/>
                <w:szCs w:val="14"/>
                <w:color w:val="auto"/>
              </w:rPr>
            </w:pPr>
          </w:p>
        </w:tc>
      </w:tr>
      <w:tr>
        <w:trPr>
          <w:trHeight w:val="14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5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June 28, 2008</w:t>
            </w:r>
          </w:p>
        </w:tc>
        <w:tc>
          <w:tcPr>
            <w:tcW w:w="124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June 30, 2007</w:t>
            </w:r>
          </w:p>
        </w:tc>
        <w:tc>
          <w:tcPr>
            <w:tcW w:w="2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2"/>
                <w:szCs w:val="12"/>
                <w:color w:val="auto"/>
              </w:rPr>
            </w:pPr>
          </w:p>
        </w:tc>
      </w:tr>
      <w:tr>
        <w:trPr>
          <w:trHeight w:val="210"/>
        </w:trPr>
        <w:tc>
          <w:tcPr>
            <w:tcW w:w="3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70"/>
        </w:trPr>
        <w:tc>
          <w:tcPr>
            <w:tcW w:w="3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r>
    </w:tbl>
    <w:p>
      <w:pPr>
        <w:sectPr>
          <w:pgSz w:w="11900" w:h="16900" w:orient="portrait"/>
          <w:cols w:equalWidth="0" w:num="1">
            <w:col w:w="11400"/>
          </w:cols>
          <w:pgMar w:left="240" w:top="125" w:right="25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Solutions &amp; services</w:t>
            </w:r>
          </w:p>
        </w:tc>
        <w:tc>
          <w:tcPr>
            <w:tcW w:w="1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8,289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6,968</w:t>
            </w:r>
          </w:p>
        </w:tc>
        <w:tc>
          <w:tcPr>
            <w:tcW w:w="2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revenues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18,588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17,124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software and services revenues include revenue from software sales and services revenues from repairs performed under preventive maintenance contracts or emergency service visits, spare part sales, and various service and training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Software solutions and services revenues increased 1.4% for the first quarter of fiscal year 2009 as compared to the first quarter of fiscal year 2008. Software solutions revenues increased 28.3% as compared to the first quarter of fiscal year 2008. Foreign exchange did not impact the results as sales were primarily in U.S. Dollars. The remaining increase was driven by increased sales to commercial plasma customers. Services revenues declined 35.2% as compared to the first quarter of fiscal year 2008. Without foreign exchange, revenues decreased by 44.4% for the quarter compared to the same period in fiscal year 2008. The decrease in revenues is primarily due to the completion of a non recurring consulting contract in North America where service was performed through much of fiscal year 2008 and was completed toward the end of fiscal year 2008.</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equipment sales increased 19.0% for the first quarter of fiscal year 2009 as compared to the first quarter of fiscal year 2008. Foreign exchange resulted in a 6.4% increase in equipment revenue during the quarter. The remaining increase of 12.6% relates to platelet equipment sales primarily in Latin America, Plasma equipment sales in Asia Pacific, and surgical equipment sales in Europe and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 ended</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June 28, 2008</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4"/>
              </w:rPr>
              <w:t>June 30, 2007</w:t>
            </w:r>
          </w:p>
        </w:tc>
        <w:tc>
          <w:tcPr>
            <w:tcW w:w="280" w:type="dxa"/>
            <w:vAlign w:val="bottom"/>
          </w:tcPr>
          <w:p>
            <w:pPr>
              <w:spacing w:after="0"/>
              <w:rPr>
                <w:sz w:val="12"/>
                <w:szCs w:val="12"/>
                <w:color w:val="auto"/>
              </w:rPr>
            </w:pPr>
          </w:p>
        </w:tc>
        <w:tc>
          <w:tcPr>
            <w:tcW w:w="14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Increase</w:t>
            </w:r>
          </w:p>
        </w:tc>
      </w:tr>
      <w:tr>
        <w:trPr>
          <w:trHeight w:val="210"/>
        </w:trPr>
        <w:tc>
          <w:tcPr>
            <w:tcW w:w="3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Gross Profit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73,037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61,494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r>
      <w:tr>
        <w:trPr>
          <w:trHeight w:val="234"/>
        </w:trPr>
        <w:tc>
          <w:tcPr>
            <w:tcW w:w="36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50.7%</w:t>
            </w:r>
          </w:p>
        </w:tc>
        <w:tc>
          <w:tcPr>
            <w:tcW w:w="1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Gross profit increased 18.8% as compared to the first quarter of fiscal year 2008. Foreign exchange resulted in a 5.9% increase for the quarter in gross profit as compared to fiscal year 2008. The remaining increase of 12.9% for the quarter was due primarily to the net increase in sales. Excluding foreign exchange impact, our gross profit margin percent remained constant.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 /</w:t>
            </w:r>
          </w:p>
        </w:tc>
        <w:tc>
          <w:tcPr>
            <w:tcW w:w="0" w:type="dxa"/>
            <w:vAlign w:val="bottom"/>
          </w:tcPr>
          <w:p>
            <w:pPr>
              <w:spacing w:after="0"/>
              <w:rPr>
                <w:sz w:val="1"/>
                <w:szCs w:val="1"/>
                <w:color w:val="auto"/>
              </w:rPr>
            </w:pPr>
          </w:p>
        </w:tc>
      </w:tr>
      <w:tr>
        <w:trPr>
          <w:trHeight w:val="142"/>
        </w:trPr>
        <w:tc>
          <w:tcPr>
            <w:tcW w:w="3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6"/>
              </w:rPr>
              <w:t>June 28, 2008</w:t>
            </w:r>
          </w:p>
        </w:tc>
        <w:tc>
          <w:tcPr>
            <w:tcW w:w="12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June 30, 2007</w:t>
            </w:r>
          </w:p>
        </w:tc>
        <w:tc>
          <w:tcPr>
            <w:tcW w:w="280" w:type="dxa"/>
            <w:vAlign w:val="bottom"/>
          </w:tcPr>
          <w:p>
            <w:pPr>
              <w:spacing w:after="0"/>
              <w:rPr>
                <w:sz w:val="12"/>
                <w:szCs w:val="12"/>
                <w:color w:val="auto"/>
              </w:rPr>
            </w:pPr>
          </w:p>
        </w:tc>
        <w:tc>
          <w:tcPr>
            <w:tcW w:w="15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development and engineering</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5,844</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6,276</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net revenues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47,859</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39,439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net revenues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53,703</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45,715</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37.3%</w:t>
            </w:r>
          </w:p>
        </w:tc>
        <w:tc>
          <w:tcPr>
            <w:tcW w:w="7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Research, development and engineering expenses decreased 6.9% for the first quarter of fiscal year 2009 as compared to the first quarter of fiscal year 2008. The decrease in the quarter is a result of lower spending in certain core technology projects partly offset by increased research and development investments in the Arryx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fiscal year 2009, selling, general and administrative expenses increased 21.3%. Foreign exchange resulted in a 6.5% increase in selling, general and administrative during the quarter. Excluding the impact of foreign exchange, selling, general and administrative expense increased 14.8% for the first quarter. The increase was due largely to expenses brought on from recent acquisitions of Haemoscope, Medicell, and Infonalé that had not been reflected in the first quarter of fiscal year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6"/>
          </w:tcPr>
          <w:p>
            <w:pPr>
              <w:ind w:left="400"/>
              <w:spacing w:after="0"/>
              <w:rPr>
                <w:sz w:val="20"/>
                <w:szCs w:val="20"/>
                <w:color w:val="auto"/>
              </w:rPr>
            </w:pPr>
            <w:r>
              <w:rPr>
                <w:rFonts w:ascii="Arial" w:cs="Arial" w:eastAsia="Arial" w:hAnsi="Arial"/>
                <w:sz w:val="14"/>
                <w:szCs w:val="14"/>
                <w:b w:val="1"/>
                <w:bCs w:val="1"/>
                <w:color w:val="auto"/>
              </w:rPr>
              <w:t>For the three months ended</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4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June 28, 2008</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4"/>
              </w:rPr>
              <w:t>June 30, 2007</w:t>
            </w:r>
          </w:p>
        </w:tc>
        <w:tc>
          <w:tcPr>
            <w:tcW w:w="280" w:type="dxa"/>
            <w:vAlign w:val="bottom"/>
          </w:tcPr>
          <w:p>
            <w:pPr>
              <w:spacing w:after="0"/>
              <w:rPr>
                <w:sz w:val="12"/>
                <w:szCs w:val="12"/>
                <w:color w:val="auto"/>
              </w:rPr>
            </w:pPr>
          </w:p>
        </w:tc>
        <w:tc>
          <w:tcPr>
            <w:tcW w:w="14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Increase</w:t>
            </w:r>
          </w:p>
        </w:tc>
      </w:tr>
      <w:tr>
        <w:trPr>
          <w:trHeight w:val="210"/>
        </w:trPr>
        <w:tc>
          <w:tcPr>
            <w:tcW w:w="3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r>
      <w:tr>
        <w:trPr>
          <w:trHeight w:val="216"/>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11"/>
        </w:trPr>
        <w:tc>
          <w:tcPr>
            <w:tcW w:w="3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bl>
    <w:p>
      <w:pPr>
        <w:sectPr>
          <w:pgSz w:w="11900" w:h="16900" w:orient="portrait"/>
          <w:cols w:equalWidth="0" w:num="1">
            <w:col w:w="11400"/>
          </w:cols>
          <w:pgMar w:left="240" w:top="140" w:right="25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13.4%</w:t>
            </w:r>
          </w:p>
        </w:tc>
        <w:tc>
          <w:tcPr>
            <w:tcW w:w="2540" w:type="dxa"/>
            <w:vAlign w:val="bottom"/>
            <w:shd w:val="clear" w:color="auto" w:fill="CCEEFF"/>
          </w:tcPr>
          <w:p>
            <w:pPr>
              <w:jc w:val="right"/>
              <w:ind w:right="1430"/>
              <w:spacing w:after="0"/>
              <w:rPr>
                <w:sz w:val="20"/>
                <w:szCs w:val="20"/>
                <w:color w:val="auto"/>
              </w:rPr>
            </w:pPr>
            <w:r>
              <w:rPr>
                <w:rFonts w:ascii="Arial" w:cs="Arial" w:eastAsia="Arial" w:hAnsi="Arial"/>
                <w:sz w:val="18"/>
                <w:szCs w:val="18"/>
                <w:b w:val="1"/>
                <w:bCs w:val="1"/>
                <w:color w:val="auto"/>
              </w:rPr>
              <w:t>12.9%</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Operating income increased 22.5% for the first quarter of fiscal year 2009 as compared to the first quarter of fiscal year 2008. Foreign exchange resulted in a 6.2% increase in operating income during the quarter. Without the effects of foreign currency, operating income increased 16.3% for the quarter due primarily to sales and gross profit growth, partially offset by increases in operating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3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6"/>
              </w:rPr>
              <w:t>June 28, 2008</w:t>
            </w:r>
          </w:p>
        </w:tc>
        <w:tc>
          <w:tcPr>
            <w:tcW w:w="12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June 30, 2007</w:t>
            </w:r>
          </w:p>
        </w:tc>
        <w:tc>
          <w:tcPr>
            <w:tcW w:w="280" w:type="dxa"/>
            <w:vAlign w:val="bottom"/>
          </w:tcPr>
          <w:p>
            <w:pPr>
              <w:spacing w:after="0"/>
              <w:rPr>
                <w:sz w:val="12"/>
                <w:szCs w:val="12"/>
                <w:color w:val="auto"/>
              </w:rPr>
            </w:pPr>
          </w:p>
        </w:tc>
        <w:tc>
          <w:tcPr>
            <w:tcW w:w="15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210"/>
        </w:trPr>
        <w:tc>
          <w:tcPr>
            <w:tcW w:w="3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1,903</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21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Total other income,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2,653</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(62.1)%</w:t>
            </w:r>
          </w:p>
        </w:tc>
      </w:tr>
      <w:tr>
        <w:trPr>
          <w:trHeight w:val="20"/>
        </w:trPr>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net decreased 62.1% during the first quarter of fiscal year 2009 as compared to the first quarter of fiscal year 2008 due to the net of the</w:t>
      </w:r>
    </w:p>
    <w:p>
      <w:pPr>
        <w:spacing w:after="0" w:line="46" w:lineRule="exact"/>
        <w:rPr>
          <w:sz w:val="20"/>
          <w:szCs w:val="20"/>
          <w:color w:val="auto"/>
        </w:rPr>
      </w:pPr>
    </w:p>
    <w:p>
      <w:pPr>
        <w:ind w:firstLine="8"/>
        <w:spacing w:after="0" w:line="254"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interest income due to lower invested cash resulting from acquisitions and the Company’s share repurchase program, (ii) decrease in interest expense resulting from lower average fixed rate debt outstanding, and (iii) decrease in other income associated with hedge points on forward contracts. Points on forward contracts are amounts, either expensed or earned, based on the interest rate differential between two foreign currencies in a forward hedge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three months ended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37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June 28, 2008</w:t>
            </w:r>
          </w:p>
        </w:tc>
        <w:tc>
          <w:tcPr>
            <w:tcW w:w="28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June 30, 2007</w:t>
            </w:r>
          </w:p>
        </w:tc>
        <w:tc>
          <w:tcPr>
            <w:tcW w:w="2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80" w:type="dxa"/>
            <w:vAlign w:val="bottom"/>
            <w:tcBorders>
              <w:bottom w:val="single" w:sz="8" w:color="CCEEFF"/>
            </w:tcBorders>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 Income Tax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reported tax rate includes two principal components: an annual effective tax rate and discrete items that are recorded in the quarter that an event occurs.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Events or items that give rise to discrete recognition include finalizing audit examinations for open tax years and a statute of limitation’s expiration.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rates were 29.5% and 31.2% for the three month periods ended June 28, 2008 and June 30, 2007, respectively.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June 28, 2008, the reported tax rate includes a 35.1% annual effective tax rate. The annual effective tax rate reflects the expiration of federal research and development credits and a shift away from investing in tax-exempt interest bearing assets. Additionally, during the quarter, the reported tax rate also involved a $1.1 million reversal (or a 560 basis point rate reduction) of previously accrued foreign income taxes in Japan due to the expiration of the statute of limitations.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expect our annual effective tax rate to be approximately 35.1% for the remainder of fiscal year 2009.</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of March 29, 2008, our unrecognized tax benefits totaled approximately $5.2 million which, if recognized, would favorably affect our effective tax rate in future periods. Each year the statute of limitations for income tax returns filed in various jurisdictions closes, sometimes without adjustments. In addition to the expiration of the statute of limitations in Japan during the three months ended June 28, 2008, approximately $1.1 million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unrecognized tax benefits may be recognized through the end of the fiscal year if the statute of limitations closes in various jurisdictions and no adjustment is made to our tax position. Total unrecognized tax benefits on June 28, 2008 were $4.2 million.</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historic practice has been and continues to be to recognize interest and penalties related to federal, state, and foreign income tax matters in income tax expense. Approximately $0.85 million and $0.8 million are accrued for interest at June 28, 2008 and March 29, 2008, respectively.</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17" w:lineRule="exact"/>
        <w:rPr>
          <w:sz w:val="20"/>
          <w:szCs w:val="20"/>
          <w:color w:val="auto"/>
        </w:rPr>
      </w:pPr>
    </w:p>
    <w:p>
      <w:pPr>
        <w:ind w:left="7040"/>
        <w:spacing w:after="0"/>
        <w:tabs>
          <w:tab w:leader="none" w:pos="8600" w:val="left"/>
        </w:tabs>
        <w:rPr>
          <w:sz w:val="20"/>
          <w:szCs w:val="20"/>
          <w:color w:val="auto"/>
        </w:rPr>
      </w:pPr>
      <w:r>
        <w:rPr>
          <w:rFonts w:ascii="Arial" w:cs="Arial" w:eastAsia="Arial" w:hAnsi="Arial"/>
          <w:sz w:val="14"/>
          <w:szCs w:val="14"/>
          <w:b w:val="1"/>
          <w:bCs w:val="1"/>
          <w:color w:val="auto"/>
        </w:rPr>
        <w:t>June 28, 2008</w:t>
      </w:r>
      <w:r>
        <w:rPr>
          <w:sz w:val="20"/>
          <w:szCs w:val="20"/>
          <w:color w:val="auto"/>
        </w:rPr>
        <w:tab/>
      </w:r>
      <w:r>
        <w:rPr>
          <w:rFonts w:ascii="Arial" w:cs="Arial" w:eastAsia="Arial" w:hAnsi="Arial"/>
          <w:sz w:val="13"/>
          <w:szCs w:val="13"/>
          <w:b w:val="1"/>
          <w:bCs w:val="1"/>
          <w:color w:val="auto"/>
        </w:rPr>
        <w:t>March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6350</wp:posOffset>
            </wp:positionV>
            <wp:extent cx="1903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7761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tabs>
          <w:tab w:leader="none" w:pos="6760" w:val="left"/>
          <w:tab w:leader="none" w:pos="7520" w:val="left"/>
          <w:tab w:leader="none" w:pos="8380" w:val="left"/>
          <w:tab w:leader="none" w:pos="9160" w:val="left"/>
        </w:tabs>
        <w:rPr>
          <w:sz w:val="20"/>
          <w:szCs w:val="20"/>
          <w:color w:val="auto"/>
        </w:rPr>
      </w:pPr>
      <w:r>
        <w:rPr>
          <w:rFonts w:ascii="Arial" w:cs="Arial" w:eastAsia="Arial" w:hAnsi="Arial"/>
          <w:sz w:val="18"/>
          <w:szCs w:val="18"/>
          <w:color w:val="auto"/>
        </w:rPr>
        <w:t>Cash &amp; 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120,287</w:t>
        <w:tab/>
        <w:t>$</w:t>
      </w:r>
      <w:r>
        <w:rPr>
          <w:sz w:val="20"/>
          <w:szCs w:val="20"/>
          <w:color w:val="auto"/>
        </w:rPr>
        <w:tab/>
      </w:r>
      <w:r>
        <w:rPr>
          <w:rFonts w:ascii="Arial" w:cs="Arial" w:eastAsia="Arial" w:hAnsi="Arial"/>
          <w:sz w:val="16"/>
          <w:szCs w:val="16"/>
          <w:color w:val="auto"/>
        </w:rPr>
        <w:t>133,553</w:t>
      </w:r>
    </w:p>
    <w:p>
      <w:pPr>
        <w:sectPr>
          <w:pgSz w:w="11900" w:h="16838" w:orient="portrait"/>
          <w:cols w:equalWidth="0" w:num="1">
            <w:col w:w="11420"/>
          </w:cols>
          <w:pgMar w:left="240" w:top="140" w:right="23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Working capital</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256,530</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261,757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2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cash position (1)</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105,377</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121,190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2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21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cash position is the sum of cash and cash equivalents less total debt.</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option exercises. We believe these sources to be sufficient to fund our requirements, which are primarily capital expenditures and acquisitions, new business and product development, and working capital for at least the next twelve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Increase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June 28, 2008</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4"/>
              </w:rPr>
              <w:t>June 30, 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4"/>
          </w:tcPr>
          <w:p>
            <w:pPr>
              <w:jc w:val="right"/>
              <w:ind w:right="633"/>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13,842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(14,465)</w:t>
            </w: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(1)</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(decrease) / increase in cash and cash equivalents</w:t>
            </w:r>
          </w:p>
        </w:tc>
        <w:tc>
          <w:tcPr>
            <w:tcW w:w="2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(13,266</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(13,171</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60" w:type="dxa"/>
            <w:vAlign w:val="bottom"/>
            <w:vMerge w:val="restart"/>
          </w:tcPr>
          <w:p>
            <w:pPr>
              <w:jc w:val="right"/>
              <w:ind w:right="111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4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right="480" w:hanging="352"/>
        <w:spacing w:after="0" w:line="308" w:lineRule="auto"/>
        <w:tabs>
          <w:tab w:leader="none" w:pos="3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Through June 28, 2008, the Company repurchased approximately 515,000 shares of its common stock for an aggregate purchase price of $28.8 million. We reflect stock repurchases in our financial statements on a “trade date” basis and as Authorized Unissued (Haemonetics is a Massachusetts company and under Massachusetts law repurchased shares are treated as authorized but unissued). On June 28, 2008, we had a liability of $3.9 million in connection with share repurchase trades not yet settled. In May 2008, the Board of Directors set a $60.0 million share repurchase expenditure limit which was publicly announced. At June 28, 2008, we had $31.2 million remaining on the $60.0 million share repurchase limit set by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decreased by $0.3 million in the first three months of fiscal year 2009 as compared to 2008 due primarily to:</w:t>
      </w:r>
    </w:p>
    <w:p>
      <w:pPr>
        <w:spacing w:after="0" w:line="237" w:lineRule="exact"/>
        <w:rPr>
          <w:sz w:val="20"/>
          <w:szCs w:val="20"/>
          <w:color w:val="auto"/>
        </w:rPr>
      </w:pPr>
    </w:p>
    <w:p>
      <w:pPr>
        <w:ind w:left="660" w:right="12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$9.8 million increased investment in Accounts Receivable due to an increase in sales and the number of days sales outstanding over the same quarter last year, partly offset by</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$3.2 million decreased investment in Inventories over the same quarter last year, a $3.8 million increase in Accounts Payable and Accrued Expenses, and a $1.6 million increase in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Net cash used in investing activities increased during the first three months of fiscal year 2009 as compared to 2008 due primarily to the $2.4 million acquisition of Medicell, a United Kingdom based distributor of our TEG®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decreased by $4.0 million in the first three months of fiscal year 2009 as compared to 2008 due primarily to:</w:t>
      </w:r>
    </w:p>
    <w:p>
      <w:pPr>
        <w:spacing w:after="0" w:line="225"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$6.0 million increase in net borrowings under short-term revolving credit agreements over the same quarter last year, offset by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$2.7 million decrease in exercise of stock options and tax benefit of 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Approximately 54% of our sales are generated outside the U.S. in local currencies, yet our reporting currency is the U.S. dollar. Our primary foreign currency exposures in relation to the U.S. dollar are the Japanese Yen and the Euro.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Hedging through the use of forward contracts does not eliminate the volatility of foreign exchange rates, but because we generally enter into forward contracts one year out,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at the available spot rate. Actual spot rate gains and losses on these contracts are recorded in sales, at the same time the underlying transactions being hedged are recorded.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a composite rate index for purposes of measuring, comparatively, the change in foreign currency hedge spot rates from the hedge spot rates of the corresponding period in the prior year. The relative value of currencies in the index is weighted by sales in those currencies. The composite was set at 1.00 based upon the weighted rates at March 31, 1997. The composite rate is presented in the period corresponding to the maturity of the underlying forward contracts.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favorable or (unfavorable) changes are in comparison to the same period of the prior year. A favorable change is presented when we will obtain relatively more U.S. dollars for each of the underlying foreign currencies than we did in the prior period. An unfavorable change is presented when we obtain relatively fewer U.S. dollars for each of the underlying foreign currencies than we did in the prior period. These indexed hedge rates impact sales, and as a result also gross profit, operating income and net income, in our consolidated financial statements. The final impact of currency fluctuations on the results of operations is dependent on the local currency amounts hedged and the actual local currency results.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Outlook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ind w:left="400"/>
              <w:spacing w:after="0"/>
              <w:rPr>
                <w:sz w:val="20"/>
                <w:szCs w:val="20"/>
                <w:color w:val="auto"/>
              </w:rPr>
            </w:pPr>
            <w:r>
              <w:rPr>
                <w:rFonts w:ascii="Arial" w:cs="Arial" w:eastAsia="Arial" w:hAnsi="Arial"/>
                <w:sz w:val="14"/>
                <w:szCs w:val="14"/>
                <w:b w:val="1"/>
                <w:bCs w:val="1"/>
                <w:color w:val="auto"/>
                <w:w w:val="93"/>
              </w:rPr>
              <w:t>Composite Index</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2"/>
          </w:tcPr>
          <w:p>
            <w:pPr>
              <w:ind w:left="300"/>
              <w:spacing w:after="0"/>
              <w:rPr>
                <w:sz w:val="20"/>
                <w:szCs w:val="20"/>
                <w:color w:val="auto"/>
              </w:rPr>
            </w:pPr>
            <w:r>
              <w:rPr>
                <w:rFonts w:ascii="Arial" w:cs="Arial" w:eastAsia="Arial" w:hAnsi="Arial"/>
                <w:sz w:val="14"/>
                <w:szCs w:val="14"/>
                <w:b w:val="1"/>
                <w:bCs w:val="1"/>
                <w:color w:val="auto"/>
              </w:rPr>
              <w:t>Favorable / (Unfavorable)</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1"/>
              </w:rPr>
              <w:t>Hedge Spot Rates</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 versus Prior Year</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w w:val="91"/>
              </w:rPr>
              <w:t>FY2004</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Q1</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1.13</w:t>
            </w: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Q2</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1.05</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Q3</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1.06</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Q4</w:t>
            </w:r>
          </w:p>
        </w:tc>
        <w:tc>
          <w:tcPr>
            <w:tcW w:w="1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1.01</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880"/>
              <w:spacing w:after="0"/>
              <w:rPr>
                <w:sz w:val="20"/>
                <w:szCs w:val="20"/>
                <w:color w:val="auto"/>
              </w:rPr>
            </w:pPr>
            <w:r>
              <w:rPr>
                <w:rFonts w:ascii="Arial" w:cs="Arial" w:eastAsia="Arial" w:hAnsi="Arial"/>
                <w:sz w:val="18"/>
                <w:szCs w:val="18"/>
                <w:b w:val="1"/>
                <w:bCs w:val="1"/>
                <w:color w:val="auto"/>
                <w:w w:val="86"/>
              </w:rPr>
              <w:t>2004 Total</w:t>
            </w: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1.06</w:t>
            </w:r>
          </w:p>
        </w:tc>
        <w:tc>
          <w:tcPr>
            <w:tcW w:w="280" w:type="dxa"/>
            <w:vAlign w:val="bottom"/>
            <w:vMerge w:val="continue"/>
          </w:tcPr>
          <w:p>
            <w:pPr>
              <w:spacing w:after="0"/>
              <w:rPr>
                <w:sz w:val="18"/>
                <w:szCs w:val="18"/>
                <w:color w:val="auto"/>
              </w:rPr>
            </w:pPr>
          </w:p>
        </w:tc>
        <w:tc>
          <w:tcPr>
            <w:tcW w:w="2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1060"/>
              <w:spacing w:after="0" w:line="201" w:lineRule="exact"/>
              <w:rPr>
                <w:sz w:val="20"/>
                <w:szCs w:val="20"/>
                <w:color w:val="auto"/>
              </w:rPr>
            </w:pPr>
            <w:r>
              <w:rPr>
                <w:rFonts w:ascii="Arial" w:cs="Arial" w:eastAsia="Arial" w:hAnsi="Arial"/>
                <w:sz w:val="18"/>
                <w:szCs w:val="18"/>
                <w:b w:val="1"/>
                <w:bCs w:val="1"/>
                <w:color w:val="auto"/>
              </w:rPr>
              <w:t>FY2005</w:t>
            </w:r>
          </w:p>
        </w:tc>
        <w:tc>
          <w:tcPr>
            <w:tcW w:w="280" w:type="dxa"/>
            <w:vAlign w:val="bottom"/>
          </w:tcPr>
          <w:p>
            <w:pPr>
              <w:spacing w:after="0"/>
              <w:rPr>
                <w:sz w:val="17"/>
                <w:szCs w:val="17"/>
                <w:color w:val="auto"/>
              </w:rPr>
            </w:pPr>
          </w:p>
        </w:tc>
        <w:tc>
          <w:tcPr>
            <w:tcW w:w="312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Q1</w:t>
            </w:r>
          </w:p>
        </w:tc>
        <w:tc>
          <w:tcPr>
            <w:tcW w:w="6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1"/>
              </w:rPr>
              <w:t>0.97</w:t>
            </w:r>
          </w:p>
        </w:tc>
        <w:tc>
          <w:tcPr>
            <w:tcW w:w="25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Q2</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0.99</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Q3</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0.92</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ind w:left="560"/>
              <w:spacing w:after="0"/>
              <w:rPr>
                <w:sz w:val="20"/>
                <w:szCs w:val="20"/>
                <w:color w:val="auto"/>
              </w:rPr>
            </w:pPr>
            <w:r>
              <w:rPr>
                <w:rFonts w:ascii="Arial" w:cs="Arial" w:eastAsia="Arial" w:hAnsi="Arial"/>
                <w:sz w:val="18"/>
                <w:szCs w:val="18"/>
                <w:color w:val="auto"/>
              </w:rPr>
              <w:t>Q4</w:t>
            </w:r>
          </w:p>
        </w:tc>
        <w:tc>
          <w:tcPr>
            <w:tcW w:w="148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0.89</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b w:val="1"/>
                <w:bCs w:val="1"/>
                <w:color w:val="auto"/>
              </w:rPr>
              <w:t>2005 Total</w:t>
            </w:r>
          </w:p>
        </w:tc>
        <w:tc>
          <w:tcPr>
            <w:tcW w:w="2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0.94</w:t>
            </w:r>
          </w:p>
        </w:tc>
        <w:tc>
          <w:tcPr>
            <w:tcW w:w="280" w:type="dxa"/>
            <w:vAlign w:val="bottom"/>
            <w:vMerge w:val="continue"/>
            <w:shd w:val="clear" w:color="auto" w:fill="CCEEFF"/>
          </w:tcPr>
          <w:p>
            <w:pPr>
              <w:spacing w:after="0"/>
              <w:rPr>
                <w:sz w:val="18"/>
                <w:szCs w:val="18"/>
                <w:color w:val="auto"/>
              </w:rPr>
            </w:pPr>
          </w:p>
        </w:tc>
        <w:tc>
          <w:tcPr>
            <w:tcW w:w="2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w w:val="91"/>
              </w:rPr>
              <w:t>FY2006</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Q1</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0.92</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Q2</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0.91</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Q3</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0.87</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Q4</w:t>
            </w:r>
          </w:p>
        </w:tc>
        <w:tc>
          <w:tcPr>
            <w:tcW w:w="1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0.86</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880"/>
              <w:spacing w:after="0"/>
              <w:rPr>
                <w:sz w:val="20"/>
                <w:szCs w:val="20"/>
                <w:color w:val="auto"/>
              </w:rPr>
            </w:pPr>
            <w:r>
              <w:rPr>
                <w:rFonts w:ascii="Arial" w:cs="Arial" w:eastAsia="Arial" w:hAnsi="Arial"/>
                <w:sz w:val="18"/>
                <w:szCs w:val="18"/>
                <w:b w:val="1"/>
                <w:bCs w:val="1"/>
                <w:color w:val="auto"/>
                <w:w w:val="86"/>
              </w:rPr>
              <w:t>2006 Total</w:t>
            </w: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0.89</w:t>
            </w:r>
          </w:p>
        </w:tc>
        <w:tc>
          <w:tcPr>
            <w:tcW w:w="280" w:type="dxa"/>
            <w:vAlign w:val="bottom"/>
            <w:vMerge w:val="continue"/>
          </w:tcPr>
          <w:p>
            <w:pPr>
              <w:spacing w:after="0"/>
              <w:rPr>
                <w:sz w:val="18"/>
                <w:szCs w:val="18"/>
                <w:color w:val="auto"/>
              </w:rPr>
            </w:pPr>
          </w:p>
        </w:tc>
        <w:tc>
          <w:tcPr>
            <w:tcW w:w="2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1060"/>
              <w:spacing w:after="0" w:line="201" w:lineRule="exact"/>
              <w:rPr>
                <w:sz w:val="20"/>
                <w:szCs w:val="20"/>
                <w:color w:val="auto"/>
              </w:rPr>
            </w:pPr>
            <w:r>
              <w:rPr>
                <w:rFonts w:ascii="Arial" w:cs="Arial" w:eastAsia="Arial" w:hAnsi="Arial"/>
                <w:sz w:val="18"/>
                <w:szCs w:val="18"/>
                <w:b w:val="1"/>
                <w:bCs w:val="1"/>
                <w:color w:val="auto"/>
              </w:rPr>
              <w:t>FY2007</w:t>
            </w:r>
          </w:p>
        </w:tc>
        <w:tc>
          <w:tcPr>
            <w:tcW w:w="280" w:type="dxa"/>
            <w:vAlign w:val="bottom"/>
          </w:tcPr>
          <w:p>
            <w:pPr>
              <w:spacing w:after="0"/>
              <w:rPr>
                <w:sz w:val="17"/>
                <w:szCs w:val="17"/>
                <w:color w:val="auto"/>
              </w:rPr>
            </w:pPr>
          </w:p>
        </w:tc>
        <w:tc>
          <w:tcPr>
            <w:tcW w:w="312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Q1</w:t>
            </w:r>
          </w:p>
        </w:tc>
        <w:tc>
          <w:tcPr>
            <w:tcW w:w="6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1"/>
              </w:rPr>
              <w:t>0.89</w:t>
            </w:r>
          </w:p>
        </w:tc>
        <w:tc>
          <w:tcPr>
            <w:tcW w:w="25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Q2</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0.92</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Q3</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0.96</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ind w:left="560"/>
              <w:spacing w:after="0"/>
              <w:rPr>
                <w:sz w:val="20"/>
                <w:szCs w:val="20"/>
                <w:color w:val="auto"/>
              </w:rPr>
            </w:pPr>
            <w:r>
              <w:rPr>
                <w:rFonts w:ascii="Arial" w:cs="Arial" w:eastAsia="Arial" w:hAnsi="Arial"/>
                <w:sz w:val="18"/>
                <w:szCs w:val="18"/>
                <w:color w:val="auto"/>
              </w:rPr>
              <w:t>Q4</w:t>
            </w:r>
          </w:p>
        </w:tc>
        <w:tc>
          <w:tcPr>
            <w:tcW w:w="148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0.95</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b w:val="1"/>
                <w:bCs w:val="1"/>
                <w:color w:val="auto"/>
              </w:rPr>
              <w:t>2007 Total</w:t>
            </w:r>
          </w:p>
        </w:tc>
        <w:tc>
          <w:tcPr>
            <w:tcW w:w="2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0.93</w:t>
            </w:r>
          </w:p>
        </w:tc>
        <w:tc>
          <w:tcPr>
            <w:tcW w:w="280" w:type="dxa"/>
            <w:vAlign w:val="bottom"/>
            <w:vMerge w:val="continue"/>
            <w:shd w:val="clear" w:color="auto" w:fill="CCEEFF"/>
          </w:tcPr>
          <w:p>
            <w:pPr>
              <w:spacing w:after="0"/>
              <w:rPr>
                <w:sz w:val="18"/>
                <w:szCs w:val="18"/>
                <w:color w:val="auto"/>
              </w:rPr>
            </w:pP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w w:val="91"/>
              </w:rPr>
              <w:t>FY2008</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Q1</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0.92</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Q2</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0.93</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Q3</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0.93</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Q4</w:t>
            </w:r>
          </w:p>
        </w:tc>
        <w:tc>
          <w:tcPr>
            <w:tcW w:w="1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0.93</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880"/>
              <w:spacing w:after="0"/>
              <w:rPr>
                <w:sz w:val="20"/>
                <w:szCs w:val="20"/>
                <w:color w:val="auto"/>
              </w:rPr>
            </w:pPr>
            <w:r>
              <w:rPr>
                <w:rFonts w:ascii="Arial" w:cs="Arial" w:eastAsia="Arial" w:hAnsi="Arial"/>
                <w:sz w:val="18"/>
                <w:szCs w:val="18"/>
                <w:b w:val="1"/>
                <w:bCs w:val="1"/>
                <w:color w:val="auto"/>
                <w:w w:val="86"/>
              </w:rPr>
              <w:t>2008 Total</w:t>
            </w: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0.93</w:t>
            </w:r>
          </w:p>
        </w:tc>
        <w:tc>
          <w:tcPr>
            <w:tcW w:w="280" w:type="dxa"/>
            <w:vAlign w:val="bottom"/>
            <w:vMerge w:val="continue"/>
          </w:tcPr>
          <w:p>
            <w:pPr>
              <w:spacing w:after="0"/>
              <w:rPr>
                <w:sz w:val="18"/>
                <w:szCs w:val="18"/>
                <w:color w:val="auto"/>
              </w:rPr>
            </w:pPr>
          </w:p>
        </w:tc>
        <w:tc>
          <w:tcPr>
            <w:tcW w:w="2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ind w:left="1060"/>
              <w:spacing w:after="0" w:line="201" w:lineRule="exact"/>
              <w:rPr>
                <w:sz w:val="20"/>
                <w:szCs w:val="20"/>
                <w:color w:val="auto"/>
              </w:rPr>
            </w:pPr>
            <w:r>
              <w:rPr>
                <w:rFonts w:ascii="Arial" w:cs="Arial" w:eastAsia="Arial" w:hAnsi="Arial"/>
                <w:sz w:val="18"/>
                <w:szCs w:val="18"/>
                <w:b w:val="1"/>
                <w:bCs w:val="1"/>
                <w:color w:val="auto"/>
              </w:rPr>
              <w:t>FY2009</w:t>
            </w:r>
          </w:p>
        </w:tc>
        <w:tc>
          <w:tcPr>
            <w:tcW w:w="280" w:type="dxa"/>
            <w:vAlign w:val="bottom"/>
          </w:tcPr>
          <w:p>
            <w:pPr>
              <w:spacing w:after="0"/>
              <w:rPr>
                <w:sz w:val="17"/>
                <w:szCs w:val="17"/>
                <w:color w:val="auto"/>
              </w:rPr>
            </w:pPr>
          </w:p>
        </w:tc>
        <w:tc>
          <w:tcPr>
            <w:tcW w:w="312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Q1</w:t>
            </w:r>
          </w:p>
        </w:tc>
        <w:tc>
          <w:tcPr>
            <w:tcW w:w="6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1"/>
              </w:rPr>
              <w:t>0.92</w:t>
            </w:r>
          </w:p>
        </w:tc>
        <w:tc>
          <w:tcPr>
            <w:tcW w:w="25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Q2</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0.90</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Q3</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0.86</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ind w:left="560"/>
              <w:spacing w:after="0"/>
              <w:rPr>
                <w:sz w:val="20"/>
                <w:szCs w:val="20"/>
                <w:color w:val="auto"/>
              </w:rPr>
            </w:pPr>
            <w:r>
              <w:rPr>
                <w:rFonts w:ascii="Arial" w:cs="Arial" w:eastAsia="Arial" w:hAnsi="Arial"/>
                <w:sz w:val="18"/>
                <w:szCs w:val="18"/>
                <w:color w:val="auto"/>
              </w:rPr>
              <w:t>Q4</w:t>
            </w:r>
          </w:p>
        </w:tc>
        <w:tc>
          <w:tcPr>
            <w:tcW w:w="148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0.82</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b w:val="1"/>
                <w:bCs w:val="1"/>
                <w:color w:val="auto"/>
              </w:rPr>
              <w:t>2009 Total</w:t>
            </w:r>
          </w:p>
        </w:tc>
        <w:tc>
          <w:tcPr>
            <w:tcW w:w="2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0.87</w:t>
            </w:r>
          </w:p>
        </w:tc>
        <w:tc>
          <w:tcPr>
            <w:tcW w:w="280" w:type="dxa"/>
            <w:vAlign w:val="bottom"/>
            <w:vMerge w:val="continue"/>
            <w:shd w:val="clear" w:color="auto" w:fill="CCEEFF"/>
          </w:tcPr>
          <w:p>
            <w:pPr>
              <w:spacing w:after="0"/>
              <w:rPr>
                <w:sz w:val="18"/>
                <w:szCs w:val="18"/>
                <w:color w:val="auto"/>
              </w:rPr>
            </w:pPr>
          </w:p>
        </w:tc>
        <w:tc>
          <w:tcPr>
            <w:tcW w:w="2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20"/>
          </w:cols>
          <w:pgMar w:left="240" w:top="341" w:right="239" w:bottom="144"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No. 162, which will provide framework for selecting accounting principles to be used in preparing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w:t>
      </w:r>
      <w:r>
        <w:rPr>
          <w:rFonts w:ascii="Arial" w:cs="Arial" w:eastAsia="Arial" w:hAnsi="Arial"/>
          <w:sz w:val="18"/>
          <w:szCs w:val="18"/>
          <w:i w:val="1"/>
          <w:iCs w:val="1"/>
          <w:color w:val="auto"/>
        </w:rPr>
        <w:t>”</w:t>
      </w:r>
      <w:r>
        <w:rPr>
          <w:rFonts w:ascii="Arial" w:cs="Arial" w:eastAsia="Arial" w:hAnsi="Arial"/>
          <w:sz w:val="18"/>
          <w:szCs w:val="18"/>
          <w:color w:val="auto"/>
        </w:rPr>
        <w:t>. With the issuance of SFAS No. 162, the GAAP hierarchy for nongovernmental entities will move from auditing literature to accounting literature</w:t>
      </w:r>
      <w:r>
        <w:rPr>
          <w:rFonts w:ascii="Arial" w:cs="Arial" w:eastAsia="Arial" w:hAnsi="Arial"/>
          <w:sz w:val="17"/>
          <w:szCs w:val="17"/>
          <w:color w:val="auto"/>
        </w:rPr>
        <w:t>.</w:t>
      </w:r>
      <w:r>
        <w:rPr>
          <w:rFonts w:ascii="Arial" w:cs="Arial" w:eastAsia="Arial" w:hAnsi="Arial"/>
          <w:sz w:val="18"/>
          <w:szCs w:val="18"/>
          <w:color w:val="auto"/>
        </w:rPr>
        <w:t xml:space="preserve"> SFAS No. 162 will be effective 60 days following the SEC’s approval of the Public Company Accounting Oversight Board (PCAOB) amendments to AU Section 411, “The Meaning of Present Fairly in Conformity With Generally Accepted Accounting Principles”. We are currently evaluating the potential impact of SFAS No. 162 on our financial position and results of operations.</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annual periods beginning on or after November 15, 2008. We are currently evaluating the potential impact of SFAS No. 161 on our financial position and results of operations. This statement is effective for our fiscal year 2010.</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141(R)”). In SFAS 141(R), the FASB retained the fundamental requirements of Statement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SFAS No. 141(R) on our financial position and results of operations. This statement is effective for our fiscal year 2010.</w:t>
      </w:r>
    </w:p>
    <w:p>
      <w:pPr>
        <w:spacing w:after="0" w:line="19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In December 2007, the FASB issued SFAS No. 160 </w:t>
      </w:r>
      <w:r>
        <w:rPr>
          <w:rFonts w:ascii="Arial" w:cs="Arial" w:eastAsia="Arial" w:hAnsi="Arial"/>
          <w:sz w:val="17"/>
          <w:szCs w:val="17"/>
          <w:i w:val="1"/>
          <w:iCs w:val="1"/>
          <w:color w:val="auto"/>
        </w:rPr>
        <w:t>“</w:t>
      </w:r>
      <w:r>
        <w:rPr>
          <w:rFonts w:ascii="Arial" w:cs="Arial" w:eastAsia="Arial" w:hAnsi="Arial"/>
          <w:sz w:val="17"/>
          <w:szCs w:val="17"/>
          <w:color w:val="auto"/>
        </w:rPr>
        <w:t>Noncontrolling Interests in Consolidated Financial Statements - an amendment of ARB No. 51</w:t>
      </w:r>
      <w:r>
        <w:rPr>
          <w:rFonts w:ascii="Arial" w:cs="Arial" w:eastAsia="Arial" w:hAnsi="Arial"/>
          <w:sz w:val="17"/>
          <w:szCs w:val="17"/>
          <w:i w:val="1"/>
          <w:iCs w:val="1"/>
          <w:color w:val="auto"/>
        </w:rPr>
        <w:t>”</w:t>
      </w:r>
      <w:r>
        <w:rPr>
          <w:rFonts w:ascii="Arial" w:cs="Arial" w:eastAsia="Arial" w:hAnsi="Arial"/>
          <w:sz w:val="17"/>
          <w:szCs w:val="17"/>
          <w:color w:val="auto"/>
        </w:rPr>
        <w:t xml:space="preserve">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SFAS No. 160 eliminates the diversity that currently exists in accounting for transactions between an entity and noncontrolling interests by requiring they be treated as equity transactions. SFAS No. 160 is effective for annual periods beginning on or after December 15, 2008. We are currently evaluating the potential impact of SFAS No. 160 on our financial position and results of operations. This statement is effective for our fiscal year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requirements, the effect of economic and political conditions, the impact of competitive products and pricing, price volatility in petroleum products (plastics are the principal component of our disposables, which are the main source of our revenues),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ectPr>
          <w:pgSz w:w="11900" w:h="16838" w:orient="portrait"/>
          <w:cols w:equalWidth="0" w:num="1">
            <w:col w:w="11420"/>
          </w:cols>
          <w:pgMar w:left="240" w:top="125" w:right="239" w:bottom="181" w:gutter="0" w:footer="0" w:header="0"/>
        </w:sectPr>
      </w:pPr>
    </w:p>
    <w:bookmarkStart w:id="21" w:name="page22"/>
    <w:bookmarkEnd w:id="21"/>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June 28, 2008, we had the following significant foreign exchange contracts to hedge the anticipated cash flows from forecasted foreign currency denominated sales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Hedged</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(BUY) / SELL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Weighted Spot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6"/>
              </w:rPr>
              <w:t>Weighted Forward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right"/>
              <w:ind w:right="439"/>
              <w:spacing w:after="0"/>
              <w:rPr>
                <w:sz w:val="20"/>
                <w:szCs w:val="20"/>
                <w:color w:val="auto"/>
              </w:rPr>
            </w:pPr>
            <w:r>
              <w:rPr>
                <w:rFonts w:ascii="Arial" w:cs="Arial" w:eastAsia="Arial" w:hAnsi="Arial"/>
                <w:sz w:val="14"/>
                <w:szCs w:val="14"/>
                <w:b w:val="1"/>
                <w:bCs w:val="1"/>
                <w:color w:val="auto"/>
              </w:rPr>
              <w:t>Fair Value</w:t>
            </w:r>
          </w:p>
        </w:tc>
        <w:tc>
          <w:tcPr>
            <w:tcW w:w="19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Local Currency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Contract Rate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3"/>
              </w:rPr>
              <w:t>Contract Rate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5,448,000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8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(958,046)</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 2008 - Aug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Euro</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8,000,000</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1.440</w:t>
            </w:r>
          </w:p>
        </w:tc>
        <w:tc>
          <w:tcPr>
            <w:tcW w:w="82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1.440</w:t>
            </w:r>
          </w:p>
        </w:tc>
        <w:tc>
          <w:tcPr>
            <w:tcW w:w="8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(812,165)</w:t>
            </w:r>
          </w:p>
        </w:tc>
        <w:tc>
          <w:tcPr>
            <w:tcW w:w="1980" w:type="dxa"/>
            <w:vAlign w:val="bottom"/>
            <w:gridSpan w:val="2"/>
          </w:tcPr>
          <w:p>
            <w:pPr>
              <w:jc w:val="right"/>
              <w:ind w:right="120"/>
              <w:spacing w:after="0"/>
              <w:rPr>
                <w:sz w:val="20"/>
                <w:szCs w:val="20"/>
                <w:color w:val="auto"/>
              </w:rPr>
            </w:pPr>
            <w:r>
              <w:rPr>
                <w:rFonts w:ascii="Arial" w:cs="Arial" w:eastAsia="Arial" w:hAnsi="Arial"/>
                <w:sz w:val="16"/>
                <w:szCs w:val="16"/>
                <w:color w:val="auto"/>
              </w:rPr>
              <w:t>Sep 2008 - Nov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9,400,000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8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(576,499)</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 2008 - Feb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Euro</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12,800,000</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1.568</w:t>
            </w:r>
          </w:p>
        </w:tc>
        <w:tc>
          <w:tcPr>
            <w:tcW w:w="82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1.544</w:t>
            </w:r>
          </w:p>
        </w:tc>
        <w:tc>
          <w:tcPr>
            <w:tcW w:w="820" w:type="dxa"/>
            <w:vAlign w:val="bottom"/>
          </w:tcPr>
          <w:p>
            <w:pPr>
              <w:spacing w:after="0"/>
              <w:rPr>
                <w:sz w:val="17"/>
                <w:szCs w:val="17"/>
                <w:color w:val="auto"/>
              </w:rPr>
            </w:pP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164,888</w:t>
            </w:r>
          </w:p>
        </w:tc>
        <w:tc>
          <w:tcPr>
            <w:tcW w:w="220" w:type="dxa"/>
            <w:vAlign w:val="bottom"/>
          </w:tcPr>
          <w:p>
            <w:pPr>
              <w:spacing w:after="0"/>
              <w:rPr>
                <w:sz w:val="17"/>
                <w:szCs w:val="17"/>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6"/>
                <w:szCs w:val="16"/>
                <w:color w:val="auto"/>
              </w:rPr>
              <w:t>Mar 2009 - May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Japanese Yen</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938,000,000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US$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US$</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(209,559)</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 2008 - Aug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Japanese Yen</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1,220,000,000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112.9</w:t>
            </w:r>
          </w:p>
        </w:tc>
        <w:tc>
          <w:tcPr>
            <w:tcW w:w="820" w:type="dxa"/>
            <w:vAlign w:val="bottom"/>
          </w:tcPr>
          <w:p>
            <w:pPr>
              <w:ind w:left="40"/>
              <w:spacing w:after="0"/>
              <w:rPr>
                <w:sz w:val="20"/>
                <w:szCs w:val="20"/>
                <w:color w:val="auto"/>
              </w:rPr>
            </w:pPr>
            <w:r>
              <w:rPr>
                <w:rFonts w:ascii="Arial" w:cs="Arial" w:eastAsia="Arial" w:hAnsi="Arial"/>
                <w:sz w:val="16"/>
                <w:szCs w:val="16"/>
                <w:color w:val="auto"/>
              </w:rPr>
              <w:t>per US$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109.2</w:t>
            </w:r>
          </w:p>
        </w:tc>
        <w:tc>
          <w:tcPr>
            <w:tcW w:w="820" w:type="dxa"/>
            <w:vAlign w:val="bottom"/>
          </w:tcPr>
          <w:p>
            <w:pPr>
              <w:ind w:left="40"/>
              <w:spacing w:after="0"/>
              <w:rPr>
                <w:sz w:val="20"/>
                <w:szCs w:val="20"/>
                <w:color w:val="auto"/>
              </w:rPr>
            </w:pPr>
            <w:r>
              <w:rPr>
                <w:rFonts w:ascii="Arial" w:cs="Arial" w:eastAsia="Arial" w:hAnsi="Arial"/>
                <w:sz w:val="16"/>
                <w:szCs w:val="16"/>
                <w:color w:val="auto"/>
              </w:rPr>
              <w:t>per US$</w:t>
            </w: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79"/>
              <w:spacing w:after="0"/>
              <w:rPr>
                <w:sz w:val="20"/>
                <w:szCs w:val="20"/>
                <w:color w:val="auto"/>
              </w:rPr>
            </w:pPr>
            <w:r>
              <w:rPr>
                <w:rFonts w:ascii="Arial" w:cs="Arial" w:eastAsia="Arial" w:hAnsi="Arial"/>
                <w:sz w:val="16"/>
                <w:szCs w:val="16"/>
                <w:color w:val="auto"/>
              </w:rPr>
              <w:t>(182,939)</w:t>
            </w:r>
          </w:p>
        </w:tc>
        <w:tc>
          <w:tcPr>
            <w:tcW w:w="1980" w:type="dxa"/>
            <w:vAlign w:val="bottom"/>
            <w:gridSpan w:val="2"/>
          </w:tcPr>
          <w:p>
            <w:pPr>
              <w:jc w:val="right"/>
              <w:ind w:right="120"/>
              <w:spacing w:after="0"/>
              <w:rPr>
                <w:sz w:val="20"/>
                <w:szCs w:val="20"/>
                <w:color w:val="auto"/>
              </w:rPr>
            </w:pPr>
            <w:r>
              <w:rPr>
                <w:rFonts w:ascii="Arial" w:cs="Arial" w:eastAsia="Arial" w:hAnsi="Arial"/>
                <w:sz w:val="16"/>
                <w:szCs w:val="16"/>
                <w:color w:val="auto"/>
              </w:rPr>
              <w:t>Jun - Aug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Japanese Yen</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1,200,000,000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US$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US$</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266,176</w:t>
            </w:r>
          </w:p>
        </w:tc>
        <w:tc>
          <w:tcPr>
            <w:tcW w:w="22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 - Nov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Japanese Yen</w:t>
            </w:r>
          </w:p>
        </w:tc>
        <w:tc>
          <w:tcPr>
            <w:tcW w:w="15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1,195,000,000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105.3</w:t>
            </w:r>
          </w:p>
        </w:tc>
        <w:tc>
          <w:tcPr>
            <w:tcW w:w="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per US$</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103.3</w:t>
            </w:r>
          </w:p>
        </w:tc>
        <w:tc>
          <w:tcPr>
            <w:tcW w:w="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per US$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316,190</w:t>
            </w:r>
          </w:p>
        </w:tc>
        <w:tc>
          <w:tcPr>
            <w:tcW w:w="22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Dec 2008 - Feb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99"/>
              </w:rPr>
              <w:t>Total:</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(1,991,954</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$12.3 million increase in the fair value of the forward contracts; whereas a 10% weakening of the US dollar would result in a $13.3 million decrease in the fair value of the forward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June 28, 2008, the fair value of our long-term debt was approximately $0.8 million higher than the value of the debt reflected on our financial statements. This higher fair market is entirely related to the $6.7 million remaining principal balance of the original $10.0 million, 8.41% real estate mortgage due January, 2016.</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June 28, 2008, the fair value of our long-term debt would change by approximately $0.1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conducted an evaluation, as of June 28, 2008,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15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No change in the Company’s internal control over financial reporting occurred during the three months ended June 28, 2008 that has materially affected, or is reasonably likely to materially affect, the Company’s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u w:val="single" w:color="auto"/>
          <w:color w:val="auto"/>
        </w:rPr>
        <w:t>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29, 2008,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Through June 28, 2008, the Company repurchased 514,970 shares of its common stock for an aggregate purchase price of $28.8 million. All of the purchases during the quarter were made under the publicly announced program. All purchases were made in the open market. We reflect stock repurchases in our financial statements on a “trade date” basis and as Authorized Unissued (Haemonetics is a Massachusetts company and under Massachusetts law repurchased</w:t>
      </w:r>
    </w:p>
    <w:p>
      <w:pPr>
        <w:sectPr>
          <w:pgSz w:w="11900" w:h="16912" w:orient="portrait"/>
          <w:cols w:equalWidth="0" w:num="1">
            <w:col w:w="11420"/>
          </w:cols>
          <w:pgMar w:left="240" w:top="125" w:right="239" w:bottom="0" w:gutter="0" w:footer="0" w:header="0"/>
        </w:sectPr>
      </w:pPr>
    </w:p>
    <w:bookmarkStart w:id="22" w:name="page23"/>
    <w:bookmarkEnd w:id="22"/>
    <w:p>
      <w:pPr>
        <w:jc w:val="both"/>
        <w:ind w:right="180"/>
        <w:spacing w:after="0" w:line="264" w:lineRule="auto"/>
        <w:rPr>
          <w:sz w:val="20"/>
          <w:szCs w:val="20"/>
          <w:color w:val="auto"/>
        </w:rPr>
      </w:pPr>
      <w:r>
        <w:rPr>
          <w:rFonts w:ascii="Arial" w:cs="Arial" w:eastAsia="Arial" w:hAnsi="Arial"/>
          <w:sz w:val="18"/>
          <w:szCs w:val="18"/>
          <w:color w:val="auto"/>
        </w:rPr>
        <w:t>shares are treated as authorized but unissued). On June 28, 2008 we had a liability of $3.9 million in connection with share repurchase trades not yet settled. In May 2008, the Board of Directors set a $60.0 million share repurchase expenditure limit which was publicly announced. At June 28, 2008 we had $31.2 million remaining on the $60.0 million share repurchase limit set by the Board of Directors.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Total Dollar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 per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including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Repurchased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Commissions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30, 2008 to April 26, 2008</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April 27, 2008 to May 24, 2008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295,562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54.57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16,128,367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43,871,633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25, 2007 to June 28, 2008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12,693,212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31,178,421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514,970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28,821,579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31,178,421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28, 2008, the Company had 25.6 million basic weighted average shares of its Common Stock outstanding.</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Defaults upon Senior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25" w:lineRule="exact"/>
        <w:rPr>
          <w:sz w:val="20"/>
          <w:szCs w:val="20"/>
          <w:color w:val="auto"/>
        </w:rPr>
      </w:pPr>
    </w:p>
    <w:p>
      <w:pPr>
        <w:ind w:left="1860" w:right="440" w:hanging="674"/>
        <w:spacing w:after="0" w:line="277" w:lineRule="auto"/>
        <w:tabs>
          <w:tab w:leader="none" w:pos="1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Brad Nutter, President and Chief Executive Officer of the Company</w:t>
      </w:r>
    </w:p>
    <w:p>
      <w:pPr>
        <w:spacing w:after="0" w:line="170" w:lineRule="exact"/>
        <w:rPr>
          <w:sz w:val="20"/>
          <w:szCs w:val="20"/>
          <w:color w:val="auto"/>
        </w:rPr>
      </w:pPr>
    </w:p>
    <w:p>
      <w:pPr>
        <w:ind w:left="1860" w:right="620" w:hanging="674"/>
        <w:spacing w:after="0" w:line="277" w:lineRule="auto"/>
        <w:tabs>
          <w:tab w:leader="none" w:pos="1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Vice President and Chief Financial Officer of the Company</w:t>
      </w:r>
    </w:p>
    <w:p>
      <w:pPr>
        <w:spacing w:after="0" w:line="170"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United States Code Section 1350, as adopted Pursuant to Section 906 of the Sarbanes-Oxley Act of</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2002, of Brad Nutter, President and Chief Executive Officer of the Company</w:t>
      </w:r>
    </w:p>
    <w:p>
      <w:pPr>
        <w:spacing w:after="0" w:line="211"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United States Code Section 1350, as adopted Pursuant to Section 906 of the Sarbanes-Oxley Act of</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2002, of Christopher Lindop, Vice President and Chief Financial Officer of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HAEMONETICS CORPORATION</w:t>
            </w:r>
          </w:p>
        </w:tc>
      </w:tr>
      <w:tr>
        <w:trPr>
          <w:trHeight w:val="648"/>
        </w:trPr>
        <w:tc>
          <w:tcPr>
            <w:tcW w:w="5580" w:type="dxa"/>
            <w:vAlign w:val="bottom"/>
          </w:tcPr>
          <w:p>
            <w:pPr>
              <w:spacing w:after="0"/>
              <w:rPr>
                <w:sz w:val="20"/>
                <w:szCs w:val="20"/>
                <w:color w:val="auto"/>
              </w:rPr>
            </w:pPr>
            <w:r>
              <w:rPr>
                <w:rFonts w:ascii="Arial" w:cs="Arial" w:eastAsia="Arial" w:hAnsi="Arial"/>
                <w:sz w:val="18"/>
                <w:szCs w:val="18"/>
                <w:color w:val="auto"/>
              </w:rPr>
              <w:t>Date: August 6, 2008</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Brad Nutter</w:t>
            </w:r>
          </w:p>
        </w:tc>
      </w:tr>
      <w:tr>
        <w:trPr>
          <w:trHeight w:val="195"/>
        </w:trPr>
        <w:tc>
          <w:tcPr>
            <w:tcW w:w="558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Brad Nutter, Chairman and Chief Executive Officer</w:t>
            </w:r>
          </w:p>
        </w:tc>
      </w:tr>
      <w:tr>
        <w:trPr>
          <w:trHeight w:val="230"/>
        </w:trPr>
        <w:tc>
          <w:tcPr>
            <w:tcW w:w="55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580" w:type="dxa"/>
            <w:vAlign w:val="bottom"/>
          </w:tcPr>
          <w:p>
            <w:pPr>
              <w:spacing w:after="0"/>
              <w:rPr>
                <w:sz w:val="20"/>
                <w:szCs w:val="20"/>
                <w:color w:val="auto"/>
              </w:rPr>
            </w:pPr>
            <w:r>
              <w:rPr>
                <w:rFonts w:ascii="Arial" w:cs="Arial" w:eastAsia="Arial" w:hAnsi="Arial"/>
                <w:sz w:val="18"/>
                <w:szCs w:val="18"/>
                <w:color w:val="auto"/>
              </w:rPr>
              <w:t>Date: August 6, 2008</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Christopher Lindop</w:t>
            </w:r>
          </w:p>
        </w:tc>
      </w:tr>
      <w:tr>
        <w:trPr>
          <w:trHeight w:val="201"/>
        </w:trPr>
        <w:tc>
          <w:tcPr>
            <w:tcW w:w="5580" w:type="dxa"/>
            <w:vAlign w:val="bottom"/>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 Chief Financial Officer and Vice</w:t>
            </w:r>
          </w:p>
        </w:tc>
      </w:tr>
      <w:tr>
        <w:trPr>
          <w:trHeight w:val="222"/>
        </w:trPr>
        <w:tc>
          <w:tcPr>
            <w:tcW w:w="55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President Business Development (Principal Financial Officer)</w:t>
            </w:r>
          </w:p>
        </w:tc>
      </w:tr>
    </w:tbl>
    <w:p>
      <w:pPr>
        <w:spacing w:after="0" w:line="200" w:lineRule="exact"/>
        <w:rPr>
          <w:sz w:val="20"/>
          <w:szCs w:val="20"/>
          <w:color w:val="auto"/>
        </w:rPr>
      </w:pPr>
    </w:p>
    <w:p>
      <w:pPr>
        <w:sectPr>
          <w:pgSz w:w="11900" w:h="16838" w:orient="portrait"/>
          <w:cols w:equalWidth="0" w:num="1">
            <w:col w:w="11420"/>
          </w:cols>
          <w:pgMar w:left="240" w:top="125" w:right="239" w:bottom="852" w:gutter="0" w:footer="0" w:header="0"/>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52"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 Nutter,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Brad Nutter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 Nutter,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Christopher Lindop, Chief Financial Officer and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Business Development (Principal Financial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28, 2008 as filed with the Securities and Exchange Commission on the date hereof (the “Report”), I, Brad Nutter,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Brad Nutter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Brad Nutter,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36531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28, 2008 as filed with the Securities and Exchange Commission on the date hereof (the “Report”), I, Christopher Lindop, Vice President and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00" w:lineRule="exact"/>
        <w:rPr>
          <w:sz w:val="20"/>
          <w:szCs w:val="20"/>
          <w:color w:val="auto"/>
        </w:rPr>
      </w:pPr>
    </w:p>
    <w:p>
      <w:pPr>
        <w:spacing w:after="0" w:line="24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-130810</wp:posOffset>
            </wp:positionV>
            <wp:extent cx="36963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Financial Officer and Vice President Business</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Development</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2019-12-13T09:20:01Z</dcterms:created>
  <dcterms:modified xsi:type="dcterms:W3CDTF">2019-12-13T09:20:01Z</dcterms:modified>
</cp:coreProperties>
</file>