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26,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January 23, 2016: 50,847,663</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Consolidated Statements of (Loss) Income and Comprehensive (Loss) Income - Three and Nine Months Ended December 26,</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2015 and December 27, 2014</w:t>
              </w:r>
            </w:hyperlink>
          </w:p>
        </w:tc>
        <w:tc>
          <w:tcPr>
            <w:tcW w:w="7720" w:type="dxa"/>
            <w:vAlign w:val="bottom"/>
            <w:tcBorders>
              <w:top w:val="single" w:sz="8" w:color="0000EE"/>
            </w:tcBorders>
            <w:gridSpan w:val="11"/>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86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 - December 26, 2015 and Audited Consolidated Balance Sheet - March 28, 2015</w:t>
              </w:r>
            </w:hyperlink>
          </w:p>
        </w:tc>
        <w:tc>
          <w:tcPr>
            <w:tcW w:w="15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 Nine Months Ended December 26, 2015 and December 27, 2014</w:t>
              </w:r>
            </w:hyperlink>
          </w:p>
        </w:tc>
        <w:tc>
          <w:tcPr>
            <w:tcW w:w="174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628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21">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7">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INCOME AND COMPREHENSIVE (LOSS)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6"/>
              </w:rPr>
              <w:t>December 27,</w:t>
            </w:r>
          </w:p>
        </w:tc>
        <w:tc>
          <w:tcPr>
            <w:tcW w:w="240" w:type="dxa"/>
            <w:vAlign w:val="bottom"/>
          </w:tcPr>
          <w:p>
            <w:pPr>
              <w:spacing w:after="0"/>
              <w:rPr>
                <w:sz w:val="13"/>
                <w:szCs w:val="13"/>
                <w:color w:val="auto"/>
              </w:rPr>
            </w:pPr>
          </w:p>
        </w:tc>
        <w:tc>
          <w:tcPr>
            <w:tcW w:w="12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w w:val="96"/>
              </w:rPr>
              <w:t>December 26,</w:t>
            </w:r>
          </w:p>
        </w:tc>
        <w:tc>
          <w:tcPr>
            <w:tcW w:w="24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27,</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231,827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666,490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683,895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124,529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120,166</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349,799</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357,842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111,661</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316,691</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326,053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10,643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33,816</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78,940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82,512</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240,946</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259,383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 and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85,048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93,401</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355,083</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(61,177)</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18,260</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(38,392)</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29,002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(6,756)</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(Loss) income before (benefit from) provision for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15,952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(45,148)</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21,506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1,696</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(59,440)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15,988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(46,844)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19,827</w:t>
            </w:r>
          </w:p>
        </w:tc>
      </w:tr>
      <w:tr>
        <w:trPr>
          <w:trHeight w:val="311"/>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(loss)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51,432</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50,927</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51,521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51,962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50,927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52,024</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10,841</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26,</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160,662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$2,251 at December 26, 2015 and $1,749 at March 28, 2015</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148,774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145,827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211,077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11,995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12,608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40,103</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501,363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570,277</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321,948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5"/>
              </w:rPr>
              <w:t>Intangible assets, less accumulated amortization of $177,424 at December 26, 2015 and $133,175 at March 28, 2015</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214,809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244,588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334,310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3,023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11,271</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1,336,422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21,522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48,425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51,115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1,791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3,819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64,211</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175,334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189,092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380,814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406,369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32,097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31,737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$0.01 par value; Authorized — 150,000,000 shares; Issued and outstanding — 50,798,396 shares at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26, 2015 and 51,670,969 shares at March 28, 2015</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435,477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426,964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420,365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(41,349)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(21,724)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719,552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826,122</w:t>
            </w: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1,336,422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3"/>
                <w:szCs w:val="13"/>
                <w:color w:val="auto"/>
              </w:rPr>
            </w:pPr>
          </w:p>
        </w:tc>
        <w:tc>
          <w:tcPr>
            <w:tcW w:w="136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(46,844)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19,827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63,891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Impairment of goodwill and intangible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85,048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10,219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Deferred tax benefit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Loss on sale of property, plant and equipment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(gain)/loss from hedging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inventories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(17,906)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other assets and other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(18,834)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accounts payable and accrued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(100,143)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short-term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192,469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105,167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125,200</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6,271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taxes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Transfers from inventory to fixed assets for placement of Haemonetics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5,755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380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nine months ended December 26, 2015 are not necessarily indicative of the results that may be expected for the full fiscal year ending April 2, 2016, or any other interim period. Operating results for the nine months ended December 26, 2015 include the correction of an understatement of the provision for income taxes in fiscal 2015, as well as the correction of an overstated liability in fiscal 2014, both of which were determined to be immaterial to all periods impacted. Absent these corrections, our net income for the nine months ended December 26, 2015 would have been $1.1</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million lower than the amount included in the accompanying Consolidated Statements of (Loss) Income and Comprehensive (Loss) Income. These unaudited consolidated financial statements should be read in conjunction with our audited consolidated financial statements and footnotes included in our annual report on Form 10-K for the fiscal year ended March 28, 2015.</w:t>
      </w:r>
    </w:p>
    <w:p>
      <w:pPr>
        <w:spacing w:after="0" w:line="19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2016 includes 53 weeks with each of the first three quarters having 13 weeks and the fourth quarter having 14 weeks. Fiscal year 2015 included 52 weeks with each quarter having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For additional information regarding significant accounting policies, refer to our annual report on Form 10-K for the fiscal year ended March 28, 2015.</w:t>
      </w:r>
    </w:p>
    <w:p>
      <w:pPr>
        <w:spacing w:after="0" w:line="174" w:lineRule="exact"/>
        <w:rPr>
          <w:sz w:val="20"/>
          <w:szCs w:val="20"/>
          <w:color w:val="auto"/>
        </w:rPr>
      </w:pPr>
    </w:p>
    <w:p>
      <w:pPr>
        <w:ind w:right="734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No. 2014-08,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(Topic 205) and Property, Plant, and Equipment (Topic 360): Reporting Discontinued Operations and Disclosures of Disposals of Components of an Entity</w:t>
      </w:r>
      <w:r>
        <w:rPr>
          <w:rFonts w:ascii="Arial" w:cs="Arial" w:eastAsia="Arial" w:hAnsi="Arial"/>
          <w:sz w:val="17"/>
          <w:szCs w:val="17"/>
          <w:color w:val="auto"/>
        </w:rPr>
        <w:t>. ASU No. 2014-08 limits the requirement to report discontinued operations to disposals of components of an entity that represent strategic shifts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We adopted ASU No. 2014-08 beginning in the first quarter of fiscal 2016. The adoption of ASU No. 2014-08 did not impact our financial position or results of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 2014-09 on our financial position and results of operations is being assessed by management.</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an Award Provide That a Performance Target Could Be Achieved after the Requisite Service Period</w:t>
      </w:r>
      <w:r>
        <w:rPr>
          <w:rFonts w:ascii="Arial" w:cs="Arial" w:eastAsia="Arial" w:hAnsi="Arial"/>
          <w:sz w:val="17"/>
          <w:szCs w:val="17"/>
          <w:color w:val="auto"/>
        </w:rPr>
        <w:t>. ASU No. 2014-12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position or results of operations.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Income Statement-Extraordinary and Unusual Items (Subtopic 225-20): Simplifying Income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by Eliminating the Concept of Extraordinary Items</w:t>
      </w:r>
      <w:r>
        <w:rPr>
          <w:rFonts w:ascii="Arial" w:cs="Arial" w:eastAsia="Arial" w:hAnsi="Arial"/>
          <w:sz w:val="18"/>
          <w:szCs w:val="18"/>
          <w:color w:val="auto"/>
        </w:rPr>
        <w:t>. ASU No. 2015-01 eliminates from GAAP the concept of extraordinary items. An entity will</w:t>
      </w:r>
      <w:r>
        <w:rPr>
          <w:rFonts w:ascii="Arial" w:cs="Arial" w:eastAsia="Arial" w:hAnsi="Arial"/>
          <w:sz w:val="18"/>
          <w:szCs w:val="18"/>
          <w:i w:val="1"/>
          <w:iCs w:val="1"/>
          <w:color w:val="auto"/>
        </w:rPr>
        <w:t xml:space="preserve"> </w:t>
      </w:r>
      <w:r>
        <w:rPr>
          <w:rFonts w:ascii="Arial" w:cs="Arial" w:eastAsia="Arial" w:hAnsi="Arial"/>
          <w:sz w:val="18"/>
          <w:szCs w:val="18"/>
          <w:color w:val="auto"/>
        </w:rPr>
        <w:t>no longer be required to (1) segregate an extraordinary item from the results of ordinary operations; (2) separately present an extraordinary item on its income statement, net of tax, after income from continuing operations; and (3) disclose income taxes and earnings-per-share data applicable to an extraordinary item. ASU No. 2015-01 will be effective for fiscal years beginning after December 15, 2015. An entity may apply the amendments prospectively or retrospectively to all prior periods presented in the financial statements. Early adoption is permitted provided that the guidance is applied from the beginning of the fiscal year of adoption. Management does not believe that the adoption of ASU No. 2015-01 will have a material effect on our financial position or results of operations.</w:t>
      </w:r>
    </w:p>
    <w:p>
      <w:pPr>
        <w:spacing w:after="0" w:line="19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ASU No. 2015-02 amended the process that a reporting entity must perform to determine whether it should consolidate certain types of legal entities. ASU No. 2015-02 is effective for annual periods ending after December 15, 2015, and for annual periods and interim periods thereafter with early adoption permitted. Management does not believe that the adoption of ASU No. 2015-02 will have a material effect on our financial position or results of operations.</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ASU No. 2015-03 requires that debt issuance costs related to a recognized debt liability be presented in the balance sheet as a direct deduction from the carrying amount of that debt liability, consistent with debt discounts. This guidance simplifies the presentation of debt issuance costs but does not address presentation or subsequent measurement of debt issue costs related to line of credit arrangements. In August 2015, the FASB issued ASU No. 2015-15, </w:t>
      </w:r>
      <w:r>
        <w:rPr>
          <w:rFonts w:ascii="Arial" w:cs="Arial" w:eastAsia="Arial" w:hAnsi="Arial"/>
          <w:sz w:val="16"/>
          <w:szCs w:val="16"/>
          <w:i w:val="1"/>
          <w:iCs w:val="1"/>
          <w:color w:val="auto"/>
        </w:rPr>
        <w:t xml:space="preserve">Interest—Imputation of Interest (Subtopic 835-30): Presentation and Subsequent Measurement of Debt Issuance Costs Associated with Line-of-Credit Arrangements. </w:t>
      </w:r>
      <w:r>
        <w:rPr>
          <w:rFonts w:ascii="Arial" w:cs="Arial" w:eastAsia="Arial" w:hAnsi="Arial"/>
          <w:sz w:val="16"/>
          <w:szCs w:val="16"/>
          <w:color w:val="auto"/>
        </w:rPr>
        <w:t>ASU No. 2015-15 indicates that the SEC staff would not object to an entity deferring and presenting debt issuance costs related to line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arrangements as an asset and subsequently amortizing the deferred debt issuance costs over the term of the line of credit arrangement, regardless of whether there are any outstanding borrowings on the line of credit arrangement. ASU No. 2015-03 is effective for annual periods beginning after December 15, 2015, and interim periods within those annual periods. Early adoption is permitted. Management does not believe that the adoption of ASU No. 2015-03 will have a material effect on our financial position or results of operations.</w:t>
      </w:r>
    </w:p>
    <w:p>
      <w:pPr>
        <w:spacing w:after="0" w:line="16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In April 2015, the FASB issued ASU No. 2015-04, </w:t>
      </w:r>
      <w:r>
        <w:rPr>
          <w:rFonts w:ascii="Arial" w:cs="Arial" w:eastAsia="Arial" w:hAnsi="Arial"/>
          <w:sz w:val="18"/>
          <w:szCs w:val="18"/>
          <w:i w:val="1"/>
          <w:iCs w:val="1"/>
          <w:color w:val="auto"/>
        </w:rPr>
        <w:t>Compensation—Retirement Benefits (Topic 715): Practical Expedient for the Measurement Date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Employer’s Defined Benefit Obligation and Plan Assets. </w:t>
      </w:r>
      <w:r>
        <w:rPr>
          <w:rFonts w:ascii="Arial" w:cs="Arial" w:eastAsia="Arial" w:hAnsi="Arial"/>
          <w:sz w:val="18"/>
          <w:szCs w:val="18"/>
          <w:color w:val="auto"/>
        </w:rPr>
        <w:t>ASU No. 2015-04 provides a practical expedient, for an entity with a fiscal year-end that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coincide with a month-end, that permits the entity to measure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t>defined benefit plan assets and obligations using the month-end that is closest to the entity's fiscal year-end and apply that practical expedient consistently from year to year. ASU No. 2015-04 is effective for fiscal years beginning after December 15, 2015, and interim periods within those fiscal years. Early application is permitted. Management does not believe that the adoption of ASU No. 2015-04 will have a material effect on our financial position or results of operations.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ASU No. 2015-05 will help entities evaluate the accounting for fees paid by a customer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ASU No. 2015-05 is effective for interim and annual periods beginning after December 15, 2015 with early adoption permitted. Management does not believe that the adoption of ASU No. 2015-05 will have a material effect on our financial position or results of operations.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ASU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ASU No. 2015-11 is effective for annual reporting periods beginning after December 15, 2016 and interim periods within those fiscal years. ASU No. 2015-11 should be applied prospectively with earlier application permitted as of the beginning of an interim or annual reporting period. Management does not believe that the adoption of ASU No. 2015-11 will have a material effect on our financial position or results of operations.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2015, the FASB issued ASU No. 2015-12, </w:t>
      </w:r>
      <w:r>
        <w:rPr>
          <w:rFonts w:ascii="Arial" w:cs="Arial" w:eastAsia="Arial" w:hAnsi="Arial"/>
          <w:sz w:val="17"/>
          <w:szCs w:val="17"/>
          <w:i w:val="1"/>
          <w:iCs w:val="1"/>
          <w:color w:val="auto"/>
        </w:rPr>
        <w:t>Plan Accounting: Defined Benefit Pension Plans (Topic 960), Defined Contribution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7"/>
          <w:szCs w:val="17"/>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is effective for fiscal years beginning after December 15, 2015 with early adoption permitted. Management does not believe that the adoption of ASU No. 2015-12 will have a material effect on our financial position or results of operations.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ASU No. 2015-17 simplifies the presentation of deferred taxes on a classified balance sheet. Currently under GAAP, deferred income tax assets and liabilities are separated into current and non-current amounts in the balance sheet. ASU No. 2015-17 requires that all deferred tax assets and liabilities be classified as non-current in the balance sheet. ASU No. 2015-17 is effective for annual periods beginning after December 15, 2016, and interim periods within those annual periods, with early adoption permitted. Management believes the adoption of ASU No. 2015-17 will have an impact on our financial statement presentation, but will not have a material effect on our financial position or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3"/>
                <w:szCs w:val="13"/>
                <w:color w:val="auto"/>
              </w:rPr>
            </w:pPr>
          </w:p>
        </w:tc>
        <w:tc>
          <w:tcPr>
            <w:tcW w:w="13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0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15,988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51,432</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share</w:t>
            </w:r>
          </w:p>
        </w:tc>
        <w:tc>
          <w:tcPr>
            <w:tcW w:w="38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0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15,988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51,432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51,962</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384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720" w:type="dxa"/>
            <w:vAlign w:val="bottom"/>
            <w:vMerge w:val="restart"/>
          </w:tcPr>
          <w:p>
            <w:pPr>
              <w:jc w:val="right"/>
              <w:ind w:right="2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7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26,</w:t>
            </w:r>
          </w:p>
        </w:tc>
        <w:tc>
          <w:tcPr>
            <w:tcW w:w="220" w:type="dxa"/>
            <w:vAlign w:val="bottom"/>
          </w:tcPr>
          <w:p>
            <w:pPr>
              <w:spacing w:after="0"/>
              <w:rPr>
                <w:sz w:val="13"/>
                <w:szCs w:val="13"/>
                <w:color w:val="auto"/>
              </w:rPr>
            </w:pPr>
          </w:p>
        </w:tc>
        <w:tc>
          <w:tcPr>
            <w:tcW w:w="13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794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19,827</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51,521</w:t>
            </w:r>
          </w:p>
        </w:tc>
      </w:tr>
      <w:tr>
        <w:trPr>
          <w:trHeight w:val="29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(loss) income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0.38</w:t>
            </w:r>
          </w:p>
        </w:tc>
      </w:tr>
      <w:tr>
        <w:trPr>
          <w:trHeight w:val="23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19,827</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51,521</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503</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52,024</w:t>
            </w:r>
          </w:p>
        </w:tc>
      </w:tr>
      <w:tr>
        <w:trPr>
          <w:trHeight w:val="257"/>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Diluted (loss) income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0.38</w:t>
            </w:r>
          </w:p>
        </w:tc>
      </w:tr>
      <w:tr>
        <w:trPr>
          <w:trHeight w:val="20"/>
        </w:trPr>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and nine months ended December 26, 2015, we recognized a net loss; therefore we excluded the impact of outstanding stock awards from the diluted loss per share calculation as their inclusion would have an anti-dilutive effect. Weighted average shares outstanding, assuming dilution, excludes the impact of 1.7 million and 1.6 million anti-dilutive shares for the three and nine months ended December 27,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stock-based compensation expense of $6.2 million and $10.2 million was recognized for the nine months ended December 26, 2015 and December 27, 2014, respectively. There was no related income tax benefit recognized for the nine months ended December 26, 2015 and the related income tax benefit recognized for the nine months ended December 27, 2014 was $3.3 million.</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weighted average fair value for our options granted was $7.41 and $7.89 per share for the nine months ended December 26, 2015 and December 27, 2014, respectively. The assumptions utilized for estimating the fair value of option grants during the periods presented are as follows:</w:t>
      </w:r>
    </w:p>
    <w:p>
      <w:pPr>
        <w:spacing w:after="0" w:line="12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26,</w:t>
            </w: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27,</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26, 2015, there was $18.2 million of total unrecognized compensation cost related to non-vested equity based compensation, including stock options, restricted stock units, market stock units and performance share units. This cost is expected to be recognized over a weighted average period of 2.9 years.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December 26, 2015 and December 27, 2014, there were 145,334 and 183,808 shares, respectively, purchased under the Employee Stock Purchase Plan at an average price of $29.87 and $25.92 per share,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3"/>
                <w:szCs w:val="13"/>
                <w:color w:val="auto"/>
              </w:rPr>
            </w:pPr>
          </w:p>
        </w:tc>
        <w:tc>
          <w:tcPr>
            <w:tcW w:w="136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890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539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Testing and Charges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ASC Topic 350, Intangibles - Goodwill and Other, goodwill and intangible assets determined to have indefinite useful lives are not amortized. Instead these assets are evaluated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Our reporting units for purposes of assessing goodwill impairment are the same as our operating segments, which are organized primarily based on geography and include: North America Plasma, Americas Blood Center and Hospital, Europe, Middle East, and Africa (collectively "EMEA"), Asia-Pacific and Japan. The North America Plasma reporting unit is a separate operating segment with dedicated segment management due the size and scale of the plasma business.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third quarter of each fiscal year, we prepare our long term projections for net revenues, income and operating cash flows. The economic weakness in EMEA, particularly Russia, and declines in our U.S. blood center collections have negatively impacted earnings before interest, taxes, depreciation, and amortization ("EBITDA") and net revenues for our EMEA and Americas Blood Center and Hospital reporting units. Because of these market conditions and key uncertainties, including the market rate of adoption of our new products and the negative impact of intense competitive pressure on pricing and market share, we lowered our expectations in terms of the timing and amount of our future revenue, income and cash flows. As a result, we concluded in the third quarter of fiscal 2016 that indicators of potential goodwill impairment were present for the EMEA and Americas Blood Center and Hospital reporting units, therefore requiring an interim test for goodwill impairment.</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ASC Topic 350, we prepared a “Step 1” Test that compared the estimated fair value of each reporting unit to its carrying value. We utilized a discounted cash flow approach in order to value our reporting units for the Step 1 Test, which required that we forecast future cash flows of the reporting units and discount the cash flow stream based upon a weighted average cost of capital that was derived, in part, from comparable companies within similar industries. The discounted cash flow calculations also included a terminal value calculation that was based upon an expected long-term growth rate for the applicable reporting unit. We believe that our procedures for estimating discounted future cash flows, including the terminal valuation, are reasonable and consistent with market conditions at the time of estimation.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results of the Step 1 Test performed in the third quarter of fiscal 2016 indicated that the estimated fair value of all of our reporting units exceeded their respective carrying values, with the exception of EMEA, for which we recorded an estimated goodwill impairment charge, as discussed below. Based on this Step 1 analysis, the reporting unit that is most at risk of impairment in future periods is the Americas Blood Center and Hospital, which has an excess fair value over carrying value of approximately 25.8% and has allocated goodwill of $175.9 million as of December 26, 2015.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 result of the carrying value of the EMEA reporting unit exceeding its estimated fair value, a "Step 2" Test is required for this reporting unit. The Step 2 Test measures the impairment loss by allocating the estimated fair value of the reporting unit, as determined in Step 1, to the reporting units’ assets and liabilities, with the residual amount representing the implied fair value of goodwill. To the extent the implied fair value of goodwill is less than the carrying value, an impairment loss is recognized.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Step 2 Test under ASC Topic 350 requires us to perform a theoretical purchase price allocation for the EMEA reporting unit to determine the implied fair value of goodwill as of the evaluation date. Due to the complexity of the analysis required to complete the Step 2 Test and the timing of our determination of the Step 1 goodwill impairment, we have not yet finalized our Step 2 Test, however, we have completed a preliminary assessment of the expected impact of the Step 1 and Step 2 Tests using reasonable estimates of discounted cash flows and for the theoretical purchase price allocation. Based on this assessment, we have recorded a preliminary estimate of the goodwill impairment loss for the third quarter and first nine months ended December 26, 2015 of $66.3 million, which represents the entire goodwill balance allocated to EMEA. This charge does not impact our liquidity, cash flows from operations, future operations, or compliance with debt covenants.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preliminary estimates of goodwill impairment loss will be finalized prior to the issuance of our Form 10-K for the year ended April 2, 2016 as part of our annual evaluation as of the first day of our fiscal fourth quarter. We believe that the preliminary estimate of goodwill impairment loss is reasonable and represents our best estimate of the goodwill impairment loss to be incurred; however, it is possible that when the year-end tests are completed we may be required to record a material adjustment to this preliminary estimate.</w:t>
      </w:r>
    </w:p>
    <w:p>
      <w:pPr>
        <w:spacing w:after="0" w:line="187"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The following procedures are, among others, the more significant analyses that we need to complete to finalize our year end Step 2 Tests for the EMEA reporting unit:</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 appraisals to determine the estimated fair value of identifiable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 analysis to determine the estimated fair value adjustment required to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 deferred tax analysis.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preliminary Step 2 Tests, we made what we considered to be reasonable estimates of each of the above items in order to determine our preliminary best estimate of the goodwill impairment loss under the theoretical purchase price allocation required for Step 2 Tests by ASC Topic 350. The completion of the final analyses described above may result in significant changes to the estimates used and therefore may have a significant impact on the final goodwill impairment loss recorded for fiscal 2016. In addition, we may identify other issues during the completion of the Step 2 Tests that may have a significant impact on the final goodwill impairment loss recorded for fiscal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2016 and 2015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29, 2014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336,768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(2,458)</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28, 2015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(66,305)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Carrying amount as of December 26, 2015</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266,945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Impairment</w:t>
      </w:r>
    </w:p>
    <w:p>
      <w:pPr>
        <w:spacing w:after="0" w:line="1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April 2013, we acquired a patented red cell storage solution, referred to as SOLX, from Hemerus Medical, LLC for cash consideration of $24.1 million plus an agreement to make certain future payments accounted for as contingent consideration.</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third quarter of fiscal 2016, we received U.S. Food and Drug Administration clearance for the SOLX solution with a Haemonetics whole blood filter. Currently, the vast majority of the U.S. market utilizes a red cell filter, not a whole blood filter, for whole blood collection procedures as they seek to optimize blood component yield from each collection. To bring SOLX to market with a red cell filter requires substantial additional investment. Accordingly, we conducted a final market review prior to proceeding with this investment, which indicated customers would not pay a price for a SOLX collection kit sufficient to recover the cost to produce it, or to provide an adequate return on the additional investment. As result, we have suspended further investment in the SOLX technology and have recorded an impairment charge of $18.7 million to write down the carrying value of the SOLX intangible assets as of December 26, 2015. In addition, we reversed the $4.9 million of contingent consideration liability we had recorded, as we now do not expect to achieve the conditions that called for its payment.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of intangible assets and the related accumulated amortization, as of December 26, 2015 and March 28, 2015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Amortization</w:t>
            </w:r>
            <w:r>
              <w:rPr>
                <w:rFonts w:ascii="Arial" w:cs="Arial" w:eastAsia="Arial" w:hAnsi="Arial"/>
                <w:sz w:val="8"/>
                <w:szCs w:val="8"/>
                <w:b w:val="1"/>
                <w:bCs w:val="1"/>
                <w:color w:val="auto"/>
                <w:w w:val="96"/>
              </w:rPr>
              <w:t>(1)</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December 26, 2015</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52,557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43,315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55,179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195,368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84,758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110,610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392,233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177,424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214,809</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80"/>
              <w:spacing w:after="0"/>
              <w:rPr>
                <w:sz w:val="20"/>
                <w:szCs w:val="20"/>
                <w:color w:val="auto"/>
              </w:rPr>
            </w:pPr>
            <w:r>
              <w:rPr>
                <w:rFonts w:ascii="Arial" w:cs="Arial" w:eastAsia="Arial" w:hAnsi="Arial"/>
                <w:sz w:val="25"/>
                <w:szCs w:val="25"/>
                <w:color w:val="auto"/>
                <w:w w:val="99"/>
                <w:vertAlign w:val="superscript"/>
              </w:rPr>
              <w:t>(1)</w:t>
            </w:r>
            <w:r>
              <w:rPr>
                <w:rFonts w:ascii="Arial" w:cs="Arial" w:eastAsia="Arial" w:hAnsi="Arial"/>
                <w:sz w:val="18"/>
                <w:szCs w:val="18"/>
                <w:color w:val="auto"/>
                <w:w w:val="99"/>
              </w:rPr>
              <w:t>Includes impairment of SOLX asset, as discussed above.</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24"/>
                <w:szCs w:val="2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28, 2015</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39,690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34,036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78,099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195,985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70,440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125,545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377,763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133,175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244,588</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Intangible assets include the value assigned to license rights and other developed technology, patents, customer contracts and relationships and trade names. The estimated useful lives for all of these intangible assets are 2 to 19 years. The changes to the net carrying value of our intangible assets from March 28, 2015 to December 26, 2015 reflect the impact of the SOLX impairment discussed above and amortization expense, partially offset by the investment in capitalized software and other less significant intangible assets.</w:t>
      </w:r>
    </w:p>
    <w:p>
      <w:pPr>
        <w:spacing w:after="0" w:line="9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Aggregate amortization expense for amortized intangible assets, excluding the impact of the SOLX impairment, for the nine months ended December 26, 2015 and fiscal year 2015 was $25.9 million and $33.5 million, respectively. Future annual amortization expense on intangible assets is estimated to be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w:t>
            </w:r>
          </w:p>
        </w:tc>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660" w:type="dxa"/>
            <w:vAlign w:val="bottom"/>
          </w:tcPr>
          <w:p>
            <w:pPr>
              <w:jc w:val="right"/>
              <w:ind w:right="270"/>
              <w:spacing w:after="0"/>
              <w:rPr>
                <w:sz w:val="20"/>
                <w:szCs w:val="20"/>
                <w:color w:val="auto"/>
              </w:rPr>
            </w:pPr>
            <w:r>
              <w:rPr>
                <w:rFonts w:ascii="Arial" w:cs="Arial" w:eastAsia="Arial" w:hAnsi="Arial"/>
                <w:sz w:val="18"/>
                <w:szCs w:val="18"/>
                <w:i w:val="1"/>
                <w:iCs w:val="1"/>
                <w:color w:val="auto"/>
              </w:rPr>
              <w:t>(in</w:t>
            </w:r>
          </w:p>
        </w:tc>
        <w:tc>
          <w:tcPr>
            <w:tcW w:w="0" w:type="dxa"/>
            <w:vAlign w:val="bottom"/>
          </w:tcPr>
          <w:p>
            <w:pPr>
              <w:spacing w:after="0"/>
              <w:rPr>
                <w:sz w:val="1"/>
                <w:szCs w:val="1"/>
                <w:color w:val="auto"/>
              </w:rPr>
            </w:pPr>
          </w:p>
        </w:tc>
      </w:tr>
      <w:tr>
        <w:trPr>
          <w:trHeight w:val="230"/>
        </w:trPr>
        <w:tc>
          <w:tcPr>
            <w:tcW w:w="3520" w:type="dxa"/>
            <w:vAlign w:val="bottom"/>
            <w:vMerge w:val="continue"/>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370"/>
              <w:spacing w:after="0"/>
              <w:rPr>
                <w:sz w:val="20"/>
                <w:szCs w:val="20"/>
                <w:color w:val="auto"/>
              </w:rPr>
            </w:pPr>
            <w:r>
              <w:rPr>
                <w:rFonts w:ascii="Arial" w:cs="Arial" w:eastAsia="Arial" w:hAnsi="Arial"/>
                <w:sz w:val="18"/>
                <w:szCs w:val="18"/>
                <w:i w:val="1"/>
                <w:iCs w:val="1"/>
                <w:color w:val="auto"/>
              </w:rPr>
              <w:t>thousands)</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4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2017</w:t>
            </w:r>
          </w:p>
        </w:tc>
        <w:tc>
          <w:tcPr>
            <w:tcW w:w="724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32,195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24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31,411</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2019</w:t>
            </w:r>
          </w:p>
        </w:tc>
        <w:tc>
          <w:tcPr>
            <w:tcW w:w="724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29,666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and thereafter</w:t>
            </w:r>
          </w:p>
        </w:tc>
        <w:tc>
          <w:tcPr>
            <w:tcW w:w="724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96,395</w:t>
            </w:r>
          </w:p>
        </w:tc>
        <w:tc>
          <w:tcPr>
            <w:tcW w:w="0" w:type="dxa"/>
            <w:vAlign w:val="bottom"/>
          </w:tcPr>
          <w:p>
            <w:pPr>
              <w:spacing w:after="0"/>
              <w:rPr>
                <w:sz w:val="1"/>
                <w:szCs w:val="1"/>
                <w:color w:val="auto"/>
              </w:rPr>
            </w:pPr>
          </w:p>
        </w:tc>
      </w:tr>
      <w:tr>
        <w:trPr>
          <w:trHeight w:val="675"/>
        </w:trPr>
        <w:tc>
          <w:tcPr>
            <w:tcW w:w="3520" w:type="dxa"/>
            <w:vAlign w:val="bottom"/>
          </w:tcPr>
          <w:p>
            <w:pPr>
              <w:spacing w:after="0"/>
              <w:rPr>
                <w:sz w:val="24"/>
                <w:szCs w:val="24"/>
                <w:color w:val="auto"/>
              </w:rPr>
            </w:pPr>
          </w:p>
        </w:tc>
        <w:tc>
          <w:tcPr>
            <w:tcW w:w="6080" w:type="dxa"/>
            <w:vAlign w:val="bottom"/>
          </w:tcPr>
          <w:p>
            <w:pPr>
              <w:jc w:val="right"/>
              <w:ind w:right="37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w:t>
            </w: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12,462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124,846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126,821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203,863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211,077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manufacture, market and sell our products globally. For the nine months ended December 26, 2015, approximately 43.1% of our sales were generated outside the U.S. in local currencies. We also incur certain manufacturing, marketing and selling costs in international markets in local currency.</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British Pound Sterling,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December 26, 2015 and March 28, 2015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(Loss) 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$112.9 million as of December 26, 2015 and $145.8 million as of March 28, 2015.</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nine months ended December 26, 2015, we recognized net gains of $8.8 million in earnings from our cash flow hedges, compared to recognized net gains of $2.9 million during the nine months ended December 27, 2014. For the nine months ended December 26, 2015, a $1.1 million loss, net of tax, was recorded in Accumulated Other Comprehensive Loss to recognize the effective portion of the fair value of any designated foreign currency hedge contracts that are, or previously were, designated as foreign currency cash flow hedges, as compared to a gain of $8.4 million, net of tax, for the nine months ended December 27, 2014. At December 26, 2015, losses of $2.1 million, net of tax, will be reclassified to earnings within the next twelve months. All currency cash flow hedges outstanding as of December 26, 2015 mature within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$48.6 million as of December 26, 2015 and $52.6 million as of March 28,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 2012, we entered into a credit agreement, as amended June 30, 2014, which provided for a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allows us to borrow in multiple tranches.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nine months ended December 26, 2015 and December 27, 2014, a gain of $0.1 million and a loss of $0.3 million, respectively, net of tax, were recorded in Accumulated Other Comprehensive Loss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Topic 815 in our consolidated statements of income and comprehensive income for the nine months ended December 26, 2015: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Amount of Gain (Loss)</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Amount of Gain</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6"/>
              </w:rPr>
              <w:t>Amount of Gain</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1"/>
              </w:rPr>
              <w:t>Recognized</w:t>
            </w:r>
          </w:p>
        </w:tc>
        <w:tc>
          <w:tcPr>
            <w:tcW w:w="2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4"/>
              </w:rPr>
              <w:t>from Accumulated Other</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3"/>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3"/>
              </w:rPr>
              <w:t>Comprehensive Loss into</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3"/>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(Loss) Income</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Testing *</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vMerge w:val="restart"/>
          </w:tcPr>
          <w:p>
            <w:pPr>
              <w:jc w:val="center"/>
              <w:ind w:right="139"/>
              <w:spacing w:after="0"/>
              <w:rPr>
                <w:sz w:val="20"/>
                <w:szCs w:val="20"/>
                <w:color w:val="auto"/>
              </w:rPr>
            </w:pPr>
            <w:r>
              <w:rPr>
                <w:rFonts w:ascii="Arial" w:cs="Arial" w:eastAsia="Arial" w:hAnsi="Arial"/>
                <w:sz w:val="14"/>
                <w:szCs w:val="14"/>
                <w:color w:val="auto"/>
                <w:w w:val="94"/>
              </w:rPr>
              <w:t>Earnings</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Derivative Instruments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8,779</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December 26, 2015 or March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2015, the amount recognized as a deferred tax liability for designated foreign currency hedges was $0.1 million.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26, 2015, we have classified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0"/>
        <w:spacing w:after="0" w:line="277" w:lineRule="auto"/>
        <w:rPr>
          <w:sz w:val="20"/>
          <w:szCs w:val="20"/>
          <w:color w:val="auto"/>
        </w:rPr>
      </w:pPr>
      <w:r>
        <w:rPr>
          <w:rFonts w:ascii="Arial" w:cs="Arial" w:eastAsia="Arial" w:hAnsi="Arial"/>
          <w:sz w:val="18"/>
          <w:szCs w:val="18"/>
          <w:color w:val="auto"/>
        </w:rPr>
        <w:t>derivative assets and liabilities within Level 2 of the fair value hierarchy prescribed by ASC 815, as discussed below, because these observable inputs are available for substantially the full term of our derivative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our derivative instruments as they appear in our consolidated balance sheets as of December 26,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2015: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180" w:type="dxa"/>
            <w:vAlign w:val="bottom"/>
          </w:tcPr>
          <w:p>
            <w:pPr>
              <w:spacing w:after="0"/>
              <w:rPr>
                <w:sz w:val="14"/>
                <w:szCs w:val="14"/>
                <w:color w:val="auto"/>
              </w:rPr>
            </w:pPr>
          </w:p>
        </w:tc>
        <w:tc>
          <w:tcPr>
            <w:tcW w:w="14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December 26, 2015</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9,740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nine months ended December 26, 2015,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December 26, 2015 and March 28,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26, 2015</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March 28, 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66,712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66,712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119,946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119,946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5"/>
              </w:rPr>
              <w:t>Designated interest rate swaps</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66,712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119,946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9,740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129,686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5"/>
              </w:rPr>
              <w:t>Designated interest rate swaps</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2,842</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7,385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nine months ended December 26, 2015,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 This Level 3 fair value measurement was performed using a probability-weighted discounted cash flow over a ten year period. 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the beginning and ending Level 3 liabilities for the nine months ended December 26,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Measurements Using</w:t>
            </w: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3)</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28,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4,727</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171</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r>
      <w:tr>
        <w:trPr>
          <w:trHeight w:val="257"/>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As discussed in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during the nine months ended December 26, 2015, we reversed the remaining $4.9 million of contingent consideration liability associated with the SOLX asset, as we now do not expect to achieve the conditions that called for its payment. This reversal, as well as the fair value adjustment recorded, are included in the Consolidated Statements of (Loss) Income for the nine months ended December 26,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10,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tax rate is lower than the U.S. federal statutory rate in all reported periods as the income tax rates in the foreign jurisdictions are generally lower than the U.S. statutory tax rate.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reported income tax benefit rate for the nine months ended December 26, 2015 was 3.8%, as compared to a reported income tax provision rate of 7.8% for the nine months ended December 27, 2014.</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change in our reported tax rate for the nine months ending December 26, 2015 relates primarily to the impact of impairment charges recorded during the third quarter of fiscal 2016. During the three and nine months ended December 26, 2015, we recorded goodwill impairment charges of $66.3 million and intangible asset impairment charges of $18.7 million with a corresponding $7.1 million benefit to income taxes.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nine months ended December 26, 2015, we recorded pre-tax losses in Scotland, Italy and Malaysia due to restructuring and transformation costs associated with our manufacturing transformation, and we did not record a corresponding tax benefit due to the valuation allowance maintained against our net deferred tax assets in these jurisdictions. Similarly, during the nine months ended December 27, 2014, we recorded pre-tax losses in Scotland, Italy and Malaysia associated with restructuring costs, and we did not record a corresponding tax benefit due to uncertainty around our ability to realize a tax benefit in these jurisdictions. In addition, we recorded discrete tax benefits during the three months ended December 26, 2015 associated with the release of tax reserves due to the expiration of the statute of limitations as well as the retroactive enactment of the U.S. federal research credit.</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recorded tax expense of $1.0 million during the nine months ended December 26, 2015 as a result of a deferred tax rate change which impacted an indefinite-lived deferred tax liability of our Puerto Rican subsidiary.</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the achievement of leverage ratios and customary credit terms which included financial and negative covenants.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December 26, 2015, $372.3 million was outstanding under the term loan and $50.0 million was outstanding on the Revolving Credit Facility, both with an interest rate of 1.625%. No additional amounts were borrowed as a result of this modification. The fair value of debt approximates its current value of approximately $422.3 million as of December 26, 2015. We were in compliance with the leverage and interest coverage ratios specified in the Credit Agreement as well as all other bank covenants as of December 26, 2015. The goodwill and intangible asset impairment charges discussed in Note 6, </w:t>
      </w: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are excluded from the definition of consolidated EBITDA in the Credit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The maturity profile is as follows:</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14,228</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42,683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45,054</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151,763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168,564</w:t>
            </w: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422,292</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26, 2015, the total amount of damages claimed by the plaintiffs in these matters is approximately $3.7 million. It is not possible at this point in the proceedings to accurately evaluate the likelihood or amount of any potential losses and therefore no amounts have been accrued. We may receive other, similar claims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manage a global business which designs, manufactures and markets blood management solutions. Our solutions are marketed through operating segments organized primarily on geography: North America Plasma, Americas Blood Center and Hospital, Europe, Middle East, and Africa (collectively "EMEA"), Asia Pacific and Japan.</w:t>
      </w:r>
    </w:p>
    <w:p>
      <w:pPr>
        <w:spacing w:after="0" w:line="18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permits the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w:t>
      </w:r>
    </w:p>
    <w:p>
      <w:pPr>
        <w:spacing w:after="0" w:line="166" w:lineRule="exact"/>
        <w:rPr>
          <w:sz w:val="20"/>
          <w:szCs w:val="20"/>
          <w:color w:val="auto"/>
        </w:rPr>
      </w:pPr>
    </w:p>
    <w:p>
      <w:pPr>
        <w:jc w:val="both"/>
        <w:ind w:right="400"/>
        <w:spacing w:after="0" w:line="308" w:lineRule="auto"/>
        <w:rPr>
          <w:sz w:val="20"/>
          <w:szCs w:val="20"/>
          <w:color w:val="auto"/>
        </w:rPr>
      </w:pPr>
      <w:r>
        <w:rPr>
          <w:rFonts w:ascii="Arial" w:cs="Arial" w:eastAsia="Arial" w:hAnsi="Arial"/>
          <w:sz w:val="17"/>
          <w:szCs w:val="17"/>
          <w:color w:val="auto"/>
        </w:rPr>
        <w:t>Based on the criteria of ASC 280, we have one reportable segment. This conclusion is consistent with how our chief operating decision-maker views the business. Our chief operating decision maker primarily uses consolidated results to make operating and strategic decisions.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is expected to be completed in fiscal 2017 and included changes to the manufacturing footprint and supply chain structure (the "Network Plan"). To date, we have (i) discontinued manufacturing activities at our Ascoli-Piceno, Italy and Braintree, Massachusetts facilities, (ii) expanded our facility in Tijuana, Mexico, (iii) engaged Sanmina Corporation as a contract manufacturer to produce certain medical equipment, and (iv) built a new manufacturing facility in Penang, Malaysia closer to our customers in Asia. We expect to complete the transfer of manufacturing activities from the Bothwell, Scotland facility by the middle of fiscal 2017. This transition will complete our VCC initiatives announced on May 1, 2013.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of the </w:t>
      </w:r>
      <w:r>
        <w:rPr>
          <w:rFonts w:ascii="Arial" w:cs="Arial" w:eastAsia="Arial" w:hAnsi="Arial"/>
          <w:sz w:val="18"/>
          <w:szCs w:val="18"/>
          <w:i w:val="1"/>
          <w:iCs w:val="1"/>
          <w:color w:val="auto"/>
        </w:rPr>
        <w:t>Management Discussion and Analysis of Financial Condition and Results of Operations</w:t>
      </w:r>
      <w:r>
        <w:rPr>
          <w:rFonts w:ascii="Arial" w:cs="Arial" w:eastAsia="Arial" w:hAnsi="Arial"/>
          <w:sz w:val="18"/>
          <w:szCs w:val="18"/>
          <w:color w:val="auto"/>
        </w:rPr>
        <w:t xml:space="preserve"> for further discussion of the costs of these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costs for the nine months ended December 26, 2015 and December 27,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center"/>
              <w:ind w:left="1037"/>
              <w:spacing w:after="0"/>
              <w:rPr>
                <w:sz w:val="20"/>
                <w:szCs w:val="20"/>
                <w:color w:val="auto"/>
              </w:rPr>
            </w:pPr>
            <w:r>
              <w:rPr>
                <w:rFonts w:ascii="Arial" w:cs="Arial" w:eastAsia="Arial" w:hAnsi="Arial"/>
                <w:sz w:val="14"/>
                <w:szCs w:val="14"/>
                <w:b w:val="1"/>
                <w:bCs w:val="1"/>
                <w:color w:val="auto"/>
                <w:w w:val="93"/>
              </w:rPr>
              <w:t>Nine Months Ended December 26, 2015</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28,</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Balance at December 26,</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18,249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10,261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1037"/>
              <w:spacing w:after="0"/>
              <w:rPr>
                <w:sz w:val="20"/>
                <w:szCs w:val="20"/>
                <w:color w:val="auto"/>
              </w:rPr>
            </w:pPr>
            <w:r>
              <w:rPr>
                <w:rFonts w:ascii="Arial" w:cs="Arial" w:eastAsia="Arial" w:hAnsi="Arial"/>
                <w:sz w:val="14"/>
                <w:szCs w:val="14"/>
                <w:b w:val="1"/>
                <w:bCs w:val="1"/>
                <w:color w:val="auto"/>
                <w:w w:val="93"/>
              </w:rPr>
              <w:t>Nine Months Ended December 27, 2014</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Balance at December 27,</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29,130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17,001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deployed significant financial resources for these activities. Many of the costs necessary to complete the VCC initiatives, such as severance and other plant closing costs, qualify as restructuring expenses under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We incurred $18.2 million in severance, asset write-downs and other restructuring charges during the nine months ended December 26, 2015. In addition, we also incurred $6.9 million of costs that do not constitute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right="260"/>
        <w:spacing w:after="0" w:line="312" w:lineRule="auto"/>
        <w:rPr>
          <w:sz w:val="20"/>
          <w:szCs w:val="20"/>
          <w:color w:val="auto"/>
        </w:rPr>
      </w:pPr>
      <w:r>
        <w:rPr>
          <w:rFonts w:ascii="Arial" w:cs="Arial" w:eastAsia="Arial" w:hAnsi="Arial"/>
          <w:sz w:val="16"/>
          <w:szCs w:val="16"/>
          <w:color w:val="auto"/>
        </w:rPr>
        <w:t>We estimate we will incur approximately $40 million in restructuring and transformation costs, net of contingent consideration income, in fiscal 2016. The table below presents transformation and restructuring costs recorded in cost of goods sold, research and development, selling, general and administrative expenses and interest and other expense in our Consolidated Statements of (Loss) Income and Comprehensive (Loss) Income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Transformation costs</w:t>
            </w: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Transformation and other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6,774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20" w:type="dxa"/>
            <w:vAlign w:val="bottom"/>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3"/>
                <w:szCs w:val="13"/>
                <w:color w:val="auto"/>
              </w:rPr>
            </w:pPr>
          </w:p>
        </w:tc>
        <w:tc>
          <w:tcPr>
            <w:tcW w:w="11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29,130</w:t>
            </w:r>
          </w:p>
        </w:tc>
        <w:tc>
          <w:tcPr>
            <w:tcW w:w="0" w:type="dxa"/>
            <w:vAlign w:val="bottom"/>
          </w:tcPr>
          <w:p>
            <w:pPr>
              <w:spacing w:after="0"/>
              <w:rPr>
                <w:sz w:val="1"/>
                <w:szCs w:val="1"/>
                <w:color w:val="auto"/>
              </w:rPr>
            </w:pPr>
          </w:p>
        </w:tc>
      </w:tr>
      <w:tr>
        <w:trPr>
          <w:trHeight w:val="318"/>
        </w:trPr>
        <w:tc>
          <w:tcPr>
            <w:tcW w:w="56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3,659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12,909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51,247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Derivatives and Fair Value Measurements</w:t>
      </w:r>
      <w:r>
        <w:rPr>
          <w:rFonts w:ascii="Arial" w:cs="Arial" w:eastAsia="Arial" w:hAnsi="Arial"/>
          <w:sz w:val="18"/>
          <w:szCs w:val="18"/>
          <w:color w:val="auto"/>
        </w:rPr>
        <w:t>, during the three and nine months ended December 26, 2015, we reversed $4.9 million of contingent consideration associated with the SOLX asset, as we now do not expect to achieve the conditions that called for its payment. This reversal is reflected in transformation and other costs in the table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CAPITALIZATION OF SOFTWARE DEVELOPMENT COSTS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capitalized $12.9 million and $6.6 million in software development costs for ongoing initiatives during the nine months ended December 26, 2015 and December 27, 2014, respectively. At December 26, 2015 and March 28, 2015, we have a total of $52.6 million and $39.7 million of capitalized software costs, of which $14.3 million and $7.9 million are related to in-process software development initiatives, respectively. During the nine months ended December 26, 2015, $6.4 million of capitalized costs were placed into service. The costs capitalized for each project are included in intangible assets in the consolidated financial statements. We review these assets for impairment at least annually.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roll-forward of the components of Accumulated Other Comprehensive Loss, net of tax, for the nine months ended December 26,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8"/>
              </w:rPr>
              <w:t>Other comprehensive (loss)/income before reclassifications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(loss)/income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26,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Details pertaining to the amount reclassified from Accumulated Other Comprehensive Loss for the nine months ended December 26, 2015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6"/>
                <w:szCs w:val="16"/>
                <w:color w:val="auto"/>
              </w:rPr>
            </w:pPr>
          </w:p>
        </w:tc>
        <w:tc>
          <w:tcPr>
            <w:tcW w:w="26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revenues, Cost of goods sold,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2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8,830</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(benefit from)</w:t>
            </w:r>
          </w:p>
        </w:tc>
        <w:tc>
          <w:tcPr>
            <w:tcW w:w="0" w:type="dxa"/>
            <w:vAlign w:val="bottom"/>
          </w:tcPr>
          <w:p>
            <w:pPr>
              <w:spacing w:after="0"/>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2015 Annual Report on Form 10-K filed with the Securities and Exchange Commission (the “SEC”) on May 22, 2015.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Blood and its components – plasma, platelets, and red cells –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place devices with many of our customers which remain our property. The customer has the right to use these devices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Russian Economic Conditions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Economic weakness in Russia has impacted our financial results in the first nine months of fiscal 2016. While the demand for our products in the Russian marketplace continues, there is reduced government healthcare spending and, as a result, our distributors are placing fewer orders and maintaining less inventory. In the third quarter of fiscal 2016 and 2015, Russia accounted for 2% and 4% of net revenues, respectively. We continue to work closely with our Russian distributors to monitor market conditions and manage credit risk. Market conditions continue to be challenging in Russia.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to U.S. blood centers of our whole blood disposables represent approximately 6% of our total revenue in the third quarter of fiscal 2016. The demand for these disposable products in the U.S. declined in fiscal 2015 and 2014 due to a rapid decline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demand for blood products associated with actions taken by hospitals to improve blood management techniques and protocols. During the first nine months of fiscal 2016, we estimate the decline in U.S. blood center collections to be 5-8%, compared to approximately 10% in fiscal 2015.</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was implemented at the end of first quarter of fiscal 2015. In March 2014, the American Red Cross selected another exclusive supplier to provide certain whole blood products. This reduced annualized revenues by approximately $25.0 million beginning in the second quarter of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first half of fiscal 2016, the American Red Cross and two group purchasing organizations representing other U.S. blood collectors ("Blood Center GPOs") pursued arrangements for apheresis red cell collections. These negotiations have largely concluded and will negatively affect red cell revenues and gross margins.</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On August 1, 2015, we entered into a contract for apheresis devices and single-use disposables with the American Red Cross. In accordance with this agreement, we provided a one-time payment to assist in the transition of red cell collections to our technology. This contract is expected to result in 100% share of the American Red Cross's apheresis red cell collection business and higher sales volumes, but at lower prices. However, considering the price concessions, we expect that this contract will continue to result in a decrease to revenue and gross profit.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both Blood Center GPOs have recommended competitive technologies to their members. We expect revenue to decline as their individual blood center members convert to the competitive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 cell disposable revenues in the U.S. totaled $37.6 million during fiscal 2015 and $25.8 million during the first nine months of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ASC Topic 350, Intangibles - Goodwill and Other, goodwill and intangible assets determined to have indefinite useful lives are not amortized. Instead these assets are evaluated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Our reporting units for purposes of assessing goodwill impairment are the same as our operating segments, which are organized primarily based on geography and include: North America Plasma, Americas Blood Center and Hospital, Europe, Middle East, and Africa (collectively "EMEA"), Asia-Pacific and Japan. The North America Plasma reporting unit is a separate operating segment with dedicated segment management due the size and scale of the plasma business.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third quarter of each fiscal year, we prepare our long term projections for net revenues, income and operating cash flows. The economic weakness in EMEA, particularly Russia, and declines in our U.S. blood center collections have negatively impacted earnings before interest, taxes, depreciation, and amortization ("EBITDA") and net revenues for our EMEA and Americas Blood Center and Hospital reporting units. Because of these market conditions and key uncertainties, including the market rate of adoption of our new products and the negative impact of intense competitive pressure on pricing and market share, we lowered our expectations in terms of the timing and amount of our future revenue, income and cash flows. As a result, we concluded in the third quarter of fiscal 2016 that indicators of potential goodwill impairment were present for the EMEA and Americas Blood Center and Hospital reporting units, therefore requiring an interim test for goodwill impairment.</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ASC Topic 350, we prepared a “Step 1” Test that compared the estimated fair value of each reporting unit to its carrying value. We utilized a discounted cash flow approach in order to value our reporting units for the Step 1 Test, which required that we forecast future cash flows of the reporting units and discount the cash flow stream based upon a weighted average cost of capital that was derived, in part, from comparable companies within similar industries. The discounted cash flow calculations also included a terminal value calculation that was based upon an expected long-term growth rate for the applicable reporting unit. We believe that our procedures for estimating discounted future cash flows, including the terminal valuation, are reasonable and consistent with market conditions at the time of estimation.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results of the Step 1 Test performed in the third quarter of fiscal 2016 indicated that the estimated fair value of all of our reporting units exceeded their respective carrying values, with the exception of EMEA, for which we recorded an estimated goodwill impairment charge, as discussed below. Based on this Step 1 analysis, the reporting unit that is most at risk of impairment in future periods is the Americas Blood Center and Hospital, which has an excess fair value over carrying value of approximately 25.8% and has allocated goodwill of $175.9 million as of December 26, 2015.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w:t>
      </w:r>
    </w:p>
    <w:p>
      <w:pPr>
        <w:spacing w:after="0" w:line="17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 result of the carrying value of the EMEA reporting unit exceeding its estimated fair value, a "Step 2" Test is required for this reporting unit. The Step 2 Test measures the impairment loss by allocating the estimated fair value of the reporting unit, as determined in Step 1, to the reporting units’ assets and liabilities, with the residual amount representing the implied fair value of goodwill. To the extent the implied fair value of goodwill is less than the carrying value, an impairment loss is recognized.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Step 2 Test under ASC Topic 350 requires us to perform a theoretical purchase price allocation for the EMEA reporting unit to determine the implied fair value of goodwill as of the evaluation date. Due to the complexity of the analysis required to complete the Step 2 Test and the timing of our determination of the Step 1 goodwill impairment, we have not yet finalized our Step 2 Test, however, we have completed a preliminary assessment of the expected impact of the Step 1 and Step 2 Tests using reasonable estimates of discounted cash flows and for the theoretical purchase price allocation. Based on this assessment, we have recorded a preliminary estimate of the goodwill impairment loss for the third quarter and first nine months ended December 26, 2015 of $66.3 million, which represents the entire goodwill balance allocated to EMEA. This charge does not impact our liquidity, cash flows from operations, future operations, or compliance with debt covenants.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preliminary estimates of goodwill impairment loss will be finalized prior to the issuance of our Form 10-K for the year ended April 2, 2016 as part of our annual evaluation as of the first day of our fiscal fourth quarter. We believe that the preliminary estimate of goodwill impairment loss is reasonable and represents our best estimate of the goodwill impairment loss to be incurred; however, it is possible that when the year-end tests are completed we may be required to record a material adjustment to this preliminary estimate. Additional information regarding this goodwill impairment is included in Note 6 to our unaudited consolidated financial statements contained in Item 1 of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April 2013, we acquired a patented red cell storage solution, referred to as SOLX, from Hemerus Medical, LLC for cash consideration of $24.1 million plus an agreement to make certain future payments accounted for as contingent consideration.</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third quarter of fiscal 2016, we received U.S. Food and Drug Administration clearance for the SOLX solution with a Haemonetics whole blood filter. Currently, the vast majority of the U.S. market utilizes a red cell filter, not a whole blood filter, for whole blood collection procedures as they seek to optimize blood component yield from each collection. To bring SOLX to market with a red cell filter requires substantial additional investment. Accordingly, we conducted a final market review prior to proceeding with this investment, which indicated customers would not pay a price for a SOLX collection kit sufficient to recover the cost to produce it, or to provide an adequate return on the additional investment. As result, we have suspended further investment in the SOLX technology and have recorded an impairment charge of $18.7 million to write down the carrying value of the SOLX intangible assets as of December 26, 2015. In addition, we reversed the $4.9 million of contingent consideration liability we had recorded, as we now do not expect to achieve the conditions that called for its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is expected to be completed in fiscal 2017 and included changes to the manufacturing footprint and supply chain structure (the "Network Plan"). To date, we have (i) discontinued manufacturing activities at our Ascoli-Piceno, Italy and Braintree, Massachusetts facilities, (ii) expanded our facility in Tijuana, Mexico, (iii) engaged Sanmina Corporation as a contract manufacturer to produce certain medical equipment, and (iv) built a new manufacturing facility in Penang, Malaysia closer to our customers in Asia.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for further discussion of the costs of these activities.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VCC initiatives are largely completed. We expect to complete the transfer of manufacturing activities from the Bothwell, Scotland facility by the middle of fiscal 2017. This transition will complete our VCC initiatives announced on May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 Increase/</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4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4"/>
              </w:rPr>
              <w:t>(In thousands, except per share data)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231,827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666,490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683,895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108,855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111,661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316,691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326,053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48.2 %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170,032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93,401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82.0 %</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355,083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297,051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18,260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29,002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7.9 %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2380" w:type="dxa"/>
            <w:vAlign w:val="bottom"/>
            <w:gridSpan w:val="2"/>
          </w:tcPr>
          <w:p>
            <w:pPr>
              <w:ind w:left="40"/>
              <w:spacing w:after="0"/>
              <w:rPr>
                <w:sz w:val="20"/>
                <w:szCs w:val="20"/>
                <w:color w:val="auto"/>
              </w:rPr>
            </w:pPr>
            <w:r>
              <w:rPr>
                <w:rFonts w:ascii="Arial" w:cs="Arial" w:eastAsia="Arial" w:hAnsi="Arial"/>
                <w:sz w:val="18"/>
                <w:szCs w:val="18"/>
                <w:color w:val="auto"/>
                <w:w w:val="99"/>
              </w:rPr>
              <w:t>(Loss) income before (benefit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from) provision for income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(63,318)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15,952</w:t>
            </w:r>
          </w:p>
        </w:tc>
        <w:tc>
          <w:tcPr>
            <w:tcW w:w="120" w:type="dxa"/>
            <w:vAlign w:val="bottom"/>
          </w:tcPr>
          <w:p>
            <w:pPr>
              <w:spacing w:after="0"/>
              <w:rPr>
                <w:sz w:val="20"/>
                <w:szCs w:val="20"/>
                <w:color w:val="auto"/>
              </w:rPr>
            </w:pPr>
          </w:p>
        </w:tc>
        <w:tc>
          <w:tcPr>
            <w:tcW w:w="152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(45,148)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20"/>
                <w:szCs w:val="20"/>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7.8%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19,827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Net (loss) income per share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revenues increased 0.7% and decreased 2.5% for the three and nine months ended December 26, 2015, respectively, as compared to the same periods of fiscal 2015. Without the effect of foreign exchange, net revenues increased 3.4% and 0.6% for the three and nine months ended December 26, 2015, respectively, as compared to the same periods of fiscal 2015. Revenue increases in plasma and TEG disposables were offset by declines in blood center disposables due to market conditions for the three months ended December 26, 2015. Revenues for the nine months ended December 26, 2015 were also negatively impacted by our reduced surgical and OrthoPAT sales.</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recorded operating losses during the three and nine months ended December 26, 2015, as compared to operating income in the same periods of fiscal 2015. Operating income decreased for the three and nine months ended December 26, 2015 primarily as a result of the goodwill and intangible asset impairment charges recognized in the quarter. This increase in operating expenses was partially offset by reductions in restructuring and transformation expenses of $9.3 million and $26.1 million in three and nine months ended December 26, 2015, respectively, as compared to the same periods of fiscal 2015.</w:t>
      </w:r>
    </w:p>
    <w:p>
      <w:pPr>
        <w:spacing w:after="0" w:line="15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recorded net losses during the three and nine months ended December 26, 2015, as compared to net income in the same periods of fiscal 2015. The change in net loss is primarily attributable to the decrease in operating income described above, offset by an increase in the income tax benefit for three months ended December 26,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Nine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148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124,766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379,390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369,921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101,720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107,061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287,100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313,974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233,384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231,827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666,490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683,895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approximated 43.6% and 43.1% of total net revenues for the three and nine months ended December 26, 2015, respectively. International sales are generally conducted in local currencies, primarily Japanese Yen, Euro, Chinese Yuan and Australian Dollars. Our revenue was negatively impacted by changes in the value of these currencies relative to the U.S. Dollar.</w:t>
      </w:r>
    </w:p>
    <w:p>
      <w:pPr>
        <w:spacing w:after="0" w:line="18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have placed foreign currency hedges to mitigate our exposure to foreign currency fluctuations. Relative weakness in the Japanese Yen and Euro to the U.S. Dollar is expected to negatively impact revenue and operating income in the remainder of fiscal 2016 and into fiscal 2017. International revenue was also negatively impacted by reduced sales to our Russian distributors in the first nine months of fiscal 2016.</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Nine Months Ended</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198,156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588,593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18,211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54,094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15,460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41,208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233,384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231,827</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666,490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683,895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Disposables Revenue</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5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Nine Months Ended</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83,178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242,760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38,401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31,296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34,182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105,870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83,456</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225,660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253,107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Diagnostics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10,890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30,535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46,889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OrthoPAT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15,302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31,522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92,726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Total disposables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201,220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198,156</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575,525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588,593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vMerge w:val="restart"/>
          </w:tcPr>
          <w:p>
            <w:pPr>
              <w:jc w:val="right"/>
              <w:ind w:right="103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disposables revenue stream includes the sales of single-use disposables, which accounted for 86.2% and 85.5% of our total revenue for the three months ended December 26, 2015 and December 27, 2014, respectively, and 86.4% and 86.1% of our total revenue for the nine months ended December 26, 2015 and December 27, 2014.</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Disposables revenue increased 1.5% and decreased 2.2% for the three and nine months ended December 26, 2015, respectively, as compared to the same periods of fiscal 2015. Without the effect of foreign exchange, disposables revenue increased 4.4% and 0.9% for the three and nine months ended December 26, 2015, respectively, as compared to the same periods of fiscal 2015. Revenue increases in plasma and TEG disposables were offset by declines in sales of our blood center disposables and our OrthoPAT disposables.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Plasma Disposables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Plasma disposables revenue increased 11.2% and 6.0% for the three and nine months ended December 26, 2015, respectively, as compared to the same periods of fiscal 2015. Without the effect of foreign exchange, plasma revenue increased 13.7% and 8.6% for the three and nine months ended December 26, 2015, respectively, as compared to the same periods of fiscal 2015. Plasma revenue increased principally due to higher volumes in the U.S. associated with end market growth for plasma-derived biopharmaceuticals. The implementation of a solutions contract with a large U.S. collector also contributed to growth in the three months ended December 26, 2015. This growth was partially offset by reductions related to market conditions in Russia.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Blood Center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alternative collection methods at the same level. Japan's recent adoption of these techniques has begun to negatively impact revenue from platelet collection disposables.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Platelet disposables revenue was flat for the three months ended December 26, 2015 and decreased 10.7% for the nine months ended December 26, 2015, as compared to the same periods of fiscal 2015. Without the effect of foreign exchange, platelet disposable revenue increased 4.1% and decreased 5.1% for the three and nine months ended December 26, 2015, respectively, as compared to the same periods of fiscal 2015. The increase in platelet disposable revenue during the third quarter of fiscal 2016, excluding the impact of foreign exchange, was primarily the result of a strong third quarter in the Middle East and growth in Korea related to the timing of orders. This growth was partially offset by modest declines in other international markets. During the first nine months of fiscal 2016, the decrease in platelet disposable revenue was primarily due to declines in sales in Japan and Russia. Japan continues to implement more efficient collection techniques which is expected to decrease the number of platelet collection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Red cell disposables revenue decreased 15.4% and 6.8% for the three and nine months ended December 26, 2015, respectively, as compared to the same periods of fiscal 2015. Without the effect of foreign exchange, red cell disposables revenue decreased 14.3% and 5.8% for the three and nine months ended December 26, 2015, respectively, as compared to the same periods of fiscal 2015. The decrease during the three and nine months ended December 26, 2015 was driven by price reductions in our principal red cell market in the U.S. During the first nine months of fiscal 2016, U.S. blood collection groups pursued arrangements for apheresis red cell collections with the objective of standardizing their collection technology and securing price reductions. These arrangements are now largely in place and began to negatively affect red cell revenues and gross margins during the second quarter of fiscal 2016.</w:t>
      </w:r>
    </w:p>
    <w:p>
      <w:pPr>
        <w:spacing w:after="0" w:line="16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discussed above, during the second quarter of fiscal 2016, we entered into a contract with the American Red Cross which included an incentive to transition to our technology and price reductions tied to higher volumes. In addition, both Blood Center GPOs have selected competitive technologies. We expect revenue to decline from both the lower pricing in the American Red Cross contract and the conversion by Blood Center GPO's to the competitive technologies. Red cell disposable revenues in the U.S. totaled $37.6 million during fiscal 2015 and $25.8 million during the first nine months of fiscal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Whole blood disposables revenue decreased 11.7% and 12.1% for the three and nine months ended December 26, 2015, respectively, as compared to the same periods of fiscal 2015. Without the effect of foreign exchange, whole blood revenue decreased 9.7% for the three and nine months ended December 26, 2015, as compared to the same periods of fiscal 2015.</w:t>
      </w:r>
    </w:p>
    <w:p>
      <w:pPr>
        <w:jc w:val="both"/>
        <w:ind w:right="100"/>
        <w:spacing w:after="0" w:line="273" w:lineRule="auto"/>
        <w:rPr>
          <w:sz w:val="20"/>
          <w:szCs w:val="20"/>
          <w:color w:val="auto"/>
        </w:rPr>
      </w:pPr>
      <w:r>
        <w:rPr>
          <w:rFonts w:ascii="Arial" w:cs="Arial" w:eastAsia="Arial" w:hAnsi="Arial"/>
          <w:sz w:val="17"/>
          <w:szCs w:val="17"/>
          <w:color w:val="auto"/>
        </w:rPr>
        <w:t>For the three months ended December 26, 2015, the decrease in whole blood disposables revenue was a result of delays in distributor and partner orders and continued declines in the U.S. whole blood market. Whole blood disposables revenue for the nine months ended December 26, 2015 decreased primarily due to a declining U.S. whole blood market. The anniversary of the loss of the American Red Cross whole blood business occurred at the end of the first quarter of fiscal 2016, however, we continue to be negatively impacted by the declining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Hospital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Diagnostics product revenue consists principally of the consumable reagents used with the TEG hemostasis management family of products. Revenue from our diagnostics products increased 16.5% and 20.9% for the three and nine months ended December 26, 2015, respectively, as compared to the same periods of fiscal 2015. Without the effect of foreign exchange, diagnostics product revenues increased 17.3% and 20.0% for the three and nine months ended December 26, 2015, respectively, as compared to the same periods of fiscal 2015. The revenue increase is due to continued adoption of our hemostasis system, principally in the U.S. and China. We are continuing our limited market release of the TEG 6s device and disposables, which received final U.S. regulatory clearance in the first quarter of fiscal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Surgical disposables revenue consists principally of the Cell Saver and CardioPAT products. Revenues from our surgical disposables decreased 2.6% and 4.4% for the three and nine months ended December 26, 2015, respectively, as compared to the same periods of fiscal 2015. Without the effect of foreign exchange, surgical disposables revenue increased 2.0% and 0.6% for the three and nine months ended December 26, 2015, respectively, as compared to the same periods of fiscal 2015. Without the effect of foreign exchange, the increase in surgical disposable revenue was primarily attributable to modest growth in the emerging markets in Russia and the Middle East.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OrthoPAT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Revenues from our OrthoPAT disposables decreased 37.2% and 29.5% for the three and nine months ended December 26, 2015, respectively, as compared to the same periods of fiscal 2015. Without the effect of foreign exchange, OrthoPAT disposables revenue decreased 33.4% and 24.7% for the three and nine months ended December 26, 2015, respectively, as compared to the same periods of fiscal 2015. Better blood management has reduced orthopedic blood loss and continues to impact demand for OrthoPAT disposables. Recent trends in blood management, particularly the adoption of tranexamic acid to treat and prevent orthopedic post-operative blood loss, continue to lessen hospital use of OrthoPAT disposables. During the three months ended December 26, 2015, OrthoPAT disposable revenues were also negatively impacted by a supply chain interruption.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Software Solutions Revenue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software solutions revenues include sales of our information technology software platforms and consulting services. Software revenues were flat for the three months ended December 26, 2015 and decreased 2.4% for the nine months ended December 26, 2015, as compared to the same periods of fiscal 2015. Without the effect of foreign exchange, software revenues increased 2.2% and were flat for the three and nine months ended December 26, 2015, respectively, as compared to the same periods of fiscal 2015. Without the effect of foreign exchange, growth in software revenues in the third quarter of fiscal 2016 was driven by the finalization of services under a contract with the Department of Defense that will conclude in late fiscal 2016, BloodTrack growth in the U.S. and in Europe, and increased software support service revenue. This growth was partially offset by declines in software maintenance revenue. Software solutions revenues for the nine months ended December 26, 2015, excluding the impact of foreign currency, were flat as increased service revenue from the Department of Defense contract were offset by BloodTrack declines in the first nine months fiscal 2016.</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Equipment &amp; Other Revenue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decreased 9.9% and 7.3% for the three and nine months ended December 26, 2015, respectively, as compared to the same periods of fiscal 2015. Without the effect of foreign exchange, equipment and other revenues decreased 7.0% and 3.1% for the three and nine months ended December 26, 2015, respectively, as compared to the same periods of fiscal 2015. The decrease in revenue was primarily due to declines in Russia and Japan. The decline in Russia was due to the Russian market suspending all equipment purchasing in fiscal 2016 and the decline in Japan was a result of lower platelet equipment sales. These declines were partially offset by increases in red cell equipment revenue in the U.S. and plasma equipment revenue in Germany.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17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27,</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108,855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111,661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  $</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316,691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326,053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Gross profit decreased 2.5% and 2.9% for the three and nine months ended December 26, 2015, respectively, as compared to the same periods of fiscal 2015. Without the effect of foreign exchange, gross profit increased 3.9% and 1.6% for the three and nine months ended December 26, 2015, respectively, as compared to the same periods of fiscal 2015. The gross profit margin decreased by 160 and 20 basis points for the three and nine months ended December 26, 2015, respectively, as compared to the same period of fiscal 2015. The decrease in the gross profit margin during the three and nine months ended December 26, 2015 was primarily due to the effect of foreign exchange. Product mix, including the relative growth of our plasma business, price reductions in our blood center business, and the amortization of software development costs in the early stages of product launches also negatively impacted gross profit. These declines were partially offset by cost savings from productivity programs, including the VCC initiatives. Gross profit margin continues to be impacted by the inefficiency of underutilized productive capacity.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4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10,643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36,962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78,940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82,512</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240,946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259,383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Impairment of goodwill and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85,048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85,048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170,032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93,401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355,083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297,051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702"/>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7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Research and development expenses increased 2.8% and decreased 8.5% for the three and nine months ended December 26, 2015, respectively, as compared to the same periods of fiscal 2015. Without the effect of foreign exchange, research and development expenses increased 4.0% and decreased 6.8% for the three and nine months ended December 26, 2015, respectively, as compared to the same periods of fiscal 2015. The increase for the three months ended December 26, 2015 was primarily driven by increased activities for several projects designed to support our long-term product plans and to increase our competitiveness. This increase was partially offset by a reduction in restructuring and transformation costs of $0.4 million. For the nine months ended December 26, 2015, the decrease was primarily the result of a reduction in restructuring and transformation costs of $4.5 million, partially offset by the increased research and development activities discussed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Selling, general and administrative expenses decreased 4.3% and 7.1% for the three and nine months ended December 26, 2015, respectively, as compared to the same periods of fiscal 2015. Without the effect of foreign exchange, selling, general, and administrative expenses decreased 0.8% and 3.3% for the three and nine months ended December 26, 2015, respectively, as compared to the same periods of fiscal 2015. The decrease for the three and nine months ended December 26, 2015 was primarily the result of reductions in restructuring and transformation costs of $2.1 million and $11.1 million. In addition, reduced sales and marketing activities in Europe and the donor business in the U.S., as well as decreased variable compensation, contributed to the reduction. The decrease in fiscal 2016 was partially offset by increased spending in sales and marketing activities related to plasma.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and other expense, net decreased 7.2% and 9.9% for the three and nine months ended December 26, 2015, respectively, as compared to the same periods of fiscal 2015. Interest expense from our term loan borrowings constitutes the majority of expense reported in both periods. The effective interest rate on total debt outstanding for the three and nine months ended December 26, 2015 was 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140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5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December 27,</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5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tax rate is lower than the U.S. federal statutory rate in all reported periods as the income tax rates in the foreign jurisdictions are generally lower than the U.S. statutory tax rate.</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reported income tax benefit rate for the nine months ended December 26, 2015 was 3.8%, as compared to a reported income tax provision rate of 7.8% for the nine months ended December 27, 2014. The change in our reported tax rate for the nine months ending December 26, 2015 relates primarily to the impact of impairment charges recorded during the third quarter. During the three and nine months ended December 26, 2015, we recorded goodwill impairment charges of $66.3 million and Intangible asset impairment charge of $18.7 million with a corresponding $7.1 million benefit to income taxes.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nine months ended December 26, 2015, we recorded pre-tax losses in Scotland, Italy and Malaysia due to restructuring and transformation costs associated with our manufacturing transformation, and we did not record a corresponding tax benefit due to the valuation allowance maintained against our net deferred tax assets in these jurisdictions. Similarly, during the nine months ended December 27, 2014, we recorded pre-tax losses in Scotland, Italy and Malaysia associated with restructuring costs, and we did not record a corresponding tax benefit due to uncertainty around our ability to realize a tax benefit in these jurisdictions. In addition, we recorded discrete tax benefits during the three months ended December 26, 2015 associated with the release of tax reserves due to the expiration of the statute of limitations as well as the retroactive enactment of the U.S. federal research credit.</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recorded tax expense of $1.0 million during the nine months ended December 26, 2015 as a result of a deferred tax rate change which impacted an indefinite-lived deferred tax liability of our Puerto Rican subsidiary.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w:t>
            </w:r>
          </w:p>
        </w:tc>
        <w:tc>
          <w:tcPr>
            <w:tcW w:w="28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326,029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381,185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70"/>
        </w:trPr>
        <w:tc>
          <w:tcPr>
            <w:tcW w:w="8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(321,940)</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(267,229)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previously discussed, during fiscal 2015 our business was negatively impacted by reductions in the demand for blood products caused by changes in blood management practices and actions taken by U.S. blood center customers in response to reductions in demand. This includes the loss of the American Red Cross whole blood contract which impacted our results beginning in the first quarter of fiscal 2015.</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VCC initiatives require cash expenditures for plant exit and closure costs; including separation benefits, new plant construction and temporary increases in inventory levels as manufacturing is transitioned to new facilities. We estimate we will incur approximately $40 million in restructuring and transformation costs, net of contingent consideration income, in fiscal 2016.</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April 28, 2014, we announced a share repurchase plan of up to $100.0 million worth of shares in the open market. The repurchase program adheres to all debt covenants and is subject to market conditions. We completed this repurchase program during the second quarter of fiscal 2016. In total, we repurchased approximately 2.7 million shares at a total cost of $100.0 million under this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approximately $422.3 million as of December 26, 2015. We were in compliance with the leverage and interest coverage ratios specified in the Credit Agreement as well as all other bank covenants as of December 26, 2015. The goodwill and intangible asset impairment charges discussed in Note 6,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Intangible Assets, </w:t>
      </w:r>
      <w:r>
        <w:rPr>
          <w:rFonts w:ascii="Arial" w:cs="Arial" w:eastAsia="Arial" w:hAnsi="Arial"/>
          <w:sz w:val="17"/>
          <w:szCs w:val="17"/>
          <w:color w:val="auto"/>
        </w:rPr>
        <w:t>are excluded from the definition of consolidated EBITDA in the Credit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6"/>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December 26,</w:t>
            </w:r>
          </w:p>
        </w:tc>
        <w:tc>
          <w:tcPr>
            <w:tcW w:w="100" w:type="dxa"/>
            <w:vAlign w:val="bottom"/>
          </w:tcPr>
          <w:p>
            <w:pPr>
              <w:spacing w:after="0"/>
              <w:rPr>
                <w:sz w:val="12"/>
                <w:szCs w:val="12"/>
                <w:color w:val="auto"/>
              </w:rPr>
            </w:pPr>
          </w:p>
        </w:tc>
        <w:tc>
          <w:tcPr>
            <w:tcW w:w="1480" w:type="dxa"/>
            <w:vAlign w:val="bottom"/>
          </w:tcPr>
          <w:p>
            <w:pPr>
              <w:jc w:val="right"/>
              <w:ind w:right="316"/>
              <w:spacing w:after="0" w:line="147"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436"/>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68,612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71,873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(23,669)</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11,293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2,659</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(55,495)</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2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cash provided by operating activities decreased by $3.3 million during the nine months ended December 26, 2015, as compared to the nine months ended December 27, 2014. Cash provided by operating activities decreased primarily due to a working capital outflow. The working capital outflow was primarily attributable to a decrease in accounts payable and accrued expenses, driven largely by the annual payout of cash bonuses for performance in the prior fiscal year. Also contributing to the reduction in cash provided by operating activities was a significant decrease in accounts receivable during the prior year comparable period due to a reduction in revenues. The decrease in cash provided by operating activities was partially offset by lower inventory purchases during the nine months ended December 26, 2015 as compared to the prior period and by a reduction in expenses associated with our VCC initiatives flowing through earnings during the nine months ended December 26, 2015.</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used in investing activities decreased by $23.7 million during the nine months ended December 26, 2015, as compared to the nine months ended December 27, 2014. The decrease in cash used in investing activities was the result of a reduction in capital expenditures in the first nine months of fiscal 2016 related to manufacturing operations under construction in Malaysia and Tijuana, which have been substantially completed. During the nine months ended December 27, 2014, cash used in investing activities included significant costs related to plant construction activities in Malaysia and Tijuana and the purchase of two previously leased facilities, our manufacturing facility in Salt Lake City and an administrative office at our corporate headquarters in Braintree, Massachusetts.</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used in financing activities increased by $11.3 million during the nine months ended December 26, 2015, as compared to the nine months ended December 27, 2014. This was primarily due to $61.0 million of cash used to repurchase shares during the nine months ended December 26, 2015, as discussed above, compared to the $38.7 million used for repurchase during the nine months ended December 27, 2014. This was partially offset by an increase in short-term loans and a modest decrease in term loan repayments during the nine months ended December 26, 2015 due to our debt restructuring.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nine months ended December 26, 2015, approximately 43.1%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2014, 2015 and 2016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First</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Second</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Favorable /</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Third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100" w:type="dxa"/>
            <w:vAlign w:val="bottom"/>
            <w:gridSpan w:val="2"/>
          </w:tcPr>
          <w:p>
            <w:pPr>
              <w:ind w:left="320"/>
              <w:spacing w:after="0"/>
              <w:rPr>
                <w:sz w:val="20"/>
                <w:szCs w:val="20"/>
                <w:color w:val="auto"/>
              </w:rPr>
            </w:pPr>
            <w:r>
              <w:rPr>
                <w:rFonts w:ascii="Arial" w:cs="Arial" w:eastAsia="Arial" w:hAnsi="Arial"/>
                <w:sz w:val="13"/>
                <w:szCs w:val="13"/>
                <w:color w:val="auto"/>
              </w:rPr>
              <w:t>Fourth</w:t>
            </w:r>
          </w:p>
        </w:tc>
        <w:tc>
          <w:tcPr>
            <w:tcW w:w="1120" w:type="dxa"/>
            <w:vAlign w:val="bottom"/>
          </w:tcPr>
          <w:p>
            <w:pPr>
              <w:jc w:val="right"/>
              <w:ind w:right="199"/>
              <w:spacing w:after="0"/>
              <w:rPr>
                <w:sz w:val="20"/>
                <w:szCs w:val="20"/>
                <w:color w:val="auto"/>
              </w:rPr>
            </w:pPr>
            <w:r>
              <w:rPr>
                <w:rFonts w:ascii="Arial" w:cs="Arial" w:eastAsia="Arial" w:hAnsi="Arial"/>
                <w:sz w:val="13"/>
                <w:szCs w:val="13"/>
                <w:color w:val="auto"/>
              </w:rPr>
              <w:t>Favorable /</w:t>
            </w:r>
          </w:p>
        </w:tc>
      </w:tr>
      <w:tr>
        <w:trPr>
          <w:trHeight w:val="170"/>
        </w:trPr>
        <w:tc>
          <w:tcPr>
            <w:tcW w:w="22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10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120" w:type="dxa"/>
            <w:vAlign w:val="bottom"/>
          </w:tcPr>
          <w:p>
            <w:pPr>
              <w:jc w:val="right"/>
              <w:ind w:right="119"/>
              <w:spacing w:after="0"/>
              <w:rPr>
                <w:sz w:val="20"/>
                <w:szCs w:val="20"/>
                <w:color w:val="auto"/>
              </w:rPr>
            </w:pPr>
            <w:r>
              <w:rPr>
                <w:rFonts w:ascii="Arial" w:cs="Arial" w:eastAsia="Arial" w:hAnsi="Arial"/>
                <w:sz w:val="13"/>
                <w:szCs w:val="13"/>
                <w:color w:val="auto"/>
              </w:rPr>
              <w:t>(Unfavorable)</w:t>
            </w:r>
          </w:p>
        </w:tc>
      </w:tr>
      <w:tr>
        <w:trPr>
          <w:trHeight w:val="250"/>
        </w:trPr>
        <w:tc>
          <w:tcPr>
            <w:tcW w:w="2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Euro - Hedge Spot Rate (USD per Euro)</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FY15</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FY17</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FY14</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84.32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93.92</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97.16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101.09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102.44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FY16</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102.05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106.84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118.46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117.25</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124.07</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122.18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122.99</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Australian Dollar - Hedge Spot Rate (USD per AUD)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0.91</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0.91</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FY17</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0.76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0.73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0.72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2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2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Canadian Dollar - Hedge Spot Rate (CAD per USD)</w:t>
            </w: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FY14</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1 %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1.08</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1.14</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1.25</w:t>
            </w:r>
          </w:p>
        </w:tc>
        <w:tc>
          <w:tcPr>
            <w:tcW w:w="9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1.31</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1.35</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(USD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5 %</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1.62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1.64</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FY17</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1.55</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12 %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0.93</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FY16</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9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0.93</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0.97</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2 %</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Mexican Peso - Hedge Spot Rate (MXN per USD)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12.34</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12.35</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12.22</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12.40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13.06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13.09</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7 %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13.08</w:t>
            </w:r>
          </w:p>
        </w:tc>
        <w:tc>
          <w:tcPr>
            <w:tcW w:w="8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6 %</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13.63</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14.46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FY17</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15.20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16 %</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15.73</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20 %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16.71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23 %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17.07</w:t>
            </w: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regarding recent accounting pronouncements is included in Note </w:t>
      </w:r>
      <w:r>
        <w:rPr>
          <w:rFonts w:ascii="Arial" w:cs="Arial" w:eastAsia="Arial" w:hAnsi="Arial"/>
          <w:sz w:val="18"/>
          <w:szCs w:val="18"/>
          <w:i w:val="1"/>
          <w:iCs w:val="1"/>
          <w:color w:val="auto"/>
        </w:rPr>
        <w:t>2, Recent Accounting Pronouncements</w:t>
      </w:r>
      <w:r>
        <w:rPr>
          <w:rFonts w:ascii="Arial" w:cs="Arial" w:eastAsia="Arial" w:hAnsi="Arial"/>
          <w:sz w:val="18"/>
          <w:szCs w:val="18"/>
          <w:color w:val="auto"/>
        </w:rPr>
        <w:t xml:space="preserve"> to our unaudited consolidated financial statements contained 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Value Creation and Capture program, asset revaluations to reflect current business conditions, technological advances in the medical field and standards for transfusion medicine and our ability to successfully commercialize products that incorporate such advances and standards, customer acceptance of new products, demand for whole blood and blood components, product quality, market acceptance, 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$6.0 million increase in the fair value of the forward contracts; whereas a 10% weakening of the U.S. Dollar would result in a $5.9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December 26, 2015 was $422.3 million with an interest rate of 1.625% based on prevailing LIBOR rates. An increase of 100 basis points in LIBOR rates would result in additional annual interest expense of $4.2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an evaluation, as of December 26, 2015, under the supervision and with the participation of our management, including our Interim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Interim Chief Executive Officer and Chief Financial Officer concluded that our disclosure controls and procedures are effective as of December 26, 2015. There has been no change in our internal control over financial reporting during the quarter ended December 26,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26, 2015, the total amount of damages claimed by the plaintiffs in these matters is approximately $3.7 million. It is not possible at this point in the proceedings to accurately evaluate the likelihood or amount of any potential losses and therefore no amounts have been accrued. We may receive other, similar claims in the future.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2015,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April 28, 2014 press release, we announced that our Board of Directors approved the repurchase of up to $100.0 million worth of Company shares, subject to compliance with its loan covenants. In the second quarter of fiscal 2016, we completed the repurchase program. In total, we repurchased 2,661,945 shares of our common stock for an aggregate purchase price of $100.0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year were made under the publicly announced program and were made in the open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2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10120" w:type="dxa"/>
            <w:vAlign w:val="bottom"/>
          </w:tcPr>
          <w:p>
            <w:pPr>
              <w:spacing w:after="0"/>
              <w:rPr>
                <w:sz w:val="17"/>
                <w:szCs w:val="17"/>
                <w:color w:val="auto"/>
              </w:rPr>
            </w:pPr>
          </w:p>
        </w:tc>
      </w:tr>
      <w:tr>
        <w:trPr>
          <w:trHeight w:val="399"/>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Borders>
              <w:top w:val="single" w:sz="8" w:color="auto"/>
            </w:tcBorders>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Act of 2002, of Ronald Gelbman, Interim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6"/>
              </w:rPr>
              <w:t>Certification pursuant to Section 302 of Sarbanes-Oxley of 2002, of Christopher Lindop, Chief Financial Officer and Executive Vice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Ronald Gelbman, Interim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The following materials from Haemonetics Corporation on Form 10-Q for the quarter ended December 26, 2015,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4"/>
              </w:rPr>
              <w:t>Business Reporting Language (XBRL); (i) Consolidated Statements of Income and Comprehensive Income, (ii) Consolidated Balance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60" w:hanging="685"/>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81" w:lineRule="exact"/>
        <w:rPr>
          <w:sz w:val="20"/>
          <w:szCs w:val="20"/>
          <w:color w:val="auto"/>
        </w:rPr>
      </w:pPr>
    </w:p>
    <w:p>
      <w:pPr>
        <w:ind w:left="5620" w:right="4560" w:hanging="5585"/>
        <w:spacing w:after="0" w:line="350" w:lineRule="auto"/>
        <w:tabs>
          <w:tab w:leader="none" w:pos="72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Agreement, plan, or arrangement related to the compensation of officers or directors 38</w:t>
      </w:r>
    </w:p>
    <w:p>
      <w:pPr>
        <w:sectPr>
          <w:pgSz w:w="11900" w:h="16838" w:orient="portrait"/>
          <w:cols w:equalWidth="0" w:num="1">
            <w:col w:w="11360"/>
          </w:cols>
          <w:pgMar w:left="240" w:top="108" w:right="299" w:bottom="1440" w:gutter="0" w:footer="0" w:header="0"/>
        </w:sectPr>
      </w:pPr>
    </w:p>
    <w:bookmarkStart w:id="38" w:name="page39"/>
    <w:bookmarkEnd w:id="3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2/2/2016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Ronald Gelbman, Interim</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2/2/2016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121"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Ronald Gelbman, certify that:</w:t>
      </w:r>
    </w:p>
    <w:p>
      <w:pPr>
        <w:spacing w:after="0" w:line="1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2/2/2016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Ronald Gelbman, Interim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2/2/2016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26, 2015 as filed with the Securities and Exchange Commission on the date hereof (the “Report”), I, Ronald Gelbman, Interim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2/2/2016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Ronald Gelbman,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26, 2015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2/2/2016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2019-12-29T13:31:30Z</dcterms:created>
  <dcterms:modified xsi:type="dcterms:W3CDTF">2019-12-29T13:31:30Z</dcterms:modified>
</cp:coreProperties>
</file>