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6, 2026</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Registration No. 333-_____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UNITED STATES</w:t>
        <w:br/>
        <w:t>SECURITIES AND EXCHANGE COMMISSION</w:t>
        <w:br/>
        <w:t>Washington, D.C. 20549</w:t>
      </w:r>
    </w:p>
    <w:p>
      <w:pPr>
        <w:pStyle w:val="TextBody"/>
        <w:bidi w:val="0"/>
        <w:spacing w:lineRule="auto" w:line="288" w:before="0" w:after="240"/>
        <w:jc w:val="center"/>
        <w:rPr/>
      </w:pPr>
      <w:r>
        <w:rPr>
          <w:rFonts w:ascii="Times New Roman;serif" w:hAnsi="Times New Roman;serif"/>
          <w:b/>
          <w:color w:val="000000"/>
          <w:sz w:val="32"/>
        </w:rPr>
        <w:t>FORM S-8</w:t>
        <w:br/>
        <w:t>REGISTRATION STATEMENT</w:t>
        <w:br/>
      </w:r>
      <w:r>
        <w:rPr>
          <w:rFonts w:ascii="Times New Roman;serif" w:hAnsi="Times New Roman;serif"/>
          <w:b/>
          <w:color w:val="000000"/>
          <w:sz w:val="24"/>
        </w:rPr>
        <w:t xml:space="preserve">UNDER </w:t>
        <w:br/>
        <w:t>THE SECURITIES ACT OF 1933</w:t>
      </w:r>
    </w:p>
    <w:p>
      <w:pPr>
        <w:pStyle w:val="TextBody"/>
        <w:bidi w:val="0"/>
        <w:spacing w:lineRule="auto" w:line="288" w:before="0" w:after="240"/>
        <w:jc w:val="center"/>
        <w:rPr/>
      </w:pPr>
      <w:r>
        <w:rPr>
          <w:rFonts w:ascii="Times New Roman;serif" w:hAnsi="Times New Roman;serif"/>
          <w:b/>
          <w:color w:val="000000"/>
          <w:sz w:val="32"/>
        </w:rPr>
        <w:t>HAEMONETICS CORPORATION</w:t>
        <w:br/>
      </w: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93" w:type="dxa"/>
        <w:jc w:val="left"/>
        <w:tblInd w:w="0" w:type="dxa"/>
        <w:tblLayout w:type="fixed"/>
        <w:tblCellMar>
          <w:top w:w="28" w:type="dxa"/>
          <w:left w:w="28" w:type="dxa"/>
          <w:bottom w:w="28" w:type="dxa"/>
          <w:right w:w="28" w:type="dxa"/>
        </w:tblCellMar>
      </w:tblPr>
      <w:tblGrid>
        <w:gridCol w:w="1796"/>
        <w:gridCol w:w="1582"/>
        <w:gridCol w:w="1586"/>
        <w:gridCol w:w="886"/>
        <w:gridCol w:w="886"/>
        <w:gridCol w:w="1257"/>
      </w:tblGrid>
      <w:tr>
        <w:trPr/>
        <w:tc>
          <w:tcPr>
            <w:tcW w:w="179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0"/>
              </w:rPr>
              <w:t>Massachusetts</w:t>
            </w:r>
            <w:r>
              <w:rPr>
                <w:rFonts w:ascii="Times New Roman;serif" w:hAnsi="Times New Roman;serif"/>
                <w:b w:val="false"/>
                <w:color w:val="000000"/>
                <w:sz w:val="20"/>
              </w:rPr>
              <w:b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0"/>
              </w:rPr>
              <w:t>04-2882273</w:t>
              <w:br/>
            </w:r>
            <w:r>
              <w:rPr>
                <w:rFonts w:ascii="Times New Roman;serif" w:hAnsi="Times New Roman;serif"/>
                <w:b w:val="false"/>
                <w:color w:val="000000"/>
                <w:sz w:val="20"/>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0"/>
              </w:rPr>
              <w:t>125 Summer Street, Boston, Massachusetts</w:t>
              <w:br/>
            </w: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0"/>
              </w:rPr>
              <w:t>02110</w:t>
            </w:r>
            <w:r>
              <w:rPr>
                <w:rFonts w:ascii="Times New Roman;serif" w:hAnsi="Times New Roman;serif"/>
                <w:b w:val="false"/>
                <w:color w:val="000000"/>
                <w:sz w:val="20"/>
              </w:rPr>
              <w:br/>
              <w:t>(Zip Code)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20"/>
        </w:rPr>
        <w:t>Haemonetics Corporation Amended and Restated 2019 Long-Term Incentive Compensation Plan</w:t>
        <w:br/>
      </w:r>
      <w:r>
        <w:rPr>
          <w:rFonts w:ascii="Times New Roman;serif" w:hAnsi="Times New Roman;serif"/>
          <w:b w:val="false"/>
          <w:color w:val="000000"/>
          <w:sz w:val="20"/>
        </w:rPr>
        <w:t>(Full title of the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20"/>
        </w:rPr>
        <w:t>Michelle L. Basil</w:t>
        <w:br/>
        <w:t>Executive Vice President, General Counsel</w:t>
        <w:br/>
        <w:t>Haemonetics Corporation</w:t>
        <w:br/>
        <w:t xml:space="preserve">125 Summer Street </w:t>
        <w:br/>
        <w:t>Boston, Massachusetts 02110</w:t>
        <w:br/>
        <w:t>(781) 848-7100</w:t>
        <w:br/>
      </w:r>
      <w:r>
        <w:rPr>
          <w:rFonts w:ascii="Times New Roman;serif" w:hAnsi="Times New Roman;serif"/>
          <w:b w:val="false"/>
          <w:color w:val="000000"/>
          <w:sz w:val="20"/>
        </w:rPr>
        <w:t>(Name, address and telephone number, including area code, of agent for services)</w:t>
      </w:r>
    </w:p>
    <w:p>
      <w:pPr>
        <w:pStyle w:val="TextBody"/>
        <w:bidi w:val="0"/>
        <w:spacing w:lineRule="auto" w:line="288" w:before="0" w:after="240"/>
        <w:jc w:val="center"/>
        <w:rPr/>
      </w:pPr>
      <w:r>
        <w:rPr>
          <w:rFonts w:ascii="Times New Roman;serif" w:hAnsi="Times New Roman;serif"/>
          <w:b w:val="false"/>
          <w:i/>
          <w:color w:val="000000"/>
          <w:sz w:val="20"/>
        </w:rPr>
        <w:t>Copies to:</w:t>
        <w:br/>
      </w:r>
      <w:r>
        <w:rPr>
          <w:rFonts w:ascii="Times New Roman;serif" w:hAnsi="Times New Roman;serif"/>
          <w:b/>
          <w:color w:val="000000"/>
          <w:sz w:val="20"/>
        </w:rPr>
        <w:t>Celia A. Soehner</w:t>
        <w:br/>
        <w:t>Morgan, Lewis &amp; Bockius LLP</w:t>
        <w:br/>
        <w:t>One Oxford Centre, Thirty-Second Floor</w:t>
        <w:br/>
        <w:t>Pittsburgh, Pennsylvania 15219</w:t>
        <w:br/>
        <w:t>(412) 560-3300</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240"/>
        <w:jc w:val="left"/>
        <w:rPr/>
      </w:pPr>
      <w:r>
        <w:rPr>
          <w:rFonts w:ascii="Times New Roman;serif" w:hAnsi="Times New Roman;serif"/>
          <w:b w:val="false"/>
          <w:color w:val="000000"/>
          <w:sz w:val="20"/>
        </w:rPr>
        <w:t>Large accelerated filer    </w:t>
      </w:r>
      <w:r>
        <w:rPr>
          <w:color w:val="000000"/>
        </w:rPr>
        <w:t>☑    </w:t>
      </w:r>
      <w:r>
        <w:rPr>
          <w:rFonts w:ascii="Times New Roman;serif" w:hAnsi="Times New Roman;serif"/>
          <w:b w:val="false"/>
          <w:color w:val="000000"/>
          <w:sz w:val="20"/>
        </w:rPr>
        <w:t>Accelerated filer    </w:t>
      </w:r>
      <w:r>
        <w:rPr>
          <w:color w:val="000000"/>
        </w:rPr>
        <w:t>☐</w:t>
      </w:r>
      <w:r>
        <w:rPr>
          <w:rFonts w:ascii="Arial;sans-serif" w:hAnsi="Arial;sans-serif"/>
          <w:b w:val="false"/>
          <w:color w:val="000000"/>
          <w:sz w:val="20"/>
        </w:rPr>
        <w:br/>
      </w:r>
      <w:r>
        <w:rPr>
          <w:rFonts w:ascii="Times New Roman;serif" w:hAnsi="Times New Roman;serif"/>
          <w:b w:val="false"/>
          <w:color w:val="000000"/>
          <w:sz w:val="20"/>
        </w:rPr>
        <w:t>Non-accelerated filer    </w:t>
      </w:r>
      <w:r>
        <w:rPr>
          <w:color w:val="000000"/>
        </w:rPr>
        <w:t>☐    </w:t>
      </w:r>
      <w:r>
        <w:rPr>
          <w:rFonts w:ascii="Times New Roman;serif" w:hAnsi="Times New Roman;serif"/>
          <w:b w:val="false"/>
          <w:color w:val="000000"/>
          <w:sz w:val="20"/>
        </w:rPr>
        <w:t>Smaller reporting company    </w:t>
      </w:r>
      <w:r>
        <w:rPr>
          <w:color w:val="000000"/>
        </w:rPr>
        <w:t>☐</w:t>
      </w:r>
      <w:r>
        <w:rPr>
          <w:rFonts w:ascii="Arial;sans-serif" w:hAnsi="Arial;sans-serif"/>
          <w:b w:val="false"/>
          <w:color w:val="000000"/>
          <w:sz w:val="20"/>
        </w:rPr>
        <w:br/>
      </w:r>
      <w:r>
        <w:rPr>
          <w:color w:val="000000"/>
        </w:rPr>
        <w:t>        </w:t>
      </w:r>
      <w:r>
        <w:rPr>
          <w:rFonts w:ascii="Times New Roman;serif" w:hAnsi="Times New Roman;serif"/>
          <w:b w:val="false"/>
          <w:color w:val="000000"/>
          <w:sz w:val="20"/>
        </w:rPr>
        <w:t>Emerging growth company    </w:t>
      </w:r>
      <w:r>
        <w:rPr>
          <w:color w:val="000000"/>
        </w:rPr>
        <w:t>☐</w:t>
      </w:r>
    </w:p>
    <w:p>
      <w:pPr>
        <w:pStyle w:val="TextBody"/>
        <w:bidi w:val="0"/>
        <w:spacing w:lineRule="auto" w:line="288"/>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Haemonetics Corporation (the “Company”) is filing this registration statement on Form S-8 to register the offer and sale of 4,680,000 additional shares of common stock, par value $0.01 (the “Common Stock”) authorized for issuance under the Haemonetics Corporation Amended and Restated 2019 Long-Term Incentive Compensation Plan (the “Plan”). On June 9, 2026, the Company filed with the Securities and Exchange Commission (the “Commission”) a definitive proxy statement that included a proposal to approve the Plan, as amended and restated, to, among other things, increase the number of shares available for issuance under the Plan by 4,680,000 shares of Common Stock. The proposal to amend and restate the Plan was approved by the Company’s shareholders on July 24, 2026. </w:t>
      </w:r>
    </w:p>
    <w:p>
      <w:pPr>
        <w:pStyle w:val="TextBody"/>
        <w:bidi w:val="0"/>
        <w:spacing w:lineRule="auto" w:line="288" w:before="0" w:after="240"/>
        <w:jc w:val="left"/>
        <w:rPr/>
      </w:pPr>
      <w:r>
        <w:rPr>
          <w:rFonts w:ascii="Times New Roman;serif" w:hAnsi="Times New Roman;serif"/>
          <w:b w:val="false"/>
          <w:color w:val="000000"/>
          <w:sz w:val="20"/>
        </w:rPr>
        <w:t xml:space="preserve">On July 30, 2019, the Company filed with the Commission (i) a </w:t>
      </w:r>
      <w:hyperlink r:id="rId2">
        <w:r>
          <w:rPr>
            <w:rStyle w:val="InternetLink"/>
            <w:rFonts w:ascii="Times New Roman;serif" w:hAnsi="Times New Roman;serif"/>
            <w:b w:val="false"/>
            <w:color w:val="0000FF"/>
            <w:sz w:val="20"/>
            <w:u w:val="single"/>
          </w:rPr>
          <w:t>Post-Effective Amendment to Form S-8</w:t>
        </w:r>
      </w:hyperlink>
      <w:r>
        <w:rPr>
          <w:color w:val="000000"/>
        </w:rPr>
        <w:t xml:space="preserve"> </w:t>
      </w:r>
      <w:r>
        <w:rPr>
          <w:rFonts w:ascii="Times New Roman;serif" w:hAnsi="Times New Roman;serif"/>
          <w:b w:val="false"/>
          <w:color w:val="000000"/>
          <w:sz w:val="20"/>
        </w:rPr>
        <w:t xml:space="preserve">and (ii) a </w:t>
      </w:r>
      <w:hyperlink r:id="rId3">
        <w:r>
          <w:rPr>
            <w:rStyle w:val="InternetLink"/>
            <w:rFonts w:ascii="Times New Roman;serif" w:hAnsi="Times New Roman;serif"/>
            <w:b w:val="false"/>
            <w:color w:val="0000FF"/>
            <w:sz w:val="20"/>
            <w:u w:val="single"/>
          </w:rPr>
          <w:t>Registration Statement on Form S-8</w:t>
        </w:r>
      </w:hyperlink>
      <w:r>
        <w:rPr>
          <w:color w:val="000000"/>
        </w:rPr>
        <w:t xml:space="preserve"> </w:t>
      </w:r>
      <w:r>
        <w:rPr>
          <w:rFonts w:ascii="Times New Roman;serif" w:hAnsi="Times New Roman;serif"/>
          <w:b w:val="false"/>
          <w:color w:val="000000"/>
          <w:sz w:val="20"/>
        </w:rPr>
        <w:t xml:space="preserve">(together, the “2019 Registration Statements”) relating to shares of Common Stock issuable to eligible participants under the Plan. On August 11, 2023, the Company filed with the Commission a </w:t>
      </w:r>
      <w:hyperlink r:id="rId4">
        <w:r>
          <w:rPr>
            <w:rStyle w:val="InternetLink"/>
            <w:rFonts w:ascii="Times New Roman;serif" w:hAnsi="Times New Roman;serif"/>
            <w:b w:val="false"/>
            <w:color w:val="0000FF"/>
            <w:sz w:val="20"/>
            <w:u w:val="single"/>
          </w:rPr>
          <w:t>Registration Statement on Form S-8</w:t>
        </w:r>
      </w:hyperlink>
      <w:r>
        <w:rPr>
          <w:color w:val="000000"/>
        </w:rPr>
        <w:t xml:space="preserve"> </w:t>
      </w:r>
      <w:r>
        <w:rPr>
          <w:rFonts w:ascii="Times New Roman;serif" w:hAnsi="Times New Roman;serif"/>
          <w:b w:val="false"/>
          <w:color w:val="000000"/>
          <w:sz w:val="20"/>
        </w:rPr>
        <w:t>(the “2023 Registration Statement” and, together with the 2019 Registration Statements, the “Prior Registration Statements”) for the purpose of registering additional shares of Common Stock issuable to eligible participants under the Plan. The Prior Registration Statements are currently effective. This Registration Statement relates to securities of the same class as those to which the Prior Registration Statements relate and is submitted in accordance with General Instruction E of Form S-8 regarding Registration of Additional Securities. In accordance with General Instruction E of Form S-8, the Company hereby incorporates by reference into this Registration Statement the contents of the Prior Registration Statements relating to the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br/>
        <w:t>INFORMATION REQUIRED IN THE SECTION 10(a) PROSPECTUS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Plan Information.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Registrant Information and Employee Plan Annual Information.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    Documents containing the information required by Part I of this Registration Statement will be sent or given to participants in the Plan as specified by Rule 428(b)(1) under the Securities Act of 1933 (the “Securities Act”). Such documents are not being filed herewith or incorporated herein by reference in accordance with the rules and regulations of the Securities and Exchange Commission (the “Commission”). Such documents and the documents incorporated by reference herein pursuant to Item 3 of Part II hereof, taken together, constitute a prospectus that meets the requirements of Section 10(a) of the Securities Act.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br/>
        <w:t>INFORMATION REQUIRED IN THE REGISTRATION STATEMENT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previously filed by the Company with the Commission are incorporated by reference into this Registration Statement: </w:t>
      </w:r>
    </w:p>
    <w:p>
      <w:pPr>
        <w:pStyle w:val="TextBody"/>
        <w:bidi w:val="0"/>
        <w:spacing w:lineRule="auto" w:line="288" w:before="0" w:after="240"/>
        <w:ind w:left="0" w:right="0" w:hanging="360"/>
        <w:jc w:val="left"/>
        <w:rPr/>
      </w:pPr>
      <w:r>
        <w:rPr>
          <w:rFonts w:ascii="Times New Roman;serif" w:hAnsi="Times New Roman;serif"/>
          <w:b w:val="false"/>
          <w:color w:val="000000"/>
          <w:sz w:val="20"/>
        </w:rPr>
        <w:t xml:space="preserve">(a)The Company’s Annual Report on </w:t>
      </w:r>
      <w:hyperlink r:id="rId5">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March 28, 2026, filed with the Commission on May 20, 2026 (including the portions of the Company’s </w:t>
      </w:r>
      <w:hyperlink r:id="rId6">
        <w:r>
          <w:rPr>
            <w:rStyle w:val="InternetLink"/>
            <w:rFonts w:ascii="Times New Roman;serif" w:hAnsi="Times New Roman;serif"/>
            <w:b w:val="false"/>
            <w:color w:val="0000FF"/>
            <w:sz w:val="20"/>
            <w:u w:val="single"/>
          </w:rPr>
          <w:t>definitive proxy statement</w:t>
        </w:r>
      </w:hyperlink>
      <w:r>
        <w:rPr>
          <w:color w:val="000000"/>
        </w:rPr>
        <w:t xml:space="preserve"> </w:t>
      </w:r>
      <w:r>
        <w:rPr>
          <w:rFonts w:ascii="Times New Roman;serif" w:hAnsi="Times New Roman;serif"/>
          <w:b w:val="false"/>
          <w:color w:val="000000"/>
          <w:sz w:val="20"/>
        </w:rPr>
        <w:t xml:space="preserve">for the Company’s 2026 Annual Meeting of Shareholders, filed with the Commission on June 9, 2026 and incorporated by reference therein); </w:t>
      </w:r>
    </w:p>
    <w:p>
      <w:pPr>
        <w:pStyle w:val="TextBody"/>
        <w:bidi w:val="0"/>
        <w:spacing w:lineRule="auto" w:line="288" w:before="0" w:after="240"/>
        <w:ind w:left="0" w:right="0" w:hanging="360"/>
        <w:jc w:val="left"/>
        <w:rPr/>
      </w:pPr>
      <w:r>
        <w:rPr>
          <w:rFonts w:ascii="Times New Roman;serif" w:hAnsi="Times New Roman;serif"/>
          <w:b w:val="false"/>
          <w:color w:val="000000"/>
          <w:sz w:val="20"/>
        </w:rPr>
        <w:t xml:space="preserve">(b)The Company’s Quarterly Report on </w:t>
      </w:r>
      <w:hyperlink r:id="rId7">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 ended June 27, 2026, filed with the Commission on August 6, 2026;</w:t>
      </w:r>
    </w:p>
    <w:p>
      <w:pPr>
        <w:pStyle w:val="TextBody"/>
        <w:bidi w:val="0"/>
        <w:spacing w:lineRule="auto" w:line="288" w:before="0" w:after="240"/>
        <w:ind w:left="0" w:right="0" w:hanging="360"/>
        <w:jc w:val="left"/>
        <w:rPr/>
      </w:pPr>
      <w:r>
        <w:rPr>
          <w:rFonts w:ascii="Times New Roman;serif" w:hAnsi="Times New Roman;serif"/>
          <w:b w:val="false"/>
          <w:color w:val="000000"/>
          <w:sz w:val="20"/>
        </w:rPr>
        <w:t xml:space="preserve">(c)The Company’s Current Report on </w:t>
      </w:r>
      <w:hyperlink r:id="rId8">
        <w:r>
          <w:rPr>
            <w:rStyle w:val="InternetLink"/>
            <w:rFonts w:ascii="Times New Roman;serif" w:hAnsi="Times New Roman;serif"/>
            <w:b w:val="false"/>
            <w:color w:val="0000FF"/>
            <w:sz w:val="20"/>
            <w:u w:val="single"/>
          </w:rPr>
          <w:t>Form 8-K</w:t>
        </w:r>
      </w:hyperlink>
      <w:r>
        <w:rPr>
          <w:color w:val="000000"/>
        </w:rPr>
        <w:t xml:space="preserve"> </w:t>
      </w:r>
      <w:r>
        <w:rPr>
          <w:rFonts w:ascii="Times New Roman;serif" w:hAnsi="Times New Roman;serif"/>
          <w:b w:val="false"/>
          <w:color w:val="000000"/>
          <w:sz w:val="20"/>
        </w:rPr>
        <w:t xml:space="preserve">filed with the Commission on July 28, 2026; and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rFonts w:ascii="Times New Roman;serif" w:hAnsi="Times New Roman;serif"/>
          <w:b w:val="false"/>
          <w:color w:val="000000"/>
          <w:sz w:val="20"/>
        </w:rPr>
        <w:t xml:space="preserve">(d)The description of the Company’s Common Stock contained in </w:t>
      </w:r>
      <w:hyperlink r:id="rId9">
        <w:r>
          <w:rPr>
            <w:rStyle w:val="InternetLink"/>
            <w:rFonts w:ascii="Times New Roman;serif" w:hAnsi="Times New Roman;serif"/>
            <w:b w:val="false"/>
            <w:color w:val="0000FF"/>
            <w:sz w:val="20"/>
            <w:u w:val="single"/>
          </w:rPr>
          <w:t>Exhibit 4B</w:t>
        </w:r>
      </w:hyperlink>
      <w:r>
        <w:rPr>
          <w:color w:val="000000"/>
        </w:rPr>
        <w:t xml:space="preserve"> </w:t>
      </w:r>
      <w:r>
        <w:rPr>
          <w:rFonts w:ascii="Times New Roman;serif" w:hAnsi="Times New Roman;serif"/>
          <w:b w:val="false"/>
          <w:color w:val="000000"/>
          <w:sz w:val="20"/>
        </w:rPr>
        <w:t xml:space="preserve">to the Company’s Annual Report on Form 10-K for the fiscal year ended March 28, 2020, and including any amendment or report filed for the purpose of updating such description.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any information contained in any Current Report on Form 8-K, or any exhibit thereto, was furnished to, rather than filed with, the Commission, such information or exhibit is specifically not incorporated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that the Company subsequently files with the Commission pursuant to Sections 13(a), 13(c), 14 or 15(d) of the Securities Exchange Act of 1934, as amended (the “Exchange Act”), after the date of this Registration Statement and prior to the filing of a post-effective amendment that indicates that the Company has sold all of the securities offered under this Registration Statement or deregisters the distribution of all such securities then remaining unsold shall be deemed to be incorporated by reference in this Registration Statement and to be a part hereof from the date that the Company files such report or document. These documents may include, among others, Annual Reports on Form 10-K, Quarterly Reports on Form 10-Q and Current Reports on Form 8-K, as well as proxy statements. The Company is not, however, incorporating any information furnished under either Item 2.02 or Item 7.01 of any Current Report on Form 8-K.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replaces such statement. Any such statement so modified or replaced shall not be deemed, except as so modified or replaced, to constitute a part of this Registration Statement.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6. Indemnification of Directors and Officers.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officers and directors are and will be indemnified against certain liabilities under (i) Massachusetts law, (ii) the Company’s Restated Articles of Organization (the “Restated Articles of Organization”) and (iii) the Company’s By-Laws (as amended through June 29, 2020, the “By-Laws”). In addition, the Company has indemnification agreements with its directors and certain officers and maintains directors’ and officers’ liability insurance.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Restated Articles of Organization and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Restated Articles of Organization provide that no director shall be personally liable to the Company or its shareholders for monetary damages for breach of fiduciary duty as a director, notwithstanding any provision of law imposing such liability, except for any matter in respect of which the director shall be liable under Section 61 or 62 of Chapter 156B of the Massachusetts General Laws, or any amendment or successor provision thereto, or shall be liable by reason that, in addition to any and all other requirements for such liability, he or she (i) shall have breached his or her duty of loyalty to the corporation or its shareholders, (ii) shall not have acted in good faith or, in failing to act, shall not have acted in good faith, (iii) shall have acted in a manner involving intentional misconduct or a knowing violation of law, or in failing to act, shall have acted in a manner involving intentional misconduct or a knowing violation of law, or (iv) shall have derived an improper personal benefit.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indemnification provisions of the Restated Articles of Organization described above, the Restated Articles of Organization and the By-Laws contain provisions enumerating each director’s and officer’s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rights to indemnification in connection with a proceeding in which he or she is involved as a result of his or her serving as a director or officer. These provisions do not apply if the director or officer has been adjudicated to not have acted in good faith in the reasonable belief that his or her action was in the best interests of the Company, or, to the extent that such proceeding relates to service with respect to an employee benefit plan, in the best interests of the participants or beneficiaries of such employee benefit plan.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Massachusetts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2004, Chapter 156B of the Massachusetts General Laws was replaced by Chapter 156D, the Massachusetts Business Corporation Act (“MBCA”), which authorizes indemnification as described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2.02(b)(4) of the MBCA provides that a Massachusetts corporation may, in its articles of organization, eliminate or limit the personal liability of a director for monetary damages for breach of fiduciary duty notwithstanding any law to the contrary, except for liabilities involving (i) any breach of duty of loyalty to the corporation or to the shareholders, (ii) acts or omissions not in good faith, intentional misconduct or knowing violations of law, (iii) certain improper distributions or (iv) any transaction from which the director derived an improper personal benefit.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8.51 of the MBCA authorizes a Massachusetts corporation to indemnify an individual who is a party to a proceeding because he or she is a director against liability incurred in the proceeding if (1) (i) such individual conducted himself/herself in good faith, (ii) such individual reasonably believed that his/her conduct was in the best interest in the corporation or that his/her conduct was at least not opposed to the best interest of the corporation, and (iii) in the case of any criminal proceeding, such individual had no reasonable cause to believe that his/her conduct was unlawful or (2) such individual engaged in conduct for which he or she shall not be liable under a provision of the articles of organization authorized by Section 2.02(b)(4) of the MBCA.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8.52 of the MBCA provides that a corporation must indemnify a director who is wholly successful, on the merits or otherwise, in the defense of any proceeding to which the director was a party because he or she was a director of the corporation against reasonable expenses incurred by him or her in connection with the proceeding.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8.56 of the MBCA authorizes a corporation to indemnify an officer of the corporation who is a party to a proceeding because he or she is an officer of the corporation to the same extent as a director and, if he or she is an officer but not a director, to such further extent as may be provided by the articles of organization, by-laws or a resolution of the board of directors or contract, except for liability rising out of acts or omissions not in good faith or which involve intentional misconduct or a knowing violation of law. Section 8.56 of the MBCA requires that a Massachusetts corporation indemnify an officer of the corporation who was wholly successful, on the merits or otherwise, in the defense of any proceeding to which such officer was a party because he was an officer of the corporation.</w:t>
      </w:r>
    </w:p>
    <w:p>
      <w:pPr>
        <w:pStyle w:val="TextBody"/>
        <w:bidi w:val="0"/>
        <w:spacing w:lineRule="auto" w:line="288" w:before="0" w:after="240"/>
        <w:jc w:val="left"/>
        <w:rPr/>
      </w:pPr>
      <w:r>
        <w:rPr>
          <w:rFonts w:ascii="Times New Roman;serif" w:hAnsi="Times New Roman;serif"/>
          <w:b w:val="false"/>
          <w:i/>
          <w:color w:val="000000"/>
          <w:sz w:val="20"/>
        </w:rPr>
        <w:t>Indemnification Agreements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indemnification agreements with its directors and certain officers. The indemnification agreements require the Company to indemnify such director or officer against any expenses or liabilities incurred in connection with any proceeding in which the director or officer may be involved as a party or otherwise, by reason of the fact that the director or officer is or was a director or officer of the Company or by any reason of any action taken by or omitted to be taken by such person while acting as a director or officer of the Company. However, the Company is only obligated to provide indemnification under the indemnification agreements if: (i) the director or officer was acting in good faith and in a manner he or she reasonably believed to be in the best interests of the Company, and, with respect to any criminal action, the director or officer had no reasonable cause to believe the director’s conduct was unlawful; (ii) the claim was not made to recover profits by the director or officer in violation of Section 16(b) of the Securities Exchange Act of 1934, as amended, or any similar law; (iii) the claim was not initiated by the director or officer; (iv) the claim was not covered by applicable insurance; or (v) the claim is permitted by applicable law. Each such director or officer has undertaken to repay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Company for any costs or expenses paid by the Company if it is ultimately determined that he or she is not entitled to indemnification under the indemnification agreements.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Exhibit Index.</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the Registration Statement: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0" w:after="24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w:t>
      </w:r>
    </w:p>
    <w:p>
      <w:pPr>
        <w:pStyle w:val="TextBody"/>
        <w:bidi w:val="0"/>
        <w:spacing w:lineRule="auto" w:line="288" w:before="0" w:after="240"/>
        <w:ind w:left="0" w:right="0" w:hanging="720"/>
        <w:jc w:val="left"/>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240"/>
        <w:ind w:left="0" w:right="0" w:hanging="720"/>
        <w:jc w:val="left"/>
        <w:rPr/>
      </w:pPr>
      <w:r>
        <w:rPr>
          <w:rFonts w:ascii="Times New Roman;serif" w:hAnsi="Times New Roman;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bl>
      <w:tblPr>
        <w:tblW w:w="10205" w:type="dxa"/>
        <w:jc w:val="left"/>
        <w:tblInd w:w="0" w:type="dxa"/>
        <w:tblLayout w:type="fixed"/>
        <w:tblCellMar>
          <w:top w:w="28" w:type="dxa"/>
          <w:left w:w="28" w:type="dxa"/>
          <w:bottom w:w="28" w:type="dxa"/>
          <w:right w:w="28" w:type="dxa"/>
        </w:tblCellMar>
      </w:tblPr>
      <w:tblGrid>
        <w:gridCol w:w="396"/>
        <w:gridCol w:w="348"/>
        <w:gridCol w:w="349"/>
        <w:gridCol w:w="109"/>
        <w:gridCol w:w="109"/>
        <w:gridCol w:w="109"/>
        <w:gridCol w:w="2652"/>
        <w:gridCol w:w="2530"/>
        <w:gridCol w:w="3603"/>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51mlblegalopinion.htm">
              <w:r>
                <w:rPr>
                  <w:rStyle w:val="InternetLink"/>
                  <w:rFonts w:ascii="Times New Roman;serif" w:hAnsi="Times New Roman;serif"/>
                  <w:b w:val="false"/>
                  <w:color w:val="0000FF"/>
                  <w:sz w:val="20"/>
                  <w:u w:val="single"/>
                </w:rPr>
                <w:t>5.1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Opinion of Morgan, Lewis &amp; Bockius LLP.</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eyformsx8consent.htm">
              <w:r>
                <w:rPr>
                  <w:rStyle w:val="InternetLink"/>
                  <w:rFonts w:ascii="Times New Roman;serif" w:hAnsi="Times New Roman;serif"/>
                  <w:b w:val="false"/>
                  <w:color w:val="0000FF"/>
                  <w:sz w:val="20"/>
                  <w:u w:val="single"/>
                </w:rPr>
                <w:t>23.1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Consent of Ernst &amp; Young LLP.</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mlblegalopinion.htm">
              <w:r>
                <w:rPr>
                  <w:rStyle w:val="InternetLink"/>
                  <w:rFonts w:ascii="Times New Roman;serif" w:hAnsi="Times New Roman;serif"/>
                  <w:b w:val="false"/>
                  <w:color w:val="0000FF"/>
                  <w:sz w:val="20"/>
                  <w:u w:val="single"/>
                </w:rPr>
                <w:t>23.2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Consent of Morgan, Lewis &amp; Bockius LLP (included in Exhibit 5.1).</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41-poa.htm">
              <w:r>
                <w:rPr>
                  <w:rStyle w:val="InternetLink"/>
                  <w:rFonts w:ascii="Times New Roman;serif" w:hAnsi="Times New Roman;serif"/>
                  <w:b w:val="false"/>
                  <w:color w:val="0000FF"/>
                  <w:sz w:val="20"/>
                  <w:u w:val="single"/>
                </w:rPr>
                <w:t>24.1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Power of Attorney.</w:t>
            </w:r>
          </w:p>
        </w:tc>
      </w:tr>
      <w:tr>
        <w:trPr/>
        <w:tc>
          <w:tcPr>
            <w:tcW w:w="1093"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r:id="rId10">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Haemonetics Corporation Amended and Restated 2019 Long-Term Incentive Compensation Plan (incorporated by reference to Exhibit 10.1 to the Company’s Current Report on Form 8-K, filed with the Commission on July 28, 2026).</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107</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r>
      <w:tr>
        <w:trPr/>
        <w:tc>
          <w:tcPr>
            <w:tcW w:w="10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August 6, 2026.</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HAEMONETICS CORPORATION</w:t>
      </w:r>
    </w:p>
    <w:p>
      <w:pPr>
        <w:pStyle w:val="TextBody"/>
        <w:bidi w:val="0"/>
        <w:spacing w:lineRule="auto" w:line="288" w:before="0" w:after="0"/>
        <w:ind w:left="0" w:right="0" w:hanging="72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Christopher A. Simon</w:t>
        <w:br/>
      </w:r>
      <w:r>
        <w:rPr>
          <w:rFonts w:ascii="Times New Roman;serif" w:hAnsi="Times New Roman;serif"/>
          <w:b w:val="false"/>
          <w:color w:val="000000"/>
          <w:sz w:val="20"/>
        </w:rPr>
        <w:t>Name: Christopher A. Simon</w:t>
        <w:br/>
        <w:t>Title: President and Chief Executive Officer</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 indicated.</w:t>
      </w:r>
    </w:p>
    <w:tbl>
      <w:tblPr>
        <w:tblW w:w="9914" w:type="dxa"/>
        <w:jc w:val="left"/>
        <w:tblInd w:w="0" w:type="dxa"/>
        <w:tblLayout w:type="fixed"/>
        <w:tblCellMar>
          <w:top w:w="28" w:type="dxa"/>
          <w:left w:w="28" w:type="dxa"/>
          <w:bottom w:w="28" w:type="dxa"/>
          <w:right w:w="28" w:type="dxa"/>
        </w:tblCellMar>
      </w:tblPr>
      <w:tblGrid>
        <w:gridCol w:w="763"/>
        <w:gridCol w:w="671"/>
        <w:gridCol w:w="681"/>
        <w:gridCol w:w="2126"/>
        <w:gridCol w:w="2126"/>
        <w:gridCol w:w="2153"/>
        <w:gridCol w:w="405"/>
        <w:gridCol w:w="405"/>
        <w:gridCol w:w="584"/>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Christopher A. Simon</w:t>
              <w:br/>
            </w:r>
            <w:r>
              <w:rPr>
                <w:rFonts w:ascii="Times New Roman;serif" w:hAnsi="Times New Roman;serif"/>
                <w:b w:val="false"/>
                <w:color w:val="000000"/>
                <w:sz w:val="20"/>
              </w:rPr>
              <w:t>Christopher A. Simon</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James C. D’Arecca</w:t>
              <w:br/>
            </w:r>
            <w:r>
              <w:rPr>
                <w:rFonts w:ascii="Times New Roman;serif" w:hAnsi="Times New Roman;serif"/>
                <w:b w:val="false"/>
                <w:color w:val="000000"/>
                <w:sz w:val="20"/>
              </w:rPr>
              <w:t>James C. D’Arecca</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Maryanne E. Farris</w:t>
              <w:br/>
            </w:r>
            <w:r>
              <w:rPr>
                <w:rFonts w:ascii="Times New Roman;serif" w:hAnsi="Times New Roman;serif"/>
                <w:b w:val="false"/>
                <w:color w:val="000000"/>
                <w:sz w:val="20"/>
              </w:rPr>
              <w:t xml:space="preserve">Maryanne E. Farris </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(Principal Accounting Officer)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Robert E. Abernathy</w:t>
              <w:br/>
            </w:r>
            <w:r>
              <w:rPr>
                <w:rFonts w:ascii="Times New Roman;serif" w:hAnsi="Times New Roman;serif"/>
                <w:b w:val="false"/>
                <w:color w:val="000000"/>
                <w:sz w:val="20"/>
              </w:rPr>
              <w:t>Robert E. Abernathy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Diane M. Bryant</w:t>
              <w:br/>
            </w:r>
            <w:r>
              <w:rPr>
                <w:rFonts w:ascii="Times New Roman;serif" w:hAnsi="Times New Roman;serif"/>
                <w:b w:val="false"/>
                <w:color w:val="000000"/>
                <w:sz w:val="20"/>
              </w:rPr>
              <w:t xml:space="preserve">Diane M. Bryant </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Michael J. Coyle</w:t>
              <w:br/>
            </w:r>
            <w:r>
              <w:rPr>
                <w:rFonts w:ascii="Times New Roman;serif" w:hAnsi="Times New Roman;serif"/>
                <w:b w:val="false"/>
                <w:color w:val="000000"/>
                <w:sz w:val="20"/>
              </w:rPr>
              <w:t>Michael J. Coyle</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Lloyd E. Johnson</w:t>
              <w:br/>
            </w:r>
            <w:r>
              <w:rPr>
                <w:rFonts w:ascii="Times New Roman;serif" w:hAnsi="Times New Roman;serif"/>
                <w:b w:val="false"/>
                <w:color w:val="000000"/>
                <w:sz w:val="20"/>
              </w:rPr>
              <w:t>Lloyd E. Johnson</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Mark W. Kroll</w:t>
              <w:br/>
            </w:r>
            <w:r>
              <w:rPr>
                <w:rFonts w:ascii="Times New Roman;serif" w:hAnsi="Times New Roman;serif"/>
                <w:b w:val="false"/>
                <w:color w:val="000000"/>
                <w:sz w:val="20"/>
              </w:rPr>
              <w:t>Mark W. Kroll</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Claire Pomeroy</w:t>
              <w:br/>
            </w:r>
            <w:r>
              <w:rPr>
                <w:rFonts w:ascii="Times New Roman;serif" w:hAnsi="Times New Roman;serif"/>
                <w:b w:val="false"/>
                <w:color w:val="000000"/>
                <w:sz w:val="20"/>
              </w:rPr>
              <w:t>Claire Pomeroy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u w:val="single"/>
              </w:rPr>
              <w:t>/s/ Ellen M. Zane</w:t>
              <w:br/>
            </w:r>
            <w:r>
              <w:rPr>
                <w:rFonts w:ascii="Times New Roman;serif" w:hAnsi="Times New Roman;serif"/>
                <w:b w:val="false"/>
                <w:color w:val="000000"/>
                <w:sz w:val="20"/>
              </w:rPr>
              <w:t>Ellen M. Zane</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5.1</w:t>
      </w:r>
    </w:p>
    <w:p>
      <w:pPr>
        <w:pStyle w:val="TextBody"/>
        <w:bidi w:val="0"/>
        <w:spacing w:before="0" w:after="240"/>
        <w:jc w:val="left"/>
        <w:rPr/>
      </w:pPr>
      <w:r>
        <w:rPr/>
        <w:drawing>
          <wp:inline distT="0" distB="0" distL="0" distR="0">
            <wp:extent cx="1809750" cy="2857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11"/>
                    <a:stretch>
                      <a:fillRect/>
                    </a:stretch>
                  </pic:blipFill>
                  <pic:spPr bwMode="auto">
                    <a:xfrm>
                      <a:off x="0" y="0"/>
                      <a:ext cx="1809750" cy="285750"/>
                    </a:xfrm>
                    <a:prstGeom prst="rect">
                      <a:avLst/>
                    </a:prstGeom>
                  </pic:spPr>
                </pic:pic>
              </a:graphicData>
            </a:graphic>
          </wp:inline>
        </w:drawing>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August 6, 2026</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Haemonetics Corporation</w:t>
        <w:br/>
        <w:t>125 Summer Street</w:t>
        <w:br/>
        <w:t>Boston, MA 02110</w:t>
      </w:r>
    </w:p>
    <w:p>
      <w:pPr>
        <w:pStyle w:val="TextBody"/>
        <w:bidi w:val="0"/>
        <w:spacing w:lineRule="auto" w:line="288" w:before="0" w:after="240"/>
        <w:jc w:val="left"/>
        <w:rPr/>
      </w:pPr>
      <w:r>
        <w:rPr>
          <w:rFonts w:ascii="Tahoma;sans-serif" w:hAnsi="Tahoma;sans-serif"/>
          <w:b w:val="false"/>
          <w:color w:val="000000"/>
          <w:sz w:val="20"/>
        </w:rPr>
        <w:t>Re:    </w:t>
      </w:r>
      <w:r>
        <w:rPr>
          <w:rFonts w:ascii="Tahoma;sans-serif" w:hAnsi="Tahoma;sans-serif"/>
          <w:b w:val="false"/>
          <w:color w:val="000000"/>
          <w:sz w:val="20"/>
          <w:u w:val="single"/>
        </w:rPr>
        <w:t>Haemonetics Corporation Registration Statement on Form S-8 Filed on August 6, 2026</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Ladies and Gentlemen:</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 xml:space="preserve">We have acted as counsel to Haemonetics Corporation, a Massachusetts corporation (the “Company”), in connection with its filing of a Registration Statement on Form S-8 (the “Registration Statement”) under the Securities Act of 1933, as amended (the “Act”), with the Securities and Exchange Commission (the “SEC”) on the date hereof. The Registration Statement relates to 4,680,000 shares (the “Shares”) of common stock, par value $0.01 per share, of the Company being registered for offer and sale under the Haemonetics Corporation Amended and Restated 2019 Long-Term Incentive Compensation Plan (the “Plan”). </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In connection with this opinion letter, we have examined the Registration Statement and originals, or copies certified or otherwise identified to our satisfaction, of (i) the Restated Articles of Organization of the Company, as amended to date, (ii) the By-laws of the Company, as amended to date, (iii) certain resolutions of the Company’s Board of Directors relating to the Registration Statement, (iv) the Plan, and (v) such other documents, records, and other instruments as we have deemed appropriate for purposes of the opinions set forth herein.</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Subject to the foregoing and the other matters set forth herein, we are of the opinion, as of the date hereof, that the Shares have been duly authorized by the Company and, when issued by the Company in accordance with the provisions of the Plan, will be validly issued, fully paid, and non-assessable.</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The opinions expressed herein are limited to the Federal laws of the United States and the laws of the Commonwealth of Massachusetts.</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SEC thereunder.</w:t>
      </w:r>
    </w:p>
    <w:p>
      <w:pPr>
        <w:pStyle w:val="TextBody"/>
        <w:bidi w:val="0"/>
        <w:spacing w:lineRule="auto" w:line="288" w:before="0" w:after="240"/>
        <w:jc w:val="left"/>
        <w:rPr>
          <w:rFonts w:ascii="Tahoma;sans-serif" w:hAnsi="Tahoma;sans-serif"/>
          <w:b w:val="false"/>
          <w:color w:val="000000"/>
          <w:sz w:val="20"/>
        </w:rPr>
      </w:pPr>
      <w:r>
        <w:rPr>
          <w:rFonts w:ascii="Tahoma;sans-serif" w:hAnsi="Tahoma;sans-serif"/>
          <w:b w:val="false"/>
          <w:color w:val="000000"/>
          <w:sz w:val="20"/>
        </w:rPr>
        <w:t>Very truly yours,</w:t>
      </w:r>
    </w:p>
    <w:p>
      <w:pPr>
        <w:pStyle w:val="TextBody"/>
        <w:bidi w:val="0"/>
        <w:spacing w:lineRule="auto" w:line="288" w:before="0" w:after="240"/>
        <w:jc w:val="left"/>
        <w:rPr>
          <w:rFonts w:ascii="Tahoma;sans-serif" w:hAnsi="Tahoma;sans-serif"/>
          <w:b w:val="false"/>
          <w:color w:val="000000"/>
          <w:sz w:val="20"/>
          <w:u w:val="single"/>
        </w:rPr>
      </w:pPr>
      <w:r>
        <w:rPr>
          <w:rFonts w:ascii="Tahoma;sans-serif" w:hAnsi="Tahoma;sans-serif"/>
          <w:b w:val="false"/>
          <w:color w:val="000000"/>
          <w:sz w:val="20"/>
          <w:u w:val="single"/>
        </w:rPr>
        <w:t>/s/ Morgan, Lewis &amp; Bockius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 (Form S-8) pertaining to the Haemonetics Corporation Amended and Restated 2019 Long-Term Incentive Compensation Plan of our reports dated May 20, 2026, with respect to the consolidated financial statements of Haemonetics Corporation and the effectiveness of internal control over financial reporting of Haemonetics Corporation included in its Annual Report (Form 10-K) for the year ended March 28, 2026,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Boston, Massachusetts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23" w:after="283"/>
        <w:jc w:val="left"/>
        <w:rPr/>
      </w:pPr>
      <w:r>
        <w:rPr/>
      </w:r>
    </w:p>
    <w:p>
      <w:pPr>
        <w:pStyle w:val="TextBody"/>
        <w:bidi w:val="0"/>
        <w:spacing w:lineRule="auto" w:line="312" w:before="0" w:after="0"/>
        <w:ind w:left="0" w:right="0" w:firstLine="677"/>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of the undersigned, being a director or officer, or both, of Haemonetics Corporation (the “Company”), constitutes and appoints Christopher A. Simon, President and Chief Executive Officer, James C. D’Arecca, Executive Vice President, Chief Financial Officer, and Michelle L. Basil, Executive Vice President, General Counsel, and each of them, his or her true and lawful attorneys-in-fact and agents, each with full power of substitution and resubstitution, severally, for him or her and in his or her name, place and stead, in any and all capacities, to execute the Registration Statement on Form S-8, and any and all amendments (including post-effective amendments) thereto, to register the offer and sale of shares of the Company’s common stock, $0.01 par value per share, to be issued pursuant to the Haemonetics Corporation Amended and Restated 2019 Long-Term Incentive Compensation Plan to be filed with the U.S. Securities and Exchange Commission by the Company under the Securities Act of 1933, as amended, with all exhibits thereto, and other documents in connection therewith, , granting unto said attorneys-in-fact and agents, and each one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one of them, or their or his or her substitutes, may lawfully do or cause to be done by virtue hereof.</w:t>
      </w:r>
    </w:p>
    <w:p>
      <w:pPr>
        <w:pStyle w:val="TextBody"/>
        <w:bidi w:val="0"/>
        <w:spacing w:lineRule="auto" w:line="309" w:before="215" w:after="283"/>
        <w:ind w:left="0" w:right="0" w:firstLine="677"/>
        <w:jc w:val="left"/>
        <w:rPr>
          <w:rFonts w:ascii="Times New Roman;serif" w:hAnsi="Times New Roman;serif"/>
          <w:b w:val="false"/>
          <w:color w:val="000000"/>
          <w:sz w:val="20"/>
        </w:rPr>
      </w:pPr>
      <w:r>
        <w:rPr>
          <w:rFonts w:ascii="Times New Roman;serif" w:hAnsi="Times New Roman;serif"/>
          <w:b w:val="false"/>
          <w:color w:val="000000"/>
          <w:sz w:val="20"/>
        </w:rPr>
        <w:t>This Power of Attorney may be signed in any number of counterparts, each of which shall be an original, with the same effect as if the signatures thereto and hereto were upon the same instrument.</w:t>
      </w:r>
    </w:p>
    <w:p>
      <w:pPr>
        <w:pStyle w:val="TextBody"/>
        <w:bidi w:val="0"/>
        <w:spacing w:lineRule="auto" w:line="309" w:before="229" w:after="283"/>
        <w:ind w:left="0" w:right="0" w:firstLine="677"/>
        <w:jc w:val="left"/>
        <w:rPr>
          <w:rFonts w:ascii="Times New Roman;serif" w:hAnsi="Times New Roman;serif"/>
          <w:b w:val="false"/>
          <w:color w:val="000000"/>
          <w:sz w:val="20"/>
        </w:rPr>
      </w:pPr>
      <w:r>
        <w:rPr>
          <w:rFonts w:ascii="Times New Roman;serif" w:hAnsi="Times New Roman;serif"/>
          <w:b w:val="false"/>
          <w:color w:val="000000"/>
          <w:sz w:val="20"/>
        </w:rPr>
        <w:t>IN WITNESS WHEREOF, each of the undersigned has executed this Power of Attorney on and as of the 24th day of July 2026.</w:t>
      </w:r>
    </w:p>
    <w:tbl>
      <w:tblPr>
        <w:tblW w:w="8396" w:type="dxa"/>
        <w:jc w:val="left"/>
        <w:tblInd w:w="0" w:type="dxa"/>
        <w:tblLayout w:type="fixed"/>
        <w:tblCellMar>
          <w:top w:w="28" w:type="dxa"/>
          <w:left w:w="28" w:type="dxa"/>
          <w:bottom w:w="28" w:type="dxa"/>
          <w:right w:w="28" w:type="dxa"/>
        </w:tblCellMar>
      </w:tblPr>
      <w:tblGrid>
        <w:gridCol w:w="1423"/>
        <w:gridCol w:w="1247"/>
        <w:gridCol w:w="1260"/>
        <w:gridCol w:w="109"/>
        <w:gridCol w:w="109"/>
        <w:gridCol w:w="109"/>
        <w:gridCol w:w="1213"/>
        <w:gridCol w:w="1213"/>
        <w:gridCol w:w="1713"/>
      </w:tblGrid>
      <w:tr>
        <w:trPr/>
        <w:tc>
          <w:tcPr>
            <w:tcW w:w="142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309"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cMar>
              <w:top w:w="0" w:type="dxa"/>
              <w:left w:w="0" w:type="dxa"/>
              <w:bottom w:w="0" w:type="dxa"/>
              <w:right w:w="0" w:type="dxa"/>
            </w:tcMar>
            <w:vAlign w:val="center"/>
          </w:tcPr>
          <w:p>
            <w:pPr>
              <w:pStyle w:val="TableContents"/>
              <w:bidi w:val="0"/>
              <w:spacing w:lineRule="auto" w:line="309" w:before="0" w:after="0"/>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Christopher A. Simon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C. D’Arecca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39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Maryanne E. Farris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 Ellen M. Zane</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8" w:before="0" w:after="0"/>
              <w:jc w:val="left"/>
              <w:rPr>
                <w:rFonts w:ascii="Times New Roman;serif" w:hAnsi="Times New Roman;serif"/>
                <w:b w:val="false"/>
                <w:color w:val="000000"/>
                <w:sz w:val="20"/>
              </w:rPr>
            </w:pPr>
            <w:r>
              <w:rPr>
                <w:rFonts w:ascii="Times New Roman;serif" w:hAnsi="Times New Roman;serif"/>
                <w:b w:val="false"/>
                <w:color w:val="000000"/>
                <w:sz w:val="20"/>
              </w:rPr>
              <w:t>Maryanne E. Farris</w:t>
            </w:r>
          </w:p>
          <w:p>
            <w:pPr>
              <w:pStyle w:val="TableContents"/>
              <w:bidi w:val="0"/>
              <w:spacing w:lineRule="atLeast" w:line="22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Ellen M. Zane </w:t>
              <w:br/>
              <w:t>Board Chair</w:t>
            </w:r>
          </w:p>
        </w:tc>
      </w:tr>
      <w:tr>
        <w:trPr/>
        <w:tc>
          <w:tcPr>
            <w:tcW w:w="39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tLeast" w:line="228" w:before="0" w:after="0"/>
              <w:jc w:val="left"/>
              <w:rPr>
                <w:rFonts w:ascii="Times New Roman;serif" w:hAnsi="Times New Roman;serif"/>
                <w:b w:val="false"/>
                <w:color w:val="000000"/>
                <w:sz w:val="20"/>
              </w:rPr>
            </w:pPr>
            <w:r>
              <w:rPr>
                <w:rFonts w:ascii="Times New Roman;serif" w:hAnsi="Times New Roman;serif"/>
                <w:b w:val="false"/>
                <w:color w:val="000000"/>
                <w:sz w:val="20"/>
              </w:rPr>
              <w:t>/s/ Robert E. Abernathy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 Diane M. Bryant</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Robert E. Abernathy </w:t>
            </w:r>
          </w:p>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Diane M. Bryant </w:t>
            </w:r>
          </w:p>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930" w:type="dxa"/>
            <w:gridSpan w:val="3"/>
            <w:tcBorders/>
            <w:tcMar>
              <w:top w:w="0" w:type="dxa"/>
              <w:left w:w="0" w:type="dxa"/>
              <w:bottom w:w="0" w:type="dxa"/>
              <w:right w:w="0" w:type="dxa"/>
            </w:tcMar>
            <w:vAlign w:val="center"/>
          </w:tcPr>
          <w:p>
            <w:pPr>
              <w:pStyle w:val="TableContents"/>
              <w:bidi w:val="0"/>
              <w:spacing w:before="17" w:after="283"/>
              <w:jc w:val="left"/>
              <w:rPr/>
            </w:pPr>
            <w:r>
              <w:rPr/>
            </w:r>
          </w:p>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/s/ Michael J. Coyle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cMar>
              <w:top w:w="0" w:type="dxa"/>
              <w:left w:w="0" w:type="dxa"/>
              <w:bottom w:w="0" w:type="dxa"/>
              <w:right w:w="0" w:type="dxa"/>
            </w:tcMar>
            <w:vAlign w:val="center"/>
          </w:tcPr>
          <w:p>
            <w:pPr>
              <w:pStyle w:val="TableContents"/>
              <w:bidi w:val="0"/>
              <w:spacing w:before="17" w:after="283"/>
              <w:jc w:val="left"/>
              <w:rPr/>
            </w:pPr>
            <w:r>
              <w:rPr/>
            </w:r>
          </w:p>
          <w:p>
            <w:pPr>
              <w:pStyle w:val="TableContents"/>
              <w:bidi w:val="0"/>
              <w:spacing w:lineRule="auto" w:line="288" w:before="17" w:after="283"/>
              <w:jc w:val="left"/>
              <w:rPr>
                <w:color w:val="000000"/>
              </w:rPr>
            </w:pPr>
            <w:r>
              <w:rPr>
                <w:color w:val="000000"/>
              </w:rPr>
              <w:t> </w:t>
            </w:r>
            <w:r>
              <w:rPr>
                <w:rFonts w:ascii="Times New Roman;serif" w:hAnsi="Times New Roman;serif"/>
                <w:b w:val="false"/>
                <w:color w:val="000000"/>
                <w:sz w:val="20"/>
              </w:rPr>
              <w:t>/s/ Lloyd E. Johnson</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J. Coyle </w:t>
            </w:r>
          </w:p>
          <w:p>
            <w:pPr>
              <w:pStyle w:val="TableContents"/>
              <w:bidi w:val="0"/>
              <w:spacing w:lineRule="auto" w:line="288" w:before="12"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Lloyd E. Johnson</w:t>
            </w:r>
          </w:p>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930" w:type="dxa"/>
            <w:gridSpan w:val="3"/>
            <w:tcBorders/>
            <w:tcMar>
              <w:top w:w="0" w:type="dxa"/>
              <w:left w:w="0" w:type="dxa"/>
              <w:bottom w:w="0" w:type="dxa"/>
              <w:right w:w="0" w:type="dxa"/>
            </w:tcMar>
            <w:vAlign w:val="center"/>
          </w:tcPr>
          <w:p>
            <w:pPr>
              <w:pStyle w:val="TableContents"/>
              <w:bidi w:val="0"/>
              <w:spacing w:before="12" w:after="283"/>
              <w:jc w:val="left"/>
              <w:rPr/>
            </w:pPr>
            <w:r>
              <w:rPr/>
            </w:r>
          </w:p>
          <w:p>
            <w:pPr>
              <w:pStyle w:val="TableContents"/>
              <w:bidi w:val="0"/>
              <w:spacing w:lineRule="auto" w:line="288" w:before="12" w:after="283"/>
              <w:jc w:val="left"/>
              <w:rPr>
                <w:rFonts w:ascii="Times New Roman;serif" w:hAnsi="Times New Roman;serif"/>
                <w:b w:val="false"/>
                <w:color w:val="000000"/>
                <w:sz w:val="20"/>
              </w:rPr>
            </w:pPr>
            <w:r>
              <w:rPr>
                <w:rFonts w:ascii="Times New Roman;serif" w:hAnsi="Times New Roman;serif"/>
                <w:b w:val="false"/>
                <w:color w:val="000000"/>
                <w:sz w:val="20"/>
              </w:rPr>
              <w:t>/s/ Mark W. Kroll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cMar>
              <w:top w:w="0" w:type="dxa"/>
              <w:left w:w="0" w:type="dxa"/>
              <w:bottom w:w="0" w:type="dxa"/>
              <w:right w:w="0" w:type="dxa"/>
            </w:tcMar>
            <w:vAlign w:val="center"/>
          </w:tcPr>
          <w:p>
            <w:pPr>
              <w:pStyle w:val="TableContents"/>
              <w:bidi w:val="0"/>
              <w:spacing w:before="17" w:after="283"/>
              <w:jc w:val="left"/>
              <w:rPr/>
            </w:pPr>
            <w:r>
              <w:rPr/>
            </w:r>
          </w:p>
          <w:p>
            <w:pPr>
              <w:pStyle w:val="TableContents"/>
              <w:bidi w:val="0"/>
              <w:spacing w:lineRule="auto" w:line="288" w:before="17" w:after="283"/>
              <w:jc w:val="left"/>
              <w:rPr>
                <w:color w:val="000000"/>
              </w:rPr>
            </w:pPr>
            <w:r>
              <w:rPr>
                <w:color w:val="000000"/>
              </w:rPr>
              <w:t> </w:t>
            </w:r>
            <w:r>
              <w:rPr>
                <w:rFonts w:ascii="Times New Roman;serif" w:hAnsi="Times New Roman;serif"/>
                <w:b w:val="false"/>
                <w:color w:val="000000"/>
                <w:sz w:val="20"/>
              </w:rPr>
              <w:t>/s/ Claire Pomeroy</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 W. Kroll </w:t>
            </w:r>
          </w:p>
          <w:p>
            <w:pPr>
              <w:pStyle w:val="TableContents"/>
              <w:bidi w:val="0"/>
              <w:spacing w:lineRule="auto" w:line="288" w:before="12"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Claire Pomeroy</w:t>
            </w:r>
          </w:p>
          <w:p>
            <w:pPr>
              <w:pStyle w:val="TableContents"/>
              <w:bidi w:val="0"/>
              <w:spacing w:lineRule="auto" w:line="288" w:before="17"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229" w:after="283"/>
        <w:ind w:left="0" w:right="0" w:firstLine="677"/>
        <w:jc w:val="left"/>
        <w:rPr/>
      </w:pPr>
      <w:r>
        <w:rPr/>
      </w:r>
    </w:p>
    <w:p>
      <w:pPr>
        <w:pStyle w:val="TextBody"/>
        <w:bidi w:val="0"/>
        <w:spacing w:before="229" w:after="283"/>
        <w:ind w:left="0" w:right="0" w:firstLine="677"/>
        <w:jc w:val="left"/>
        <w:rPr/>
      </w:pPr>
      <w:r>
        <w:rPr/>
      </w:r>
    </w:p>
    <w:p>
      <w:pPr>
        <w:pStyle w:val="TextBody"/>
        <w:bidi w:val="0"/>
        <w:spacing w:before="229" w:after="283"/>
        <w:ind w:left="0" w:right="0" w:firstLine="677"/>
        <w:jc w:val="left"/>
        <w:rPr/>
      </w:pPr>
      <w:r>
        <w:rPr/>
      </w:r>
    </w:p>
    <w:p>
      <w:pPr>
        <w:pStyle w:val="TextBody"/>
        <w:bidi w:val="0"/>
        <w:spacing w:before="229" w:after="283"/>
        <w:ind w:left="0" w:right="0" w:firstLine="677"/>
        <w:jc w:val="left"/>
        <w:rPr/>
      </w:pPr>
      <w:r>
        <w:rPr/>
      </w:r>
    </w:p>
    <w:p>
      <w:pPr>
        <w:pStyle w:val="TextBody"/>
        <w:bidi w:val="0"/>
        <w:spacing w:before="229" w:after="283"/>
        <w:ind w:left="0" w:right="0" w:firstLine="677"/>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83590"/>
                <wp:effectExtent l="0" t="0" r="0" b="0"/>
                <wp:wrapNone/>
                <wp:docPr id="12" name="Frame11"/>
                <a:graphic xmlns:a="http://schemas.openxmlformats.org/drawingml/2006/main">
                  <a:graphicData uri="http://schemas.microsoft.com/office/word/2010/wordprocessingShape">
                    <wps:wsp>
                      <wps:cNvSpPr txBox="1"/>
                      <wps:spPr>
                        <a:xfrm>
                          <a:off x="0" y="0"/>
                          <a:ext cx="6480175" cy="7835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Calculation of Filing Fee Table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S-8</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Haemonetics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1: Newly Registered Securities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7"/>
        <w:gridCol w:w="234"/>
        <w:gridCol w:w="236"/>
        <w:gridCol w:w="483"/>
        <w:gridCol w:w="455"/>
        <w:gridCol w:w="457"/>
        <w:gridCol w:w="476"/>
        <w:gridCol w:w="476"/>
        <w:gridCol w:w="479"/>
        <w:gridCol w:w="109"/>
        <w:gridCol w:w="109"/>
        <w:gridCol w:w="109"/>
        <w:gridCol w:w="435"/>
        <w:gridCol w:w="436"/>
        <w:gridCol w:w="323"/>
        <w:gridCol w:w="109"/>
        <w:gridCol w:w="109"/>
        <w:gridCol w:w="109"/>
        <w:gridCol w:w="320"/>
        <w:gridCol w:w="320"/>
        <w:gridCol w:w="321"/>
        <w:gridCol w:w="109"/>
        <w:gridCol w:w="109"/>
        <w:gridCol w:w="109"/>
        <w:gridCol w:w="156"/>
        <w:gridCol w:w="156"/>
        <w:gridCol w:w="156"/>
        <w:gridCol w:w="156"/>
        <w:gridCol w:w="156"/>
        <w:gridCol w:w="154"/>
        <w:gridCol w:w="138"/>
        <w:gridCol w:w="138"/>
        <w:gridCol w:w="143"/>
        <w:gridCol w:w="319"/>
        <w:gridCol w:w="319"/>
        <w:gridCol w:w="323"/>
        <w:gridCol w:w="183"/>
        <w:gridCol w:w="183"/>
        <w:gridCol w:w="183"/>
        <w:gridCol w:w="183"/>
        <w:gridCol w:w="183"/>
        <w:gridCol w:w="27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9562" w:type="dxa"/>
            <w:gridSpan w:val="39"/>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Newly Registered Securities</w:t>
            </w:r>
          </w:p>
        </w:tc>
        <w:tc>
          <w:tcPr>
            <w:tcW w:w="643"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op w:val="single" w:sz="6"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Security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Type</w:t>
            </w:r>
          </w:p>
        </w:tc>
        <w:tc>
          <w:tcPr>
            <w:tcW w:w="13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Security Class Title(1)</w:t>
            </w:r>
          </w:p>
        </w:tc>
        <w:tc>
          <w:tcPr>
            <w:tcW w:w="1431" w:type="dxa"/>
            <w:gridSpan w:val="3"/>
            <w:tcBorders>
              <w:top w:val="single" w:sz="6"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Fee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Calculation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Rule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Registered (1)</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Proposed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Offering Price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Per Unit (2)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9"/>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Proposed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Offering Price (2)</w:t>
            </w:r>
          </w:p>
        </w:tc>
        <w:tc>
          <w:tcPr>
            <w:tcW w:w="9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16"/>
              </w:rPr>
            </w:pPr>
            <w:r>
              <w:rPr>
                <w:rFonts w:ascii="Times New Roman;serif" w:hAnsi="Times New Roman;serif"/>
                <w:b/>
                <w:color w:val="000000"/>
                <w:sz w:val="16"/>
              </w:rPr>
              <w:t>Fee Rate</w:t>
            </w:r>
          </w:p>
        </w:tc>
        <w:tc>
          <w:tcPr>
            <w:tcW w:w="119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 xml:space="preserve">Registration Fee </w:t>
            </w:r>
          </w:p>
        </w:tc>
      </w:tr>
      <w:tr>
        <w:trPr/>
        <w:tc>
          <w:tcPr>
            <w:tcW w:w="737"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00" w:after="100"/>
              <w:ind w:left="0" w:right="0" w:hanging="240"/>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139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$0.01 par value </w:t>
            </w:r>
          </w:p>
        </w:tc>
        <w:tc>
          <w:tcPr>
            <w:tcW w:w="143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 xml:space="preserve">Rule 457(c) and Rule 457 (h) </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6"/>
              </w:rPr>
            </w:pPr>
            <w:r>
              <w:rPr>
                <w:rFonts w:ascii="Times New Roman;serif" w:hAnsi="Times New Roman;serif"/>
                <w:b w:val="false"/>
                <w:color w:val="000000"/>
                <w:sz w:val="16"/>
              </w:rPr>
              <w:t>4,680,000 </w:t>
            </w:r>
          </w:p>
        </w:tc>
        <w:tc>
          <w:tcPr>
            <w:tcW w:w="323"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$84.18</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9"/>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$393,962,400.00</w:t>
            </w:r>
          </w:p>
        </w:tc>
        <w:tc>
          <w:tcPr>
            <w:tcW w:w="9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19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$54,406.21</w:t>
            </w:r>
          </w:p>
        </w:tc>
      </w:tr>
      <w:tr>
        <w:trPr/>
        <w:tc>
          <w:tcPr>
            <w:tcW w:w="5084" w:type="dxa"/>
            <w:gridSpan w:val="15"/>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$393,962,400.00</w:t>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$54,406.21</w:t>
            </w:r>
          </w:p>
        </w:tc>
      </w:tr>
      <w:tr>
        <w:trPr/>
        <w:tc>
          <w:tcPr>
            <w:tcW w:w="5084" w:type="dxa"/>
            <w:gridSpan w:val="15"/>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84"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$54,406.21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Reflects new shares of common stock, $0.01 par value per share, of Haemonetics Corporation (the “Common Stock”) registered hereby under the Haemonetics Corporation Amended and Restated 2019 Long-Term Incentive Compensation Plan (the “Plan”). Pursuant to Rule 416 under the Securities Act of 1933, as amended (the “Securities Act”), this Registration Statement on Form S-8 shall also cover any additional shares of Common Stock that may become issuable under the Plan by reason of any stock dividend, stock split, recapitalization, or any other similar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Estimated solely for the purpose of determining the registration fee pursuant to Rules 457(c) and 457(h) under the Securities Act, based on the average of the high and low prices of the Common Stock as reported on the New York Stock Exchange on July 31,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3143/000031314319000039/forms-8xposamfor2005plan1.htm" TargetMode="External"/><Relationship Id="rId3" Type="http://schemas.openxmlformats.org/officeDocument/2006/relationships/hyperlink" Target="https://www.sec.gov/Archives/edgar/data/313143/000031314319000037/forms-82019plan.htm" TargetMode="External"/><Relationship Id="rId4" Type="http://schemas.openxmlformats.org/officeDocument/2006/relationships/hyperlink" Target="https://www.sec.gov/Archives/edgar/data/313143/000031314323000045/hae-formsx881123.htm" TargetMode="External"/><Relationship Id="rId5" Type="http://schemas.openxmlformats.org/officeDocument/2006/relationships/hyperlink" Target="https://www.sec.gov/ix?doc=/Archives/edgar/data/313143/000031314326000050/hae-20260328.htm" TargetMode="External"/><Relationship Id="rId6" Type="http://schemas.openxmlformats.org/officeDocument/2006/relationships/hyperlink" Target="https://www.sec.gov/ix?doc=/Archives/edgar/data/313143/000031314326000074/hae-20260605.htm" TargetMode="External"/><Relationship Id="rId7" Type="http://schemas.openxmlformats.org/officeDocument/2006/relationships/hyperlink" Target="https://www.sec.gov/ix?doc=/Archives/edgar/data/313143/000031314326000120/hae-20260627.htm" TargetMode="External"/><Relationship Id="rId8" Type="http://schemas.openxmlformats.org/officeDocument/2006/relationships/hyperlink" Target="https://www.sec.gov/ix?doc=/Archives/edgar/data/313143/000031314326000095/hae-20260724.htm" TargetMode="External"/><Relationship Id="rId9" Type="http://schemas.openxmlformats.org/officeDocument/2006/relationships/hyperlink" Target="https://www.sec.gov/Archives/edgar/data/313143/000031314320000028/fy2020exh4b.htm" TargetMode="External"/><Relationship Id="rId10" Type="http://schemas.openxmlformats.org/officeDocument/2006/relationships/hyperlink" Target="https://www.sec.gov/Archives/edgar/data/313143/000031314326000095/a101-amendedandrestated201.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4361</Words>
  <Characters>23316</Characters>
  <CharactersWithSpaces>27553</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