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quarterly period ended: December 27, 2025</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001-14041 </w:t>
      </w:r>
    </w:p>
    <w:p>
      <w:pPr>
        <w:pStyle w:val="TextBody"/>
        <w:bidi w:val="0"/>
        <w:spacing w:lineRule="auto" w:line="288" w:before="320" w:after="283"/>
        <w:jc w:val="center"/>
        <w:rPr>
          <w:rFonts w:ascii="Times New Roman;serif" w:hAnsi="Times New Roman;serif"/>
          <w:b/>
          <w:color w:val="000000"/>
          <w:sz w:val="48"/>
        </w:rPr>
      </w:pPr>
      <w:r>
        <w:rPr>
          <w:rFonts w:ascii="Times New Roman;serif" w:hAnsi="Times New Roman;serif"/>
          <w:b/>
          <w:color w:val="000000"/>
          <w:sz w:val="48"/>
        </w:rPr>
        <w:t>HAEMONETICS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274" w:type="dxa"/>
        <w:jc w:val="center"/>
        <w:tblInd w:w="0" w:type="dxa"/>
        <w:tblLayout w:type="fixed"/>
        <w:tblCellMar>
          <w:top w:w="28" w:type="dxa"/>
          <w:left w:w="28" w:type="dxa"/>
          <w:bottom w:w="28" w:type="dxa"/>
          <w:right w:w="28" w:type="dxa"/>
        </w:tblCellMar>
      </w:tblPr>
      <w:tblGrid>
        <w:gridCol w:w="599"/>
        <w:gridCol w:w="528"/>
        <w:gridCol w:w="528"/>
        <w:gridCol w:w="545"/>
        <w:gridCol w:w="545"/>
        <w:gridCol w:w="553"/>
        <w:gridCol w:w="109"/>
        <w:gridCol w:w="109"/>
        <w:gridCol w:w="109"/>
        <w:gridCol w:w="481"/>
        <w:gridCol w:w="481"/>
        <w:gridCol w:w="687"/>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Boston,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(781) 848-7100 </w:t>
      </w:r>
    </w:p>
    <w:p>
      <w:pPr>
        <w:pStyle w:val="TextBody"/>
        <w:bidi w:val="0"/>
        <w:spacing w:lineRule="auto" w:line="288" w:before="0" w:after="0"/>
        <w:jc w:val="center"/>
        <w:rPr/>
      </w:pPr>
      <w:r>
        <w:rPr>
          <w:rFonts w:ascii="Times New Roman;serif" w:hAnsi="Times New Roman;serif"/>
          <w:b w:val="false"/>
          <w:color w:val="000000"/>
          <w:sz w:val="18"/>
        </w:rPr>
        <w:t>(Registrant’s telephone number, including area code)</w:t>
      </w:r>
      <w:r>
        <w:rPr>
          <w:color w:val="000000"/>
        </w:rPr>
        <w:t xml:space="preserv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5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24"/>
        <w:gridCol w:w="424"/>
        <w:gridCol w:w="42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ind w:left="0" w:right="0" w:firstLine="7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943"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8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$0.01 par value common stock outstanding as of January 30, 2026: 46,471,350.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73"/>
        <w:gridCol w:w="3051"/>
        <w:gridCol w:w="3064"/>
        <w:gridCol w:w="180"/>
        <w:gridCol w:w="180"/>
        <w:gridCol w:w="257"/>
      </w:tblGrid>
      <w:tr>
        <w:trPr/>
        <w:tc>
          <w:tcPr>
            <w:tcW w:w="3473"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0">
              <w:r>
                <w:rPr>
                  <w:rStyle w:val="InternetLink"/>
                  <w:rFonts w:ascii="Times New Roman;serif" w:hAnsi="Times New Roman;serif"/>
                  <w:b/>
                  <w:color w:val="0000FF"/>
                  <w:sz w:val="20"/>
                  <w:u w:val="single"/>
                </w:rPr>
                <w:t>PART I. FINANCIAL INFORMATION</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9b7948ca52e490dab4e2ad910f2c025_10">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3">
              <w:r>
                <w:rPr>
                  <w:rStyle w:val="InternetLink"/>
                  <w:rFonts w:ascii="Times New Roman;serif" w:hAnsi="Times New Roman;serif"/>
                  <w:b/>
                  <w:color w:val="0000FF"/>
                  <w:sz w:val="20"/>
                  <w:u w:val="single"/>
                </w:rPr>
                <w:t>ITEM 1.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3">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6">
              <w:r>
                <w:rPr>
                  <w:rStyle w:val="InternetLink"/>
                  <w:rFonts w:ascii="Times New Roman;serif" w:hAnsi="Times New Roman;serif"/>
                  <w:b w:val="false"/>
                  <w:color w:val="000080"/>
                  <w:sz w:val="20"/>
                  <w:u w:val="single"/>
                </w:rPr>
                <w:t xml:space="preserve">Unaudited Condensed Consolidated Statements of Income - Three and </w:t>
              </w:r>
            </w:hyperlink>
            <w:hyperlink w:anchor="i69b7948ca52e490dab4e2ad910f2c025_16">
              <w:r>
                <w:rPr>
                  <w:rStyle w:val="InternetLink"/>
                  <w:rFonts w:ascii="Times New Roman;serif" w:hAnsi="Times New Roman;serif"/>
                  <w:b w:val="false"/>
                  <w:color w:val="000080"/>
                  <w:sz w:val="20"/>
                  <w:u w:val="single"/>
                </w:rPr>
                <w:t>Nine</w:t>
              </w:r>
            </w:hyperlink>
            <w:hyperlink w:anchor="i69b7948ca52e490dab4e2ad910f2c025_16">
              <w:r>
                <w:rPr>
                  <w:rStyle w:val="InternetLink"/>
                  <w:rFonts w:ascii="Times New Roman;serif" w:hAnsi="Times New Roman;serif"/>
                  <w:b w:val="false"/>
                  <w:color w:val="000080"/>
                  <w:sz w:val="20"/>
                  <w:u w:val="single"/>
                </w:rPr>
                <w:t xml:space="preserve"> Months Ended </w:t>
              </w:r>
            </w:hyperlink>
            <w:hyperlink w:anchor="i69b7948ca52e490dab4e2ad910f2c025_16">
              <w:r>
                <w:rPr>
                  <w:rStyle w:val="InternetLink"/>
                  <w:rFonts w:ascii="Times New Roman;serif" w:hAnsi="Times New Roman;serif"/>
                  <w:b w:val="false"/>
                  <w:color w:val="000080"/>
                  <w:sz w:val="20"/>
                  <w:u w:val="single"/>
                </w:rPr>
                <w:t>December</w:t>
              </w:r>
            </w:hyperlink>
            <w:hyperlink w:anchor="i69b7948ca52e490dab4e2ad910f2c025_16">
              <w:r>
                <w:rPr>
                  <w:rStyle w:val="InternetLink"/>
                  <w:rFonts w:ascii="Times New Roman;serif" w:hAnsi="Times New Roman;serif"/>
                  <w:b w:val="false"/>
                  <w:color w:val="000080"/>
                  <w:sz w:val="20"/>
                  <w:u w:val="single"/>
                </w:rPr>
                <w:t xml:space="preserve"> 27, 2025 and </w:t>
              </w:r>
            </w:hyperlink>
            <w:hyperlink w:anchor="i69b7948ca52e490dab4e2ad910f2c025_16">
              <w:r>
                <w:rPr>
                  <w:rStyle w:val="InternetLink"/>
                  <w:rFonts w:ascii="Times New Roman;serif" w:hAnsi="Times New Roman;serif"/>
                  <w:b w:val="false"/>
                  <w:color w:val="000080"/>
                  <w:sz w:val="20"/>
                  <w:u w:val="single"/>
                </w:rPr>
                <w:t>December</w:t>
              </w:r>
            </w:hyperlink>
            <w:hyperlink w:anchor="i69b7948ca52e490dab4e2ad910f2c025_16">
              <w:r>
                <w:rPr>
                  <w:rStyle w:val="InternetLink"/>
                  <w:rFonts w:ascii="Times New Roman;serif" w:hAnsi="Times New Roman;serif"/>
                  <w:b w:val="false"/>
                  <w:color w:val="000080"/>
                  <w:sz w:val="20"/>
                  <w:u w:val="single"/>
                </w:rPr>
                <w:t xml:space="preserve"> 28, 2024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6">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9">
              <w:r>
                <w:rPr>
                  <w:rStyle w:val="InternetLink"/>
                  <w:rFonts w:ascii="Times New Roman;serif" w:hAnsi="Times New Roman;serif"/>
                  <w:b w:val="false"/>
                  <w:color w:val="000080"/>
                  <w:sz w:val="20"/>
                  <w:u w:val="single"/>
                </w:rPr>
                <w:t xml:space="preserve">Unaudited Condensed Consolidated Statements of Comprehensive Income - Three and </w:t>
              </w:r>
            </w:hyperlink>
            <w:hyperlink w:anchor="i69b7948ca52e490dab4e2ad910f2c025_19">
              <w:r>
                <w:rPr>
                  <w:rStyle w:val="InternetLink"/>
                  <w:rFonts w:ascii="Times New Roman;serif" w:hAnsi="Times New Roman;serif"/>
                  <w:b w:val="false"/>
                  <w:color w:val="000080"/>
                  <w:sz w:val="20"/>
                  <w:u w:val="single"/>
                </w:rPr>
                <w:t>Nin</w:t>
              </w:r>
            </w:hyperlink>
            <w:hyperlink w:anchor="i69b7948ca52e490dab4e2ad910f2c025_19">
              <w:r>
                <w:rPr>
                  <w:rStyle w:val="InternetLink"/>
                  <w:rFonts w:ascii="Times New Roman;serif" w:hAnsi="Times New Roman;serif"/>
                  <w:b w:val="false"/>
                  <w:color w:val="000080"/>
                  <w:sz w:val="20"/>
                  <w:u w:val="single"/>
                </w:rPr>
                <w:t>e</w:t>
              </w:r>
            </w:hyperlink>
            <w:hyperlink w:anchor="i69b7948ca52e490dab4e2ad910f2c025_19">
              <w:r>
                <w:rPr>
                  <w:rStyle w:val="InternetLink"/>
                  <w:rFonts w:ascii="Times New Roman;serif" w:hAnsi="Times New Roman;serif"/>
                  <w:b w:val="false"/>
                  <w:color w:val="000080"/>
                  <w:sz w:val="20"/>
                  <w:u w:val="single"/>
                </w:rPr>
                <w:t xml:space="preserve"> Months Ended </w:t>
              </w:r>
            </w:hyperlink>
            <w:hyperlink w:anchor="i69b7948ca52e490dab4e2ad910f2c025_19">
              <w:r>
                <w:rPr>
                  <w:rStyle w:val="InternetLink"/>
                  <w:rFonts w:ascii="Times New Roman;serif" w:hAnsi="Times New Roman;serif"/>
                  <w:b w:val="false"/>
                  <w:color w:val="000080"/>
                  <w:sz w:val="20"/>
                  <w:u w:val="single"/>
                </w:rPr>
                <w:t>December</w:t>
              </w:r>
            </w:hyperlink>
            <w:hyperlink w:anchor="i69b7948ca52e490dab4e2ad910f2c025_19">
              <w:r>
                <w:rPr>
                  <w:rStyle w:val="InternetLink"/>
                  <w:rFonts w:ascii="Times New Roman;serif" w:hAnsi="Times New Roman;serif"/>
                  <w:b w:val="false"/>
                  <w:color w:val="000080"/>
                  <w:sz w:val="20"/>
                  <w:u w:val="single"/>
                </w:rPr>
                <w:t xml:space="preserve"> 27, 2025 and </w:t>
              </w:r>
            </w:hyperlink>
            <w:hyperlink w:anchor="i69b7948ca52e490dab4e2ad910f2c025_19">
              <w:r>
                <w:rPr>
                  <w:rStyle w:val="InternetLink"/>
                  <w:rFonts w:ascii="Times New Roman;serif" w:hAnsi="Times New Roman;serif"/>
                  <w:b w:val="false"/>
                  <w:color w:val="000080"/>
                  <w:sz w:val="20"/>
                  <w:u w:val="single"/>
                </w:rPr>
                <w:t>December</w:t>
              </w:r>
            </w:hyperlink>
            <w:hyperlink w:anchor="i69b7948ca52e490dab4e2ad910f2c025_19">
              <w:r>
                <w:rPr>
                  <w:rStyle w:val="InternetLink"/>
                  <w:rFonts w:ascii="Times New Roman;serif" w:hAnsi="Times New Roman;serif"/>
                  <w:b w:val="false"/>
                  <w:color w:val="000080"/>
                  <w:sz w:val="20"/>
                  <w:u w:val="single"/>
                </w:rPr>
                <w:t xml:space="preserve"> 28, 2024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9">
              <w:r>
                <w:rPr>
                  <w:rStyle w:val="InternetLink"/>
                  <w:rFonts w:ascii="Times New Roman;serif" w:hAnsi="Times New Roman;serif"/>
                  <w:b w:val="false"/>
                  <w:color w:val="0000FF"/>
                  <w:sz w:val="20"/>
                  <w:u w:val="single"/>
                </w:rPr>
                <w:t>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22">
              <w:r>
                <w:rPr>
                  <w:rStyle w:val="InternetLink"/>
                  <w:rFonts w:ascii="Times New Roman;serif" w:hAnsi="Times New Roman;serif"/>
                  <w:b w:val="false"/>
                  <w:color w:val="000080"/>
                  <w:sz w:val="20"/>
                  <w:u w:val="single"/>
                </w:rPr>
                <w:t xml:space="preserve">Unaudited Condensed Consolidated Balance Sheet - </w:t>
              </w:r>
            </w:hyperlink>
            <w:hyperlink w:anchor="i69b7948ca52e490dab4e2ad910f2c025_22">
              <w:r>
                <w:rPr>
                  <w:rStyle w:val="InternetLink"/>
                  <w:rFonts w:ascii="Times New Roman;serif" w:hAnsi="Times New Roman;serif"/>
                  <w:b w:val="false"/>
                  <w:color w:val="000080"/>
                  <w:sz w:val="20"/>
                  <w:u w:val="single"/>
                </w:rPr>
                <w:t>December</w:t>
              </w:r>
            </w:hyperlink>
            <w:hyperlink w:anchor="i69b7948ca52e490dab4e2ad910f2c025_22">
              <w:r>
                <w:rPr>
                  <w:rStyle w:val="InternetLink"/>
                  <w:rFonts w:ascii="Times New Roman;serif" w:hAnsi="Times New Roman;serif"/>
                  <w:b w:val="false"/>
                  <w:color w:val="000080"/>
                  <w:sz w:val="20"/>
                  <w:u w:val="single"/>
                </w:rPr>
                <w:t xml:space="preserve"> 27, 2025 and Consolidated Balance Sheet - March 29,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22">
              <w:r>
                <w:rPr>
                  <w:rStyle w:val="InternetLink"/>
                  <w:rFonts w:ascii="Times New Roman;serif" w:hAnsi="Times New Roman;serif"/>
                  <w:b w:val="false"/>
                  <w:color w:val="0000FF"/>
                  <w:sz w:val="20"/>
                  <w:u w:val="singl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25">
              <w:r>
                <w:rPr>
                  <w:rStyle w:val="InternetLink"/>
                  <w:rFonts w:ascii="Times New Roman;serif" w:hAnsi="Times New Roman;serif"/>
                  <w:b w:val="false"/>
                  <w:color w:val="0000FF"/>
                  <w:sz w:val="20"/>
                  <w:u w:val="single"/>
                </w:rPr>
                <w:t>Unaudited Condensed Consolidated Statements of Stockholders</w:t>
              </w:r>
            </w:hyperlink>
            <w:r>
              <w:rPr>
                <w:color w:val="0E32E1"/>
                <w:u w:val="single"/>
              </w:rPr>
              <w:t>’</w:t>
            </w:r>
            <w:hyperlink w:anchor="i69b7948ca52e490dab4e2ad910f2c025_25">
              <w:r>
                <w:rPr>
                  <w:rStyle w:val="InternetLink"/>
                  <w:color w:val="0000FF"/>
                  <w:u w:val="single"/>
                </w:rPr>
                <w:t xml:space="preserve"> </w:t>
              </w:r>
            </w:hyperlink>
            <w:hyperlink w:anchor="i69b7948ca52e490dab4e2ad910f2c025_25">
              <w:r>
                <w:rPr>
                  <w:rStyle w:val="InternetLink"/>
                  <w:rFonts w:ascii="Times New Roman;serif" w:hAnsi="Times New Roman;serif"/>
                  <w:b w:val="false"/>
                  <w:color w:val="0000FF"/>
                  <w:sz w:val="20"/>
                  <w:u w:val="single"/>
                </w:rPr>
                <w:t xml:space="preserve">Equity - Three and </w:t>
              </w:r>
            </w:hyperlink>
            <w:hyperlink w:anchor="i69b7948ca52e490dab4e2ad910f2c025_25">
              <w:r>
                <w:rPr>
                  <w:rStyle w:val="InternetLink"/>
                  <w:rFonts w:ascii="Times New Roman;serif" w:hAnsi="Times New Roman;serif"/>
                  <w:b w:val="false"/>
                  <w:color w:val="000080"/>
                  <w:sz w:val="20"/>
                  <w:u w:val="single"/>
                </w:rPr>
                <w:t>Nine</w:t>
              </w:r>
            </w:hyperlink>
            <w:hyperlink w:anchor="i69b7948ca52e490dab4e2ad910f2c025_25">
              <w:r>
                <w:rPr>
                  <w:rStyle w:val="InternetLink"/>
                  <w:rFonts w:ascii="Times New Roman;serif" w:hAnsi="Times New Roman;serif"/>
                  <w:b w:val="false"/>
                  <w:color w:val="000080"/>
                  <w:sz w:val="20"/>
                  <w:u w:val="single"/>
                </w:rPr>
                <w:t xml:space="preserve"> Months Ended </w:t>
              </w:r>
            </w:hyperlink>
            <w:hyperlink w:anchor="i69b7948ca52e490dab4e2ad910f2c025_25">
              <w:r>
                <w:rPr>
                  <w:rStyle w:val="InternetLink"/>
                  <w:rFonts w:ascii="Times New Roman;serif" w:hAnsi="Times New Roman;serif"/>
                  <w:b w:val="false"/>
                  <w:color w:val="000080"/>
                  <w:sz w:val="20"/>
                  <w:u w:val="single"/>
                </w:rPr>
                <w:t>December</w:t>
              </w:r>
            </w:hyperlink>
            <w:hyperlink w:anchor="i69b7948ca52e490dab4e2ad910f2c025_25">
              <w:r>
                <w:rPr>
                  <w:rStyle w:val="InternetLink"/>
                  <w:rFonts w:ascii="Times New Roman;serif" w:hAnsi="Times New Roman;serif"/>
                  <w:b w:val="false"/>
                  <w:color w:val="000080"/>
                  <w:sz w:val="20"/>
                  <w:u w:val="single"/>
                </w:rPr>
                <w:t xml:space="preserve"> 27, 2025 and </w:t>
              </w:r>
            </w:hyperlink>
            <w:hyperlink w:anchor="i69b7948ca52e490dab4e2ad910f2c025_25">
              <w:r>
                <w:rPr>
                  <w:rStyle w:val="InternetLink"/>
                  <w:rFonts w:ascii="Times New Roman;serif" w:hAnsi="Times New Roman;serif"/>
                  <w:b w:val="false"/>
                  <w:color w:val="000080"/>
                  <w:sz w:val="20"/>
                  <w:u w:val="single"/>
                </w:rPr>
                <w:t>December</w:t>
              </w:r>
            </w:hyperlink>
            <w:hyperlink w:anchor="i69b7948ca52e490dab4e2ad910f2c025_25">
              <w:r>
                <w:rPr>
                  <w:rStyle w:val="InternetLink"/>
                  <w:rFonts w:ascii="Times New Roman;serif" w:hAnsi="Times New Roman;serif"/>
                  <w:b w:val="false"/>
                  <w:color w:val="000080"/>
                  <w:sz w:val="20"/>
                  <w:u w:val="single"/>
                </w:rPr>
                <w:t xml:space="preserve"> 28, 2024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25">
              <w:r>
                <w:rPr>
                  <w:rStyle w:val="InternetLink"/>
                  <w:rFonts w:ascii="Times New Roman;serif" w:hAnsi="Times New Roman;serif"/>
                  <w:b w:val="false"/>
                  <w:color w:val="0000FF"/>
                  <w:sz w:val="20"/>
                  <w:u w:val="singl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28">
              <w:r>
                <w:rPr>
                  <w:rStyle w:val="InternetLink"/>
                  <w:rFonts w:ascii="Times New Roman;serif" w:hAnsi="Times New Roman;serif"/>
                  <w:b w:val="false"/>
                  <w:color w:val="000080"/>
                  <w:sz w:val="20"/>
                  <w:u w:val="single"/>
                </w:rPr>
                <w:t xml:space="preserve">Unaudited Condensed Consolidated Statements of Cash Flows - </w:t>
              </w:r>
            </w:hyperlink>
            <w:hyperlink w:anchor="i69b7948ca52e490dab4e2ad910f2c025_28">
              <w:r>
                <w:rPr>
                  <w:rStyle w:val="InternetLink"/>
                  <w:rFonts w:ascii="Times New Roman;serif" w:hAnsi="Times New Roman;serif"/>
                  <w:b w:val="false"/>
                  <w:color w:val="000080"/>
                  <w:sz w:val="20"/>
                  <w:u w:val="single"/>
                </w:rPr>
                <w:t>Nine</w:t>
              </w:r>
            </w:hyperlink>
            <w:hyperlink w:anchor="i69b7948ca52e490dab4e2ad910f2c025_28">
              <w:r>
                <w:rPr>
                  <w:rStyle w:val="InternetLink"/>
                  <w:rFonts w:ascii="Times New Roman;serif" w:hAnsi="Times New Roman;serif"/>
                  <w:b w:val="false"/>
                  <w:color w:val="000080"/>
                  <w:sz w:val="20"/>
                  <w:u w:val="single"/>
                </w:rPr>
                <w:t xml:space="preserve"> Months Ended </w:t>
              </w:r>
            </w:hyperlink>
            <w:hyperlink w:anchor="i69b7948ca52e490dab4e2ad910f2c025_28">
              <w:r>
                <w:rPr>
                  <w:rStyle w:val="InternetLink"/>
                  <w:rFonts w:ascii="Times New Roman;serif" w:hAnsi="Times New Roman;serif"/>
                  <w:b w:val="false"/>
                  <w:color w:val="000080"/>
                  <w:sz w:val="20"/>
                  <w:u w:val="single"/>
                </w:rPr>
                <w:t>December</w:t>
              </w:r>
            </w:hyperlink>
            <w:hyperlink w:anchor="i69b7948ca52e490dab4e2ad910f2c025_28">
              <w:r>
                <w:rPr>
                  <w:rStyle w:val="InternetLink"/>
                  <w:rFonts w:ascii="Times New Roman;serif" w:hAnsi="Times New Roman;serif"/>
                  <w:b w:val="false"/>
                  <w:color w:val="000080"/>
                  <w:sz w:val="20"/>
                  <w:u w:val="single"/>
                </w:rPr>
                <w:t xml:space="preserve"> 27, 2025 and </w:t>
              </w:r>
            </w:hyperlink>
            <w:hyperlink w:anchor="i69b7948ca52e490dab4e2ad910f2c025_28">
              <w:r>
                <w:rPr>
                  <w:rStyle w:val="InternetLink"/>
                  <w:rFonts w:ascii="Times New Roman;serif" w:hAnsi="Times New Roman;serif"/>
                  <w:b w:val="false"/>
                  <w:color w:val="000080"/>
                  <w:sz w:val="20"/>
                  <w:u w:val="single"/>
                </w:rPr>
                <w:t>December</w:t>
              </w:r>
            </w:hyperlink>
            <w:hyperlink w:anchor="i69b7948ca52e490dab4e2ad910f2c025_28">
              <w:r>
                <w:rPr>
                  <w:rStyle w:val="InternetLink"/>
                  <w:rFonts w:ascii="Times New Roman;serif" w:hAnsi="Times New Roman;serif"/>
                  <w:b w:val="false"/>
                  <w:color w:val="000080"/>
                  <w:sz w:val="20"/>
                  <w:u w:val="single"/>
                </w:rPr>
                <w:t xml:space="preserve"> 28, 2024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28">
              <w:r>
                <w:rPr>
                  <w:rStyle w:val="InternetLink"/>
                  <w:rFonts w:ascii="Times New Roman;serif" w:hAnsi="Times New Roman;serif"/>
                  <w:b w:val="false"/>
                  <w:color w:val="0000FF"/>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31">
              <w:r>
                <w:rPr>
                  <w:rStyle w:val="InternetLink"/>
                  <w:rFonts w:ascii="Times New Roman;serif" w:hAnsi="Times New Roman;serif"/>
                  <w:b w:val="false"/>
                  <w:color w:val="0000FF"/>
                  <w:sz w:val="20"/>
                  <w:u w:val="single"/>
                </w:rPr>
                <w:t>Notes to Unaudited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31">
              <w:r>
                <w:rPr>
                  <w:rStyle w:val="InternetLink"/>
                  <w:rFonts w:ascii="Times New Roman;serif" w:hAnsi="Times New Roman;serif"/>
                  <w:b w:val="false"/>
                  <w:color w:val="0000FF"/>
                  <w:sz w:val="20"/>
                  <w:u w:val="single"/>
                </w:rPr>
                <w:t>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88">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88">
              <w:r>
                <w:rPr>
                  <w:rStyle w:val="InternetLink"/>
                  <w:rFonts w:ascii="Times New Roman;serif" w:hAnsi="Times New Roman;serif"/>
                  <w:b w:val="false"/>
                  <w:color w:val="0000FF"/>
                  <w:sz w:val="20"/>
                  <w:u w:val="single"/>
                </w:rPr>
                <w:t>37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12">
              <w:r>
                <w:rPr>
                  <w:rStyle w:val="InternetLink"/>
                  <w:rFonts w:ascii="Times New Roman;serif" w:hAnsi="Times New Roman;serif"/>
                  <w:b/>
                  <w:color w:val="0000FF"/>
                  <w:sz w:val="20"/>
                  <w:u w:val="single"/>
                </w:rPr>
                <w:t>ITEM 3.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12">
              <w:r>
                <w:rPr>
                  <w:rStyle w:val="InternetLink"/>
                  <w:rFonts w:ascii="Times New Roman;serif" w:hAnsi="Times New Roman;serif"/>
                  <w:b w:val="false"/>
                  <w:color w:val="0000FF"/>
                  <w:sz w:val="20"/>
                  <w:u w:val="single"/>
                </w:rPr>
                <w:t>48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15">
              <w:r>
                <w:rPr>
                  <w:rStyle w:val="InternetLink"/>
                  <w:rFonts w:ascii="Times New Roman;serif" w:hAnsi="Times New Roman;serif"/>
                  <w:b/>
                  <w:color w:val="0000FF"/>
                  <w:sz w:val="20"/>
                  <w:u w:val="single"/>
                </w:rPr>
                <w:t>ITEM 4.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15">
              <w:r>
                <w:rPr>
                  <w:rStyle w:val="InternetLink"/>
                  <w:rFonts w:ascii="Times New Roman;serif" w:hAnsi="Times New Roman;serif"/>
                  <w:b w:val="false"/>
                  <w:color w:val="0000FF"/>
                  <w:sz w:val="20"/>
                  <w:u w:val="single"/>
                </w:rPr>
                <w:t>49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18">
              <w:r>
                <w:rPr>
                  <w:rStyle w:val="InternetLink"/>
                  <w:rFonts w:ascii="Times New Roman;serif" w:hAnsi="Times New Roman;serif"/>
                  <w:b/>
                  <w:color w:val="0000FF"/>
                  <w:sz w:val="20"/>
                  <w:u w:val="single"/>
                </w:rPr>
                <w:t>PART II.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18">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21">
              <w:r>
                <w:rPr>
                  <w:rStyle w:val="InternetLink"/>
                  <w:rFonts w:ascii="Times New Roman;serif" w:hAnsi="Times New Roman;serif"/>
                  <w:b/>
                  <w:color w:val="0000FF"/>
                  <w:sz w:val="20"/>
                  <w:u w:val="single"/>
                </w:rPr>
                <w:t>ITEM 1.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21">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24">
              <w:r>
                <w:rPr>
                  <w:rStyle w:val="InternetLink"/>
                  <w:rFonts w:ascii="Times New Roman;serif" w:hAnsi="Times New Roman;serif"/>
                  <w:b/>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24">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27">
              <w:r>
                <w:rPr>
                  <w:rStyle w:val="InternetLink"/>
                  <w:rFonts w:ascii="Times New Roman;serif" w:hAnsi="Times New Roman;serif"/>
                  <w:b/>
                  <w:color w:val="0000FF"/>
                  <w:sz w:val="20"/>
                  <w:u w:val="single"/>
                </w:rPr>
                <w:t>ITEM 2. 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27">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30">
              <w:r>
                <w:rPr>
                  <w:rStyle w:val="InternetLink"/>
                  <w:rFonts w:ascii="Times New Roman;serif" w:hAnsi="Times New Roman;serif"/>
                  <w:b/>
                  <w:color w:val="0000FF"/>
                  <w:sz w:val="20"/>
                  <w:u w:val="single"/>
                </w:rPr>
                <w:t>ITEM 3. 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30">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33">
              <w:r>
                <w:rPr>
                  <w:rStyle w:val="InternetLink"/>
                  <w:rFonts w:ascii="Times New Roman;serif" w:hAnsi="Times New Roman;serif"/>
                  <w:b/>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33">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36">
              <w:r>
                <w:rPr>
                  <w:rStyle w:val="InternetLink"/>
                  <w:rFonts w:ascii="Times New Roman;serif" w:hAnsi="Times New Roman;serif"/>
                  <w:b/>
                  <w:color w:val="0000FF"/>
                  <w:sz w:val="20"/>
                  <w:u w:val="single"/>
                </w:rPr>
                <w:t>ITEM 5.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36">
              <w:r>
                <w:rPr>
                  <w:rStyle w:val="InternetLink"/>
                  <w:rFonts w:ascii="Times New Roman;serif" w:hAnsi="Times New Roman;serif"/>
                  <w:b w:val="false"/>
                  <w:color w:val="0000FF"/>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42">
              <w:r>
                <w:rPr>
                  <w:rStyle w:val="InternetLink"/>
                  <w:rFonts w:ascii="Times New Roman;serif" w:hAnsi="Times New Roman;serif"/>
                  <w:b/>
                  <w:color w:val="0000FF"/>
                  <w:sz w:val="20"/>
                  <w:u w:val="single"/>
                </w:rPr>
                <w:t>ITEM 6. 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42">
              <w:r>
                <w:rPr>
                  <w:rStyle w:val="InternetLink"/>
                  <w:rFonts w:ascii="Times New Roman;serif" w:hAnsi="Times New Roman;serif"/>
                  <w:b w:val="false"/>
                  <w:color w:val="0000FF"/>
                  <w:sz w:val="20"/>
                  <w:u w:val="single"/>
                </w:rPr>
                <w:t>51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b7948ca52e490dab4e2ad910f2c025_145">
              <w:r>
                <w:rPr>
                  <w:rStyle w:val="InternetLink"/>
                  <w:rFonts w:ascii="Times New Roman;serif" w:hAnsi="Times New Roman;serif"/>
                  <w:b/>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b7948ca52e490dab4e2ad910f2c025_145">
              <w:r>
                <w:rPr>
                  <w:rStyle w:val="InternetLink"/>
                  <w:rFonts w:ascii="Times New Roman;serif" w:hAnsi="Times New Roman;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tbl>
      <w:tblPr>
        <w:tblW w:w="10205" w:type="dxa"/>
        <w:jc w:val="center"/>
        <w:tblInd w:w="0" w:type="dxa"/>
        <w:tblLayout w:type="fixed"/>
        <w:tblCellMar>
          <w:top w:w="28" w:type="dxa"/>
          <w:left w:w="28" w:type="dxa"/>
          <w:bottom w:w="28" w:type="dxa"/>
          <w:right w:w="28" w:type="dxa"/>
        </w:tblCellMar>
      </w:tblPr>
      <w:tblGrid>
        <w:gridCol w:w="1230"/>
        <w:gridCol w:w="1037"/>
        <w:gridCol w:w="1047"/>
        <w:gridCol w:w="269"/>
        <w:gridCol w:w="1054"/>
        <w:gridCol w:w="138"/>
        <w:gridCol w:w="109"/>
        <w:gridCol w:w="109"/>
        <w:gridCol w:w="109"/>
        <w:gridCol w:w="269"/>
        <w:gridCol w:w="1054"/>
        <w:gridCol w:w="138"/>
        <w:gridCol w:w="109"/>
        <w:gridCol w:w="109"/>
        <w:gridCol w:w="109"/>
        <w:gridCol w:w="269"/>
        <w:gridCol w:w="1054"/>
        <w:gridCol w:w="138"/>
        <w:gridCol w:w="109"/>
        <w:gridCol w:w="109"/>
        <w:gridCol w:w="109"/>
        <w:gridCol w:w="239"/>
        <w:gridCol w:w="1109"/>
        <w:gridCol w:w="179"/>
      </w:tblGrid>
      <w:tr>
        <w:trPr/>
        <w:tc>
          <w:tcPr>
            <w:tcW w:w="12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Shares in Thousands, Except Per Share Data)</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 average shares outstanding </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452"/>
        <w:gridCol w:w="1232"/>
        <w:gridCol w:w="1248"/>
        <w:gridCol w:w="257"/>
        <w:gridCol w:w="898"/>
        <w:gridCol w:w="132"/>
        <w:gridCol w:w="109"/>
        <w:gridCol w:w="109"/>
        <w:gridCol w:w="109"/>
        <w:gridCol w:w="257"/>
        <w:gridCol w:w="898"/>
        <w:gridCol w:w="132"/>
        <w:gridCol w:w="109"/>
        <w:gridCol w:w="109"/>
        <w:gridCol w:w="109"/>
        <w:gridCol w:w="242"/>
        <w:gridCol w:w="969"/>
        <w:gridCol w:w="125"/>
        <w:gridCol w:w="109"/>
        <w:gridCol w:w="109"/>
        <w:gridCol w:w="109"/>
        <w:gridCol w:w="243"/>
        <w:gridCol w:w="954"/>
        <w:gridCol w:w="185"/>
      </w:tblGrid>
      <w:tr>
        <w:trPr/>
        <w:tc>
          <w:tcPr>
            <w:tcW w:w="145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 net of tax</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into earnings of cash flow hedge (gains) losses, net of tax</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50,661</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16,557</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137,929</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89,829</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25"/>
        <w:gridCol w:w="2108"/>
        <w:gridCol w:w="2096"/>
        <w:gridCol w:w="226"/>
        <w:gridCol w:w="1048"/>
        <w:gridCol w:w="116"/>
        <w:gridCol w:w="109"/>
        <w:gridCol w:w="109"/>
        <w:gridCol w:w="109"/>
        <w:gridCol w:w="212"/>
        <w:gridCol w:w="984"/>
        <w:gridCol w:w="163"/>
      </w:tblGrid>
      <w:tr>
        <w:trPr/>
        <w:tc>
          <w:tcPr>
            <w:tcW w:w="2925"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7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$3,880 as of December 27, 2025 and $6,300 as of March 29, 2025</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less accumulated amortization of $352,122 as of December 27, 2025 and $316,313 as of March 29, 2025</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578,113 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921,230 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 150,000,000 shares; Issued and outstanding — 46,829,249 shares as of December 27, 2025 and 48,215,899 shares as of March 29, 2025</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2,490,890 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2,450,948 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bl>
      <w:tblPr>
        <w:tblW w:w="10205" w:type="dxa"/>
        <w:jc w:val="left"/>
        <w:tblInd w:w="0" w:type="dxa"/>
        <w:tblLayout w:type="fixed"/>
        <w:tblCellMar>
          <w:top w:w="28" w:type="dxa"/>
          <w:left w:w="28" w:type="dxa"/>
          <w:bottom w:w="28" w:type="dxa"/>
          <w:right w:w="28" w:type="dxa"/>
        </w:tblCellMar>
      </w:tblPr>
      <w:tblGrid>
        <w:gridCol w:w="868"/>
        <w:gridCol w:w="371"/>
        <w:gridCol w:w="373"/>
        <w:gridCol w:w="548"/>
        <w:gridCol w:w="548"/>
        <w:gridCol w:w="196"/>
        <w:gridCol w:w="109"/>
        <w:gridCol w:w="109"/>
        <w:gridCol w:w="109"/>
        <w:gridCol w:w="212"/>
        <w:gridCol w:w="483"/>
        <w:gridCol w:w="109"/>
        <w:gridCol w:w="109"/>
        <w:gridCol w:w="109"/>
        <w:gridCol w:w="109"/>
        <w:gridCol w:w="211"/>
        <w:gridCol w:w="844"/>
        <w:gridCol w:w="109"/>
        <w:gridCol w:w="109"/>
        <w:gridCol w:w="109"/>
        <w:gridCol w:w="109"/>
        <w:gridCol w:w="216"/>
        <w:gridCol w:w="861"/>
        <w:gridCol w:w="111"/>
        <w:gridCol w:w="109"/>
        <w:gridCol w:w="109"/>
        <w:gridCol w:w="109"/>
        <w:gridCol w:w="249"/>
        <w:gridCol w:w="872"/>
        <w:gridCol w:w="130"/>
        <w:gridCol w:w="109"/>
        <w:gridCol w:w="109"/>
        <w:gridCol w:w="109"/>
        <w:gridCol w:w="219"/>
        <w:gridCol w:w="873"/>
        <w:gridCol w:w="167"/>
      </w:tblGrid>
      <w:tr>
        <w:trPr/>
        <w:tc>
          <w:tcPr>
            <w:tcW w:w="8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29, 2025</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48,215,899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352,174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820,836</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28, 2025</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48,158,723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562,014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356,046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(36,242)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882,300</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including excise tax</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(1,430,579)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27, 2025</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46,747,381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336,323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(40,531)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849,173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including excise tax</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27, 2025</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46,829,249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564,502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381,091</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(34,610)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911,451</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74"/>
        <w:gridCol w:w="373"/>
        <w:gridCol w:w="375"/>
        <w:gridCol w:w="548"/>
        <w:gridCol w:w="548"/>
        <w:gridCol w:w="196"/>
        <w:gridCol w:w="109"/>
        <w:gridCol w:w="109"/>
        <w:gridCol w:w="109"/>
        <w:gridCol w:w="211"/>
        <w:gridCol w:w="483"/>
        <w:gridCol w:w="109"/>
        <w:gridCol w:w="109"/>
        <w:gridCol w:w="109"/>
        <w:gridCol w:w="109"/>
        <w:gridCol w:w="211"/>
        <w:gridCol w:w="844"/>
        <w:gridCol w:w="109"/>
        <w:gridCol w:w="109"/>
        <w:gridCol w:w="109"/>
        <w:gridCol w:w="109"/>
        <w:gridCol w:w="215"/>
        <w:gridCol w:w="859"/>
        <w:gridCol w:w="111"/>
        <w:gridCol w:w="109"/>
        <w:gridCol w:w="109"/>
        <w:gridCol w:w="109"/>
        <w:gridCol w:w="248"/>
        <w:gridCol w:w="870"/>
        <w:gridCol w:w="130"/>
        <w:gridCol w:w="109"/>
        <w:gridCol w:w="109"/>
        <w:gridCol w:w="109"/>
        <w:gridCol w:w="218"/>
        <w:gridCol w:w="870"/>
        <w:gridCol w:w="168"/>
      </w:tblGrid>
      <w:tr>
        <w:trPr/>
        <w:tc>
          <w:tcPr>
            <w:tcW w:w="8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30, 2024</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50,787,859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360,456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959,959</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related to convertible notes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29, 2024</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51,152,886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386,642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(42,667)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905,368</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including excise tax</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28, 2024</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50,381,127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368,536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(34,564)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878,851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49,232 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including excise tax</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(209,494)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28, 2024</w:t>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50,235,051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569,629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392,230</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(55,501)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906,860</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534"/>
        <w:gridCol w:w="2190"/>
        <w:gridCol w:w="2205"/>
        <w:gridCol w:w="263"/>
        <w:gridCol w:w="1052"/>
        <w:gridCol w:w="135"/>
        <w:gridCol w:w="109"/>
        <w:gridCol w:w="109"/>
        <w:gridCol w:w="109"/>
        <w:gridCol w:w="261"/>
        <w:gridCol w:w="1044"/>
        <w:gridCol w:w="194"/>
      </w:tblGrid>
      <w:tr>
        <w:trPr/>
        <w:tc>
          <w:tcPr>
            <w:tcW w:w="253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fair value inventory step-up</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repurchase of convertible senior notes,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sales of property, plant and equipment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receivable</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inventories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prepaid income taxes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assets and other liabilities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accrued expenses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222,280 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transfers from inventory to property, plant and equipment for Haemonetics equipment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(150,906)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(179,935)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notes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convertible senior notes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related to convertible notes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borrowings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redemption</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facility</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 borrowings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to net share settle employee equity awards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142,046 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363,367</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320,846</w:t>
            </w: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December 27, 2025 are not necessarily indicative of the results that may be expected for the full fiscal year ending March 28, 2026 or any other interim period. These unaudited condensed consolidated financial statements should be read in conjunction with the audited consolidated financial statements and footnotes included in the Annual Report on Form 10-K for the fiscal year ended March 29, 2025.</w:t>
      </w:r>
    </w:p>
    <w:p>
      <w:pPr>
        <w:pStyle w:val="TextBody"/>
        <w:bidi w:val="0"/>
        <w:spacing w:lineRule="auto" w:line="288" w:before="0" w:after="180"/>
        <w:jc w:val="both"/>
        <w:rPr/>
      </w:pPr>
      <w:r>
        <w:rPr>
          <w:rFonts w:ascii="Times New Roman;serif" w:hAnsi="Times New Roman;serif"/>
          <w:b w:val="false"/>
          <w:color w:val="000000"/>
          <w:sz w:val="20"/>
        </w:rPr>
        <w:t xml:space="preserve">The Company considers events or transactions that occur after the balance sheet date but prior to the issuance of the financial statements to provide additional </w:t>
      </w:r>
      <w:r>
        <w:rPr>
          <w:rFonts w:ascii="Times New Roman;serif" w:hAnsi="Times New Roman;serif"/>
          <w:b w:val="false"/>
          <w:color w:val="000000"/>
          <w:sz w:val="20"/>
          <w:shd w:fill="FFFFFF" w:val="clear"/>
        </w:rPr>
        <w:t>evid</w:t>
      </w:r>
      <w:r>
        <w:rPr>
          <w:rFonts w:ascii="Times New Roman;serif" w:hAnsi="Times New Roman;serif"/>
          <w:b w:val="false"/>
          <w:color w:val="000000"/>
          <w:sz w:val="20"/>
        </w:rPr>
        <w:t xml:space="preserve">ence relative to certain estimates or to identify matters that require additional disclosure. There were no material recognized or unrecognized subsequent events as of or for the nine months ended December 27, 2025, except for those discussed in Note 3, </w:t>
      </w:r>
      <w:r>
        <w:rPr>
          <w:rFonts w:ascii="Times New Roman;serif" w:hAnsi="Times New Roman;serif"/>
          <w:b w:val="false"/>
          <w:i/>
          <w:color w:val="000000"/>
          <w:sz w:val="20"/>
        </w:rPr>
        <w:t xml:space="preserve">Acquisitions, Divestitures and Strategic Investments </w:t>
      </w:r>
      <w:r>
        <w:rPr>
          <w:rFonts w:ascii="Times New Roman;serif" w:hAnsi="Times New Roman;serif"/>
          <w:b w:val="false"/>
          <w:color w:val="000000"/>
          <w:sz w:val="20"/>
        </w:rPr>
        <w:t xml:space="preserve">and Note 7,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within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2. RECENT ACCOUNTING PRONOUNCEMENTS </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December 2023, the Financial Accounting Standards Board (“FASB”) issued Accounting Standards Codification (“ASC”) Update No. 2023-09, </w:t>
      </w:r>
      <w:r>
        <w:rPr>
          <w:rFonts w:ascii="Times New Roman;serif" w:hAnsi="Times New Roman;serif"/>
          <w:b w:val="false"/>
          <w:i/>
          <w:color w:val="000000"/>
          <w:sz w:val="20"/>
          <w:shd w:fill="FFFFFF" w:val="clear"/>
        </w:rPr>
        <w:t>Income Taxes (Topic 740): Improvements to Income Tax Disclosures</w:t>
      </w:r>
      <w:r>
        <w:rPr>
          <w:rFonts w:ascii="Times New Roman;serif" w:hAnsi="Times New Roman;serif"/>
          <w:b w:val="false"/>
          <w:color w:val="000000"/>
          <w:sz w:val="20"/>
          <w:shd w:fill="FFFFFF" w:val="clear"/>
        </w:rPr>
        <w:t>. ASC Update No. 2023-09 requires disaggregated information about a reporting entity’s effective tax rate reconciliation as well as information on income taxes paid. ASC Update No. 2023-09 is effective for the Company’s first fiscal year beginning after December 15, 2024 and early adoption is permitted. ASC Update No. 2023-09 is applicable to Haemonetics beginning with the fiscal 2026 Annual Report on Form 10-K. The guidance will be applied on a prospective basis with the option to apply the standard retrospectively. The Company does not expect the adoption of ASC Update No. 2023-09 to have a material impact on its financial position or results of operations.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ASC Update No.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ASC Update No. 2024-03 requires detailed cost and expense information disaggregated in the financial statement notes. The updated guidance is effective for fiscal years beginning after December 15, 2026 and interim reporting periods within annual reporting periods beginning after December 15, 2027, with early adoption permitted. ASC Update No. 2024-03 is applicable to Haemonetics beginning with the fiscal 2028 Annual Report on Form 10-K and the Company is currently evaluating the impact to its interim and annual report disclosures.</w:t>
      </w:r>
    </w:p>
    <w:p>
      <w:pPr>
        <w:pStyle w:val="TextBody"/>
        <w:bidi w:val="0"/>
        <w:spacing w:lineRule="auto" w:line="288" w:before="0" w:after="180"/>
        <w:jc w:val="both"/>
        <w:rPr/>
      </w:pPr>
      <w:r>
        <w:rPr>
          <w:rFonts w:ascii="Times New Roman;serif" w:hAnsi="Times New Roman;serif"/>
          <w:b w:val="false"/>
          <w:color w:val="000000"/>
          <w:sz w:val="20"/>
        </w:rPr>
        <w:t xml:space="preserve">In July 2025, the FASB issued ASC Update No. 2025-05,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(Topic 326). ASC Update No. 2025-05 introduces a practical expedient related to the estimation of expected credit losses for current accounts receivable and current contract assets that arise from transactions accounted for under FASB Accounting Standards Codification 606. Under ASC Update No. 2025-05, an entity is required to disclose whether it has elected to use the practical expedient. An entity that makes the accounting policy election is required to disclose the date through which subsequent cash collections are evaluated. The updated guidance is effective for fiscal years beginning December 15, 2025, with early adoption permitted. ASC Update No. 2025-05 is applicable to Haemonetics beginning with the fiscal 2027 Annual Report on Form 10-K and the Company is currently evaluating the impact to its interim and annual report disclosures. The guidance can be applied on a prospective basis with the option to apply the standard retrospectively.</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ASC Update No. 2025-06,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xml:space="preserve">. ASC Update No. 2025-06 eliminates references to development stages in the capitalization guidance and requires costs to be capitalized once management authorizes funding and will be completed and used as intended. The updated guidance is effective for fiscal years beginning after December 15, 2027, with early adoption permitted. ASC Update No. 2025-06 is applicable to Haemonetics beginning with the fiscal 2029 Annual Report on Form 10-K and the Company is currently evaluating the impact to its interim and annual report disclosures. The guidance can be applied on a prospective basis with the option to apply the standard retrospectively.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ASC Update No. 2025-07, </w:t>
      </w:r>
      <w:r>
        <w:rPr>
          <w:rFonts w:ascii="Times New Roman;serif" w:hAnsi="Times New Roman;serif"/>
          <w:b w:val="false"/>
          <w:i/>
          <w:color w:val="000000"/>
          <w:sz w:val="20"/>
        </w:rPr>
        <w:t>Derivatives and Hedging and Revenue from Contracts with Customers</w:t>
      </w:r>
      <w:r>
        <w:rPr>
          <w:rFonts w:ascii="Times New Roman;serif" w:hAnsi="Times New Roman;serif"/>
          <w:b w:val="false"/>
          <w:color w:val="000000"/>
          <w:sz w:val="20"/>
        </w:rPr>
        <w:t xml:space="preserve">. ASC Update No. 2025-07 reduces cost, complexity and diversity in practice of evaluating whether contracts with features based on the operations or activities of one of the parties to the contract are derivatives. The updated guidance is effective for fiscal years beginning after December 15, 2026, with early adoption permitted. ASC Update No. 2025-07 is applicable to Haemonetics beginning with the fiscal 2028 Annual Report on Form 10-K and the Company is currently evaluating the impact to its interim and annual report disclosures. </w:t>
      </w:r>
      <w:r>
        <w:rPr>
          <w:rFonts w:ascii="Times New Roman;serif" w:hAnsi="Times New Roman;serif"/>
          <w:b w:val="false"/>
          <w:color w:val="000000"/>
          <w:sz w:val="20"/>
          <w:shd w:fill="FFFFFF" w:val="clear"/>
        </w:rPr>
        <w:t>The guidance will be applied on a prospective basis with the option to apply the standard retrospectively.</w:t>
      </w:r>
    </w:p>
    <w:p>
      <w:pPr>
        <w:pStyle w:val="TextBody"/>
        <w:bidi w:val="0"/>
        <w:spacing w:lineRule="auto" w:line="288" w:before="0" w:after="180"/>
        <w:jc w:val="both"/>
        <w:rPr/>
      </w:pPr>
      <w:r>
        <w:rPr>
          <w:rFonts w:ascii="Times New Roman;serif" w:hAnsi="Times New Roman;serif"/>
          <w:b w:val="false"/>
          <w:color w:val="000000"/>
          <w:sz w:val="20"/>
        </w:rPr>
        <w:t xml:space="preserve">In November 2025, the FASB issued ASC Update No. 2025-09,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 xml:space="preserve">ASC Update No. 2025-09 enables groups of forecasted transactions to now share similar risk exposure with ongoing assessments of risk similarity to better reflect economic hedging strategies. The updated guidance is effective for fiscal years beginning after December 15, 2028, with early adoption permitted. ASC Update No. 2025-09 is applicable to Haemonetics beginning with the fiscal 2030 Annual Report on Form 10-K and the Company is currently evaluating the impact to its interim and annual report disclosures. </w:t>
      </w:r>
      <w:r>
        <w:rPr>
          <w:rFonts w:ascii="Times New Roman;serif" w:hAnsi="Times New Roman;serif"/>
          <w:b w:val="false"/>
          <w:color w:val="000000"/>
          <w:sz w:val="20"/>
          <w:shd w:fill="FFFFFF" w:val="clear"/>
        </w:rPr>
        <w:t>The guidance will be applied on a prospective basis with the option to apply the standard retrospectively.</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ASC Update No. 2025-11, </w:t>
      </w:r>
      <w:r>
        <w:rPr>
          <w:rFonts w:ascii="Times New Roman;serif" w:hAnsi="Times New Roman;serif"/>
          <w:b w:val="false"/>
          <w:i/>
          <w:color w:val="000000"/>
          <w:sz w:val="20"/>
        </w:rPr>
        <w:t xml:space="preserve">Interim Reporting. </w:t>
      </w:r>
      <w:r>
        <w:rPr>
          <w:rFonts w:ascii="Times New Roman;serif" w:hAnsi="Times New Roman;serif"/>
          <w:b w:val="false"/>
          <w:color w:val="000000"/>
          <w:sz w:val="20"/>
        </w:rPr>
        <w:t xml:space="preserve">ASC Update No. 2025-11 improves navigability and consistency in interim reporting by providing a comprehensive list of interim disclosures that are required from U.S. GAAP as well as a disclosure principle for additional transparency. The updated guidance is effective for fiscal years beginning after December 15, 2027, with early adoption permitted. ASC Update No. 2025-11 is applicable to Haemonetics beginning with the fiscal 2029 Annual Report on Form 10-K and the Company is currently evaluating the impact to its interim and annual report disclosures. </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ASC Update No. 2025-12, </w:t>
      </w:r>
      <w:r>
        <w:rPr>
          <w:rFonts w:ascii="Times New Roman;serif" w:hAnsi="Times New Roman;serif"/>
          <w:b w:val="false"/>
          <w:i/>
          <w:color w:val="000000"/>
          <w:sz w:val="20"/>
        </w:rPr>
        <w:t xml:space="preserve">Codification Improvements. </w:t>
      </w:r>
      <w:r>
        <w:rPr>
          <w:rFonts w:ascii="Times New Roman;serif" w:hAnsi="Times New Roman;serif"/>
          <w:b w:val="false"/>
          <w:color w:val="000000"/>
          <w:sz w:val="20"/>
        </w:rPr>
        <w:t xml:space="preserve">ASC Update No. 2025-12 makes a broad set of technical corrections, clarifications and targeted improvements to the FASB Accounting Standards Codification to address unintended application issues and improve the operability of U.S. GAAP across a range of topics. The updated guidance is effective for fiscal years beginning after December 15, 2026, with early adoption permitted. ASC Update No. 2025-12 is applicable to Haemonetics beginning with the fiscal 2028 Annual Report on Form 10-K and the Company is currently evaluating the impact to its interim and annual report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3. ACQUISITIONS, DIVESTITURES AND STRATEGIC INVESTMENTS </w:t>
      </w:r>
    </w:p>
    <w:p>
      <w:pPr>
        <w:pStyle w:val="TextBody"/>
        <w:bidi w:val="0"/>
        <w:spacing w:lineRule="auto" w:line="288" w:before="0" w:after="180"/>
        <w:jc w:val="both"/>
        <w:rPr/>
      </w:pPr>
      <w:r>
        <w:rPr>
          <w:rFonts w:ascii="Times New Roman;serif" w:hAnsi="Times New Roman;serif"/>
          <w:b/>
          <w:i/>
          <w:color w:val="000000"/>
          <w:sz w:val="20"/>
          <w:shd w:fill="FFFFFF" w:val="clear"/>
        </w:rPr>
        <w:t>A</w:t>
      </w:r>
      <w:r>
        <w:rPr>
          <w:rFonts w:ascii="Times New Roman;serif" w:hAnsi="Times New Roman;serif"/>
          <w:b/>
          <w:i/>
          <w:color w:val="000000"/>
          <w:sz w:val="20"/>
        </w:rPr>
        <w:t>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Vivasure Medical Limited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9, 2026, subsequent to the end of the third quarter of fiscal 2026, the Company acquired Vivasure Medical Limited (“Vivasure”) for gross upfront consideration of $116.4 million, with $60.7 million paid in cash at closing after giving effect to the value of certain prior investments and loans made by the Company to Vivasure, as well as other customary closing adjustments. The definitive agreement between the parties also provides for up to $98.9 million of additional contingent consideration based on sales growth over the three years following the completion of the acquisition and the achievement of certain other milestones, also subject to adjustment based on the value of certain prior investments and loans. The Company financed this transaction through available cash on hand.</w:t>
      </w:r>
    </w:p>
    <w:p>
      <w:pPr>
        <w:pStyle w:val="TextBody"/>
        <w:bidi w:val="0"/>
        <w:spacing w:lineRule="auto" w:line="288" w:before="0" w:after="180"/>
        <w:jc w:val="both"/>
        <w:rPr/>
      </w:pPr>
      <w:r>
        <w:rPr>
          <w:rFonts w:ascii="Times New Roman;serif" w:hAnsi="Times New Roman;serif"/>
          <w:b w:val="false"/>
          <w:color w:val="000000"/>
          <w:sz w:val="20"/>
        </w:rPr>
        <w:t>Vivasure is a Galway, Ireland-based company pioneering next-generation technology for percutaneous vessel closure. Vivasure’s PerQseal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Elite system uses a proprietary bioabsorbable patch to seal large-bore (up to 26 F) arteriotomies and venotomies from inside the vessel, offering a sutureless, fully absorbable solution for structural heart and endovascular procedures. In 2025, Vivasure submitted a Premarket Approval application to the U.S. FDA for the PerQseal Elite arterial closure system and received CE Mark approval in Europe for both arterial and venous indications. The addition of Vivasure expands the Hospital business unit portfolio in the interventional cardiology market and will be included in the Hospital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Attune Medical</w:t>
      </w:r>
    </w:p>
    <w:p>
      <w:pPr>
        <w:pStyle w:val="TextBody"/>
        <w:bidi w:val="0"/>
        <w:spacing w:lineRule="auto" w:line="288" w:before="0" w:after="180"/>
        <w:jc w:val="both"/>
        <w:rPr/>
      </w:pPr>
      <w:r>
        <w:rPr>
          <w:rFonts w:ascii="Times New Roman;serif" w:hAnsi="Times New Roman;serif"/>
          <w:b w:val="false"/>
          <w:color w:val="000000"/>
          <w:sz w:val="20"/>
        </w:rPr>
        <w:t>On March 5, 2024, the Company entered into a definitive agreement to acquire Advanced Cooling Therapy, Inc., d/b/a Attune Medical (“Attune Medical”), the manufacturer of the ensoETM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proactive esophageal cooling device, pursuant to which, among other things, the Company agreed to acquire all of the issued and outstanding common shares of Attune Medical. On April 1, 2024, the Company completed its acquisition of Attune Medical for a net purchase price of $176.2 million, which included an upfront cash payment of $162.0 million, or $150.5 million net of $11.5 million cash acquired, the fair value of contingent consideration of $25.3 million, and $0.4 million of working capital adjustments. The contingent consideration is based on sales growth over the three years following completion of the acquisition, which is uncapped, and the achievement of certain other milestones. The Company financed the acquisition through a combination of cash on hand and borrowings under its senior unsecured revolving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0" w:after="180"/>
        <w:jc w:val="both"/>
        <w:rPr/>
      </w:pPr>
      <w:r>
        <w:rPr>
          <w:rFonts w:ascii="Times New Roman;serif" w:hAnsi="Times New Roman;serif"/>
          <w:b w:val="false"/>
          <w:color w:val="000000"/>
          <w:sz w:val="20"/>
        </w:rPr>
        <w:t xml:space="preserve">The Company accounted for the acquisition as a business combination, and in accordance with FASB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net purchase price of $176.2 million consists of the amounts presented below, which represent the final determination of the fair value of the identifiable assets acquired and liabilities assumed:</w:t>
      </w:r>
    </w:p>
    <w:tbl>
      <w:tblPr>
        <w:tblW w:w="5234" w:type="dxa"/>
        <w:jc w:val="left"/>
        <w:tblInd w:w="0" w:type="dxa"/>
        <w:tblLayout w:type="fixed"/>
        <w:tblCellMar>
          <w:top w:w="28" w:type="dxa"/>
          <w:left w:w="28" w:type="dxa"/>
          <w:bottom w:w="28" w:type="dxa"/>
          <w:right w:w="28" w:type="dxa"/>
        </w:tblCellMar>
      </w:tblPr>
      <w:tblGrid>
        <w:gridCol w:w="1250"/>
        <w:gridCol w:w="1098"/>
        <w:gridCol w:w="1102"/>
        <w:gridCol w:w="316"/>
        <w:gridCol w:w="1238"/>
        <w:gridCol w:w="230"/>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 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207,246 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tangible assets, identifiable intangible assets and assumed liabilities was recorded as goodwill. As a result of the acquisition of Attune Medical, the Company recognized goodwill of $70.3 million based on expected synergies from integration into the Company’s Hospital business. The goodwill is not deductible for tax purposes and relates entirely to the Hospital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156"/>
        <w:gridCol w:w="989"/>
        <w:gridCol w:w="994"/>
        <w:gridCol w:w="211"/>
        <w:gridCol w:w="826"/>
        <w:gridCol w:w="109"/>
        <w:gridCol w:w="109"/>
        <w:gridCol w:w="109"/>
        <w:gridCol w:w="109"/>
        <w:gridCol w:w="887"/>
        <w:gridCol w:w="887"/>
        <w:gridCol w:w="888"/>
        <w:gridCol w:w="109"/>
        <w:gridCol w:w="109"/>
        <w:gridCol w:w="109"/>
        <w:gridCol w:w="536"/>
        <w:gridCol w:w="529"/>
        <w:gridCol w:w="1539"/>
      </w:tblGrid>
      <w:tr>
        <w:trPr/>
        <w:tc>
          <w:tcPr>
            <w:tcW w:w="1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Risk-Adjusted Discount</w:t>
              <w:br/>
              <w:t>Rates used in Purchase Price Allocation</w:t>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long-term net deferred tax liability of $26.2 million primarily related to fair value adjustments recorded associated with definite-lived intangible assets and inventory in which there is no tax basis, partially offset by deferred tax assets primarily related to net operating losses acquired.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Acquisition-Related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$9.8 million of acquisition-related costs during the first quarter of fiscal 2025 in connection with the Attune Medical acquisition. These costs related to legal and other professional fees were recognized in selling, general and administrative (“SG&amp;A”) within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results of Attune Medical from the date the acquisition was completed. Pro forma financial information has not been presented as the acquisition has been determined to not be material to the Company’s overall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OpSens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a net purchase price of $243.9 million, reflecting total consideration of $254.5 million, net of $10.6 million of cash acquired. The Company financed the acquisition through a combination of cash on hand and borrowings under its senior unsecured revolving credit facility.</w:t>
      </w:r>
    </w:p>
    <w:p>
      <w:pPr>
        <w:pStyle w:val="TextBody"/>
        <w:bidi w:val="0"/>
        <w:spacing w:lineRule="auto" w:line="288" w:before="0" w:after="180"/>
        <w:jc w:val="both"/>
        <w:rPr/>
      </w:pPr>
      <w:r>
        <w:rPr>
          <w:rFonts w:ascii="Times New Roman;serif" w:hAnsi="Times New Roman;serif"/>
          <w:b w:val="false"/>
          <w:color w:val="000000"/>
          <w:sz w:val="20"/>
        </w:rPr>
        <w:t>OpSens offers commercially and clinically validated optical technology for use primarily in interventional cardiology. OpSens’ core products include the SavvyWire</w:t>
      </w:r>
      <w:r>
        <w:rPr>
          <w:rFonts w:ascii="Times New Roman;serif" w:hAnsi="Times New Roman;serif"/>
          <w:b w:val="false"/>
          <w:color w:val="000000"/>
          <w:sz w:val="13"/>
        </w:rPr>
        <w:t>®</w:t>
      </w:r>
      <w:r>
        <w:rPr>
          <w:rFonts w:ascii="Times New Roman;serif" w:hAnsi="Times New Roman;serif"/>
          <w:b w:val="false"/>
          <w:color w:val="000000"/>
          <w:sz w:val="20"/>
        </w:rPr>
        <w:t>, a sensor-guided 3-in-1 guidewire for transcatheter aortic valve replacement procedures, advancing the workflow of the procedure and enabling potentially shorter hospital stays for patients; and the OptoWire</w:t>
      </w:r>
      <w:r>
        <w:rPr>
          <w:rFonts w:ascii="Times New Roman;serif" w:hAnsi="Times New Roman;serif"/>
          <w:b w:val="false"/>
          <w:color w:val="000000"/>
          <w:sz w:val="13"/>
        </w:rPr>
        <w:t>®</w:t>
      </w:r>
      <w:r>
        <w:rPr>
          <w:rFonts w:ascii="Times New Roman;serif" w:hAnsi="Times New Roman;serif"/>
          <w:b w:val="false"/>
          <w:color w:val="000000"/>
          <w:sz w:val="20"/>
        </w:rPr>
        <w:t>, a pressure guidewire that aims to improve clinical outcomes by accurately and consistently measuring fractional flow reserve and diastolic pressure ratio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acquisition as a business combination, and in accordance with ASC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net purchase price of $243.9 million consists of the amounts presented below, which represent the final determination of the fair value of the identifiable assets acquired and liabilities assumed:</w:t>
      </w:r>
    </w:p>
    <w:tbl>
      <w:tblPr>
        <w:tblW w:w="5235" w:type="dxa"/>
        <w:jc w:val="left"/>
        <w:tblInd w:w="0" w:type="dxa"/>
        <w:tblLayout w:type="fixed"/>
        <w:tblCellMar>
          <w:top w:w="28" w:type="dxa"/>
          <w:left w:w="28" w:type="dxa"/>
          <w:bottom w:w="28" w:type="dxa"/>
          <w:right w:w="28" w:type="dxa"/>
        </w:tblCellMar>
      </w:tblPr>
      <w:tblGrid>
        <w:gridCol w:w="1250"/>
        <w:gridCol w:w="1098"/>
        <w:gridCol w:w="1102"/>
        <w:gridCol w:w="315"/>
        <w:gridCol w:w="1240"/>
        <w:gridCol w:w="230"/>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12, 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35,378 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243,852 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the Company’s Hospital business. The goodwill is not deductible for tax purposes and relates entirely to the Hospital reportable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156"/>
        <w:gridCol w:w="989"/>
        <w:gridCol w:w="994"/>
        <w:gridCol w:w="211"/>
        <w:gridCol w:w="826"/>
        <w:gridCol w:w="109"/>
        <w:gridCol w:w="109"/>
        <w:gridCol w:w="109"/>
        <w:gridCol w:w="109"/>
        <w:gridCol w:w="887"/>
        <w:gridCol w:w="887"/>
        <w:gridCol w:w="888"/>
        <w:gridCol w:w="109"/>
        <w:gridCol w:w="109"/>
        <w:gridCol w:w="109"/>
        <w:gridCol w:w="536"/>
        <w:gridCol w:w="529"/>
        <w:gridCol w:w="1539"/>
      </w:tblGrid>
      <w:tr>
        <w:trPr/>
        <w:tc>
          <w:tcPr>
            <w:tcW w:w="1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Risk-Adjusted Discount</w:t>
              <w:br/>
              <w:t>Rates used in Purchase Price Allocation</w:t>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net long-term deferred tax liability of $14.8 million, primarily as a result of fair value adjustments recorded associated with definite-lived intangible assets and inventory in which there is no tax basis.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Acquisition-Related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$6.6 million of acquisition-related costs for fiscal 2024 in connection with the OpSens acquisition. These costs related to legal and other professional fees, which were recognized in SG&amp;A on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Divestiture of the Whole Blood Product 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December 3, 2024, the Company announced that it had entered into a definitive agreement to sell its Whole Blood product line and related assets within its Blood Center business unit to GVS, S.p.A (“GVS”), a manufacturer of filter solutions for applications in the healthcare and life sciences sectors. The divested assets include the Company’s complete portfolio of proprietary whole blood collection, processing and filtration solutions, along with the Company’s manufacturing facility in Covina, California where certain of these products are produced, and related equipment and assets located at the Company’s manufacturing facility in Tijuana, Mexico.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13, 2025, the Company completed the transaction with GVS in exchange for upfront cash consideration of $43.3 million, after customary post-closing adjustments, and up to $22.5 million in contingent consideration, based on sales growth over the three years following completion of the transaction and the achievement of certain other milestones.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assets that were derecognized in connection with the sale consisted of $26.4 million of inventory, $7.8 million of property, plant and equipment and $6.4 million of goodwill, which were previously classified as held for sale in Prepaid expenses and other current assets in the consolidated balance sheets in the third quarter of fiscal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the Company recognized a gain from the sale of the business in Interest and other expense, net in the Consolidated Statements of Income for the year ended March 29, 2025. The gain was not material and included cash receipts of $43.3 million less net assets transferred to GVS or otherwise derecognized and net of transaction costs of $0.1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sale, the Company entered into a Transition Services Agreement (“TSA”) with GVS to ensure a smooth transition of business operations. Under the TSA, the Company will continue to provide certain regulatory, quality, logistical and operational support services to GVS for a maximum period of 36 months following the transaction closing to facilitate GVS's integration of the acquired business. Under the TSA, the Company is entitled to be reimbursed for the costs incurred plus a mark-up and has recorded other income and expenses, net related to the agreement in SG&amp;A in the condensed consolidated statements of income, which were immaterial for the three and nine months ended December 27,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TSA, Haemonetics and GVS entered into a Contract Manufacturing Agreement (“CMA”), under which Haemonetics will continue to manufacture certain whole blood filtration products for GVS for a maximum term of 18 months. The CMA allows GVS to gradually transition manufacturing operations while ensuring supply continuity for customers. Under the CMA, the Company is entitled to be reimbursed for the costs incurred plus a mark-up and has recorded other income and expenses, net related to the agreement in SG&amp;A in the condensed consolidated statements of income, which were immaterial for the three and nine months ended December 27,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Company’s business development activities, it holds strategic investments in certain entities. The Company has made total strategic investments and loans totaling $97.2 million as of December 27, 2025 and $61.6 million as of March 29, 2025, including $78.3 million and $48.7 million in strategic investments and loans to Vivasure, as of December 27, 2025 and March 29, 2025, respectively. On January 9, 2026, subsequent to the end of the third quarter of fiscal 2026, the Company completed the acquisition of Vivasure. The Company’s strategic investments are classified as other long-term assets on the Company’s condensed consolidated balance sheets, and the Company has not recorded any material adjustments to the carrying value of the Company’s strategic investments during the three and nine months ended December 27, 2025 and December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4. REVENUE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 Company had $36.6 million of transaction price allocated to remaining performance obligations related to executed contracts with an original duration of one year or more. The Company expects to recognize approximately 79% of this amount as revenue within the next twelve months and the remaining balance thereafter.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and March 29, 2025, the Company had contract liabilities of $44.6 million and $43.3 million, respectively. During the three and nine months ended December 27, 2025, the Company recognized $6.0 million and $30.9 million of revenue, respectively, that was included in the above March 29, 2025 contract liability balance. Contract liabilities are classified as other current liabilities on the condensed consolidated balance sheets. As of December 27, 2025 and March 29, 2025, the Company’s contract assets were $5.7 million and $11.6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5. RESTRUCTURING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Operational Excellence Program</w:t>
      </w:r>
    </w:p>
    <w:p>
      <w:pPr>
        <w:pStyle w:val="TextBody"/>
        <w:bidi w:val="0"/>
        <w:spacing w:lineRule="auto" w:line="288" w:before="0" w:after="180"/>
        <w:jc w:val="both"/>
        <w:rPr/>
      </w:pPr>
      <w:r>
        <w:rPr>
          <w:rFonts w:ascii="Times New Roman;serif" w:hAnsi="Times New Roman;serif"/>
          <w:b w:val="false"/>
          <w:color w:val="000000"/>
          <w:sz w:val="20"/>
        </w:rPr>
        <w:t xml:space="preserve">In July 2019, the Board of Directors of the Company (the “Board”) approved the Operational Excellence Program (the “2020 Program”) and delegated authority to the Company’s management to determine the details of the initiatives that will comprise the 2020 Program. During fiscal 2022, the Company revised the 2020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2020 Program is closed as of March 29, 2025. </w:t>
      </w:r>
      <w:r>
        <w:rPr>
          <w:rFonts w:ascii="Times New Roman;serif" w:hAnsi="Times New Roman;serif"/>
          <w:b w:val="false"/>
          <w:color w:val="000000"/>
          <w:sz w:val="20"/>
          <w:shd w:fill="FFFFFF" w:val="clear"/>
        </w:rPr>
        <w:t>Total cumulative charges under the 2020 Progra</w:t>
      </w:r>
      <w:r>
        <w:rPr>
          <w:rFonts w:ascii="Times New Roman;serif" w:hAnsi="Times New Roman;serif"/>
          <w:b w:val="false"/>
          <w:color w:val="000000"/>
          <w:sz w:val="20"/>
        </w:rPr>
        <w:t>m are $84.8 million through March 29, 2025.</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Portfolio Rationalization Initiatives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w:t>
      </w:r>
      <w:r>
        <w:rPr>
          <w:rFonts w:ascii="Times New Roman;serif" w:hAnsi="Times New Roman;serif"/>
          <w:b w:val="false"/>
          <w:color w:val="000000"/>
          <w:sz w:val="20"/>
        </w:rPr>
        <w:t>facilities. These portfolio rationalization initiatives are closed as of March 29, 2025. Under these initiatives, during the three and nine months ended December 27, 2025, the Company recognized reversals of previously incurred costs of de minimis and $1.9 million, respectively, as compared with restructuring and restructuring related costs incurred of $3.1 million and $12.5 million, respectively, during the three and nine months ended December 28, 2024. Total cumulative charges under the portfolio rationalization initiatives are $25.1 million through December 27,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Board approved a new market and regional alignment initiative and delegated authority to the Company’s management to determine the details of the specific actions that will comprise the initiative. This strategic initiative is designed to improve operational performance and reduce costs by directing the Company’s resources toward the markets and geographies that offer the greatest growth and portfolio advancement opportunities. The amounts and timing of estimated costs and savings are subject to change until finalized. The actual amounts and timing may vary materially based on various factors. Initial actions related to this initiative were approved by the Board in January 2025, resulting in restructuring related costs during the fourth quarter of fiscal 2025. Under this initiative, during the three and nine months ended December 27, 2025, the Company incurred restructuring and restructuring related costs of $1.5 million and $4.9 million, respectively, under this initiative. Total cumulative charges under the market and regional alignment initiative are $5.5 million as of December 27, 2025.</w:t>
      </w:r>
    </w:p>
    <w:p>
      <w:pPr>
        <w:pStyle w:val="TextBody"/>
        <w:bidi w:val="0"/>
        <w:spacing w:lineRule="auto" w:line="288" w:before="0" w:after="180"/>
        <w:jc w:val="both"/>
        <w:rPr/>
      </w:pPr>
      <w:r>
        <w:rPr>
          <w:rFonts w:ascii="Times New Roman;serif" w:hAnsi="Times New Roman;serif"/>
          <w:b w:val="false"/>
          <w:color w:val="000000"/>
          <w:sz w:val="20"/>
          <w:shd w:fill="FFFFFF" w:val="clear"/>
        </w:rPr>
        <w:t>The following table summarizes the activ</w:t>
      </w:r>
      <w:r>
        <w:rPr>
          <w:rFonts w:ascii="Times New Roman;serif" w:hAnsi="Times New Roman;serif"/>
          <w:b w:val="false"/>
          <w:color w:val="000000"/>
          <w:sz w:val="20"/>
        </w:rPr>
        <w:t>ity for restructuring reserves related to the 2020 Pr</w:t>
      </w:r>
      <w:r>
        <w:rPr>
          <w:rFonts w:ascii="Times New Roman;serif" w:hAnsi="Times New Roman;serif"/>
          <w:b w:val="false"/>
          <w:color w:val="000000"/>
          <w:sz w:val="20"/>
          <w:shd w:fill="FFFFFF" w:val="clear"/>
        </w:rPr>
        <w:t xml:space="preserve">ogram, the </w:t>
      </w:r>
      <w:r>
        <w:rPr>
          <w:rFonts w:ascii="Times New Roman;serif" w:hAnsi="Times New Roman;serif"/>
          <w:b w:val="false"/>
          <w:color w:val="000000"/>
          <w:sz w:val="20"/>
        </w:rPr>
        <w:t>portfolio rationalization initiatives</w:t>
      </w:r>
      <w:r>
        <w:rPr>
          <w:color w:val="000000"/>
          <w:shd w:fill="FFFFFF" w:val="clear"/>
        </w:rPr>
        <w:t xml:space="preserve"> </w:t>
      </w:r>
      <w:r>
        <w:rPr>
          <w:rFonts w:ascii="Times New Roman;serif" w:hAnsi="Times New Roman;serif"/>
          <w:b w:val="false"/>
          <w:color w:val="000000"/>
          <w:sz w:val="20"/>
          <w:shd w:fill="FFFFFF" w:val="clear"/>
        </w:rPr>
        <w:t>and the market and regional alignment initiative for the nine months ended December 27, 2025, substantially all of which relates to employee severance, other employee costs, inventory reserves and lease termination fees:</w:t>
      </w:r>
    </w:p>
    <w:tbl>
      <w:tblPr>
        <w:tblW w:w="10205" w:type="dxa"/>
        <w:jc w:val="left"/>
        <w:tblInd w:w="0" w:type="dxa"/>
        <w:tblLayout w:type="fixed"/>
        <w:tblCellMar>
          <w:top w:w="28" w:type="dxa"/>
          <w:left w:w="28" w:type="dxa"/>
          <w:bottom w:w="28" w:type="dxa"/>
          <w:right w:w="28" w:type="dxa"/>
        </w:tblCellMar>
      </w:tblPr>
      <w:tblGrid>
        <w:gridCol w:w="1008"/>
        <w:gridCol w:w="879"/>
        <w:gridCol w:w="885"/>
        <w:gridCol w:w="310"/>
        <w:gridCol w:w="687"/>
        <w:gridCol w:w="160"/>
        <w:gridCol w:w="109"/>
        <w:gridCol w:w="109"/>
        <w:gridCol w:w="109"/>
        <w:gridCol w:w="430"/>
        <w:gridCol w:w="1259"/>
        <w:gridCol w:w="223"/>
        <w:gridCol w:w="109"/>
        <w:gridCol w:w="109"/>
        <w:gridCol w:w="109"/>
        <w:gridCol w:w="641"/>
        <w:gridCol w:w="1420"/>
        <w:gridCol w:w="335"/>
        <w:gridCol w:w="109"/>
        <w:gridCol w:w="109"/>
        <w:gridCol w:w="109"/>
        <w:gridCol w:w="211"/>
        <w:gridCol w:w="616"/>
        <w:gridCol w:w="160"/>
      </w:tblGrid>
      <w:tr>
        <w:trPr/>
        <w:tc>
          <w:tcPr>
            <w:tcW w:w="10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 Rationalization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and Regional Alignment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net of reversals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2025</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net restructuring costs by line item within the Company’s accompanying unaudited condensed consolidated statements of income:</w:t>
      </w:r>
    </w:p>
    <w:tbl>
      <w:tblPr>
        <w:tblW w:w="10205" w:type="dxa"/>
        <w:jc w:val="left"/>
        <w:tblInd w:w="0" w:type="dxa"/>
        <w:tblLayout w:type="fixed"/>
        <w:tblCellMar>
          <w:top w:w="28" w:type="dxa"/>
          <w:left w:w="28" w:type="dxa"/>
          <w:bottom w:w="28" w:type="dxa"/>
          <w:right w:w="28" w:type="dxa"/>
        </w:tblCellMar>
      </w:tblPr>
      <w:tblGrid>
        <w:gridCol w:w="1273"/>
        <w:gridCol w:w="1092"/>
        <w:gridCol w:w="1075"/>
        <w:gridCol w:w="322"/>
        <w:gridCol w:w="942"/>
        <w:gridCol w:w="166"/>
        <w:gridCol w:w="109"/>
        <w:gridCol w:w="109"/>
        <w:gridCol w:w="109"/>
        <w:gridCol w:w="322"/>
        <w:gridCol w:w="942"/>
        <w:gridCol w:w="166"/>
        <w:gridCol w:w="109"/>
        <w:gridCol w:w="109"/>
        <w:gridCol w:w="109"/>
        <w:gridCol w:w="322"/>
        <w:gridCol w:w="942"/>
        <w:gridCol w:w="166"/>
        <w:gridCol w:w="109"/>
        <w:gridCol w:w="109"/>
        <w:gridCol w:w="109"/>
        <w:gridCol w:w="289"/>
        <w:gridCol w:w="989"/>
        <w:gridCol w:w="216"/>
      </w:tblGrid>
      <w:tr>
        <w:trPr/>
        <w:tc>
          <w:tcPr>
            <w:tcW w:w="1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 Company had a restructuring liability of $1.7 million, all of which is payable within the next twelve months.</w:t>
      </w:r>
    </w:p>
    <w:p>
      <w:pPr>
        <w:pStyle w:val="TextBody"/>
        <w:bidi w:val="0"/>
        <w:spacing w:lineRule="auto" w:line="288" w:before="0" w:after="180"/>
        <w:jc w:val="both"/>
        <w:rPr/>
      </w:pPr>
      <w:r>
        <w:rPr>
          <w:rFonts w:ascii="Times New Roman;serif" w:hAnsi="Times New Roman;serif"/>
          <w:b w:val="false"/>
          <w:color w:val="000000"/>
          <w:sz w:val="20"/>
        </w:rPr>
        <w:t xml:space="preserve">In addition to the restructuring expenses included in the table above, the Company also incurred costs that do not constitute restructuring costs under FASB ASC Topic 420, </w:t>
      </w:r>
      <w:r>
        <w:rPr>
          <w:rFonts w:ascii="Times New Roman;serif" w:hAnsi="Times New Roman;serif"/>
          <w:b w:val="false"/>
          <w:i/>
          <w:color w:val="000000"/>
          <w:sz w:val="20"/>
        </w:rPr>
        <w:t>Exit and Disposal Cost Obligations,</w:t>
      </w:r>
      <w:r>
        <w:rPr>
          <w:color w:val="000000"/>
        </w:rPr>
        <w:t xml:space="preserve"> </w:t>
      </w:r>
      <w:r>
        <w:rPr>
          <w:rFonts w:ascii="Times New Roman;serif" w:hAnsi="Times New Roman;serif"/>
          <w:b w:val="false"/>
          <w:color w:val="000000"/>
          <w:sz w:val="20"/>
        </w:rPr>
        <w:t>and which the Company instead refers to as restructuring related costs. These costs consist primarily of expenditures directly related to the restructuring 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restructuring and restructuring related costs by reportable segment:</w:t>
      </w:r>
    </w:p>
    <w:tbl>
      <w:tblPr>
        <w:tblW w:w="10205" w:type="dxa"/>
        <w:jc w:val="left"/>
        <w:tblInd w:w="0" w:type="dxa"/>
        <w:tblLayout w:type="fixed"/>
        <w:tblCellMar>
          <w:top w:w="28" w:type="dxa"/>
          <w:left w:w="28" w:type="dxa"/>
          <w:bottom w:w="28" w:type="dxa"/>
          <w:right w:w="28" w:type="dxa"/>
        </w:tblCellMar>
      </w:tblPr>
      <w:tblGrid>
        <w:gridCol w:w="1299"/>
        <w:gridCol w:w="1140"/>
        <w:gridCol w:w="1143"/>
        <w:gridCol w:w="314"/>
        <w:gridCol w:w="917"/>
        <w:gridCol w:w="161"/>
        <w:gridCol w:w="109"/>
        <w:gridCol w:w="109"/>
        <w:gridCol w:w="109"/>
        <w:gridCol w:w="314"/>
        <w:gridCol w:w="917"/>
        <w:gridCol w:w="161"/>
        <w:gridCol w:w="109"/>
        <w:gridCol w:w="109"/>
        <w:gridCol w:w="109"/>
        <w:gridCol w:w="314"/>
        <w:gridCol w:w="917"/>
        <w:gridCol w:w="161"/>
        <w:gridCol w:w="109"/>
        <w:gridCol w:w="109"/>
        <w:gridCol w:w="109"/>
        <w:gridCol w:w="283"/>
        <w:gridCol w:w="969"/>
        <w:gridCol w:w="21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costs</w:t>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related costs</w:t>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restructuring related costs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6.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is favorably impacted by the jurisdictional mix of earnings and research credits generated.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December 27, 2025, the Company reported income tax expense of $15.2 million and $39.0 million, respectively, representing effective tax rates of 25.4% and 24.9%, respectively. The effective tax rate for the nine months ended December 27, 2025 includes $0.5 million of discrete tax expense, primarily related to stock compensation shortfalls.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December 28, 2024, the Company reported income tax expense of $12.4 million and $31.6 million, respectively, representing effective tax rates of 24.9% and 22.4%, respectively. The effective tax rate for the three months ended December 28, 2024 includes an immaterial discrete tax benefit. The effective tax rate for the nine months ended December 28, 2024 includes $3.3 million of discrete tax benefit, primarily related to stock compensation windfalls. The discrete benefit also includes other items such as provision to return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reported tax rate for the three months ended December 27, 2025, compared to the same period in fiscal 2025, was relatively consistent. The increase in the reported tax rate for the nine months ended December 27, 2025, compared to the same period in fiscal 2025, relates primarily to the decrease in net stock compensation windfall benefits.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in the U.S. on July 4, 2025. The OBBBA legislation provides for the permanent extension of certain expiring provisions of the Tax Cuts and Jobs Act of 2017, revisions to the international tax framework and the reinstatement of favorable tax treatment for certain business provisions. The legislation has multiple effective dates, with certain provisions effective in 2025 and others implemented in future periods. The Company has accounted for the impact of the OBBBA on the Company’s consolidated financial statements, and has determined that it has no material impact on the reported tax rate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7.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numerators and denominators of the basic and diluted earnings per share computations:</w:t>
      </w:r>
    </w:p>
    <w:tbl>
      <w:tblPr>
        <w:tblW w:w="10205" w:type="dxa"/>
        <w:jc w:val="left"/>
        <w:tblInd w:w="0" w:type="dxa"/>
        <w:tblLayout w:type="fixed"/>
        <w:tblCellMar>
          <w:top w:w="28" w:type="dxa"/>
          <w:left w:w="28" w:type="dxa"/>
          <w:bottom w:w="28" w:type="dxa"/>
          <w:right w:w="28" w:type="dxa"/>
        </w:tblCellMar>
      </w:tblPr>
      <w:tblGrid>
        <w:gridCol w:w="1291"/>
        <w:gridCol w:w="1116"/>
        <w:gridCol w:w="1129"/>
        <w:gridCol w:w="283"/>
        <w:gridCol w:w="969"/>
        <w:gridCol w:w="146"/>
        <w:gridCol w:w="109"/>
        <w:gridCol w:w="109"/>
        <w:gridCol w:w="109"/>
        <w:gridCol w:w="283"/>
        <w:gridCol w:w="969"/>
        <w:gridCol w:w="146"/>
        <w:gridCol w:w="109"/>
        <w:gridCol w:w="109"/>
        <w:gridCol w:w="109"/>
        <w:gridCol w:w="261"/>
        <w:gridCol w:w="1024"/>
        <w:gridCol w:w="134"/>
        <w:gridCol w:w="109"/>
        <w:gridCol w:w="109"/>
        <w:gridCol w:w="109"/>
        <w:gridCol w:w="259"/>
        <w:gridCol w:w="1017"/>
        <w:gridCol w:w="197"/>
      </w:tblGrid>
      <w:tr>
        <w:trPr/>
        <w:tc>
          <w:tcPr>
            <w:tcW w:w="129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Shares in Thousands, Except Per Share Data)</w:t>
            </w:r>
          </w:p>
        </w:tc>
      </w:tr>
      <w:tr>
        <w:trPr/>
        <w:tc>
          <w:tcPr>
            <w:tcW w:w="3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net effect of common stock equivalents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the calculation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Basic earnings per share is calculated using the Company’s weighted 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 and consequently no shares have been included in diluted earnings per share for the co</w:t>
      </w:r>
      <w:r>
        <w:rPr>
          <w:rFonts w:ascii="Times New Roman;serif" w:hAnsi="Times New Roman;serif"/>
          <w:b w:val="false"/>
          <w:color w:val="000000"/>
          <w:sz w:val="20"/>
          <w:shd w:fill="FFFFFF" w:val="clear"/>
        </w:rPr>
        <w:t>nversion values of both the convertible senior notes.</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2022 Share Repurchase Program</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August 2022, the Board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w:t>
      </w:r>
    </w:p>
    <w:p>
      <w:pPr>
        <w:pStyle w:val="TextBody"/>
        <w:bidi w:val="0"/>
        <w:spacing w:lineRule="auto" w:line="288" w:before="0" w:after="180"/>
        <w:jc w:val="both"/>
        <w:rPr/>
      </w:pPr>
      <w:r>
        <w:rPr>
          <w:rFonts w:ascii="Times New Roman;serif" w:hAnsi="Times New Roman;serif"/>
          <w:b w:val="false"/>
          <w:color w:val="000000"/>
          <w:sz w:val="20"/>
        </w:rPr>
        <w:t xml:space="preserve">In April 2025, the Company completed a $150.0 million repurchase of its common stock pursuant to an accelerated share repurchase agreement (“ASR”) entered into with Goldman Sachs &amp; Co. in February 2025. </w:t>
      </w:r>
      <w:r>
        <w:rPr>
          <w:rFonts w:ascii="Times New Roman;serif" w:hAnsi="Times New Roman;serif"/>
          <w:b w:val="false"/>
          <w:color w:val="000000"/>
          <w:sz w:val="20"/>
          <w:shd w:fill="FFFFFF" w:val="clear"/>
        </w:rPr>
        <w:t>The total number of shares repurchased under the ASR was 2,386,131 at an average price per share upon final settlement of $62.86. As of March 29, 2025, the Company had fully funded the $300.0 million authorization under the 2022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Share Repurchase Program</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2025, the Board approved a new three-year share repurchase program authorizing the repurchase of up to $500.0 million of Haemonetics common stock, based on market conditions, through April 2028. This new share repurchase program will help to offset the dilutive impact of recent and future employee equity grants.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completed a $75.0 million repurchase of its common stock pursuant to an ASR entered into with Citibank N.A. (“Citibank”) in August 2025. The total number of shares repurchased under the ASR was 1,430,579 at an average price per share upon final settlement of $52.43. As of December 27, 2025, the total remaining authorization for repurchases of the Company's common stock under the 2025 share repurchase program was $425.0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the Company repurchased 360,457 shares of its common stock for $25.0 million under a previously executed Rule 10b5-1 trading plan. The total remaining authorization for repurchases of the Company’s common stock under the 2025 share repurchase program is $400.0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8.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and include the cost of material, labor and manufacturing overhead. Cost is determined with the first-in, first-out method.</w:t>
      </w:r>
    </w:p>
    <w:tbl>
      <w:tblPr>
        <w:tblW w:w="4586" w:type="dxa"/>
        <w:jc w:val="left"/>
        <w:tblInd w:w="0" w:type="dxa"/>
        <w:tblLayout w:type="fixed"/>
        <w:tblCellMar>
          <w:top w:w="28" w:type="dxa"/>
          <w:left w:w="28" w:type="dxa"/>
          <w:bottom w:w="28" w:type="dxa"/>
          <w:right w:w="28" w:type="dxa"/>
        </w:tblCellMar>
      </w:tblPr>
      <w:tblGrid>
        <w:gridCol w:w="527"/>
        <w:gridCol w:w="462"/>
        <w:gridCol w:w="467"/>
        <w:gridCol w:w="276"/>
        <w:gridCol w:w="1081"/>
        <w:gridCol w:w="142"/>
        <w:gridCol w:w="109"/>
        <w:gridCol w:w="109"/>
        <w:gridCol w:w="109"/>
        <w:gridCol w:w="231"/>
        <w:gridCol w:w="905"/>
        <w:gridCol w:w="16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321,185 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9. PROPERTY, PLANT AND EQUIPMENT</w:t>
      </w:r>
    </w:p>
    <w:tbl>
      <w:tblPr>
        <w:tblW w:w="6984" w:type="dxa"/>
        <w:jc w:val="left"/>
        <w:tblInd w:w="0" w:type="dxa"/>
        <w:tblLayout w:type="fixed"/>
        <w:tblCellMar>
          <w:top w:w="28" w:type="dxa"/>
          <w:left w:w="28" w:type="dxa"/>
          <w:bottom w:w="28" w:type="dxa"/>
          <w:right w:w="28" w:type="dxa"/>
        </w:tblCellMar>
      </w:tblPr>
      <w:tblGrid>
        <w:gridCol w:w="1395"/>
        <w:gridCol w:w="1224"/>
        <w:gridCol w:w="1235"/>
        <w:gridCol w:w="276"/>
        <w:gridCol w:w="1081"/>
        <w:gridCol w:w="142"/>
        <w:gridCol w:w="109"/>
        <w:gridCol w:w="109"/>
        <w:gridCol w:w="109"/>
        <w:gridCol w:w="231"/>
        <w:gridCol w:w="905"/>
        <w:gridCol w:w="168"/>
      </w:tblGrid>
      <w:tr>
        <w:trPr/>
        <w:tc>
          <w:tcPr>
            <w:tcW w:w="13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equipment and machinery</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information technology</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Haemonetics equipment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836,814 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December 27, 2025, depreciation expense was $14.9 million and $45.9 million, respectively. During the three and nine months ended December 28, 2024, depreciation expense was $15.2 million and $44.8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Lessor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estimated stand-alone selling prices. Operating lease revenue represents approximately three percent of the Company’s total net revenues during both the three and nine months ended December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11. GOODWILL AND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operating segment for fiscal 2026 are as follows:</w:t>
      </w:r>
    </w:p>
    <w:tbl>
      <w:tblPr>
        <w:tblW w:w="8964" w:type="dxa"/>
        <w:jc w:val="left"/>
        <w:tblInd w:w="0" w:type="dxa"/>
        <w:tblLayout w:type="fixed"/>
        <w:tblCellMar>
          <w:top w:w="28" w:type="dxa"/>
          <w:left w:w="28" w:type="dxa"/>
          <w:bottom w:w="28" w:type="dxa"/>
          <w:right w:w="28" w:type="dxa"/>
        </w:tblCellMar>
      </w:tblPr>
      <w:tblGrid>
        <w:gridCol w:w="1280"/>
        <w:gridCol w:w="1127"/>
        <w:gridCol w:w="1133"/>
        <w:gridCol w:w="211"/>
        <w:gridCol w:w="721"/>
        <w:gridCol w:w="109"/>
        <w:gridCol w:w="109"/>
        <w:gridCol w:w="109"/>
        <w:gridCol w:w="109"/>
        <w:gridCol w:w="216"/>
        <w:gridCol w:w="738"/>
        <w:gridCol w:w="111"/>
        <w:gridCol w:w="109"/>
        <w:gridCol w:w="109"/>
        <w:gridCol w:w="109"/>
        <w:gridCol w:w="211"/>
        <w:gridCol w:w="826"/>
        <w:gridCol w:w="109"/>
        <w:gridCol w:w="109"/>
        <w:gridCol w:w="109"/>
        <w:gridCol w:w="109"/>
        <w:gridCol w:w="211"/>
        <w:gridCol w:w="82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Hospital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amount as of March 29,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amount as of December 27,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gross carrying amount of intangible assets and the related accumulated amortization as of December 27, 2025 and March 29, 2025 are as follows:</w:t>
      </w:r>
    </w:p>
    <w:tbl>
      <w:tblPr>
        <w:tblW w:w="10205" w:type="dxa"/>
        <w:jc w:val="left"/>
        <w:tblInd w:w="0" w:type="dxa"/>
        <w:tblLayout w:type="fixed"/>
        <w:tblCellMar>
          <w:top w:w="28" w:type="dxa"/>
          <w:left w:w="28" w:type="dxa"/>
          <w:bottom w:w="28" w:type="dxa"/>
          <w:right w:w="28" w:type="dxa"/>
        </w:tblCellMar>
      </w:tblPr>
      <w:tblGrid>
        <w:gridCol w:w="1132"/>
        <w:gridCol w:w="904"/>
        <w:gridCol w:w="910"/>
        <w:gridCol w:w="222"/>
        <w:gridCol w:w="872"/>
        <w:gridCol w:w="114"/>
        <w:gridCol w:w="109"/>
        <w:gridCol w:w="109"/>
        <w:gridCol w:w="109"/>
        <w:gridCol w:w="211"/>
        <w:gridCol w:w="826"/>
        <w:gridCol w:w="109"/>
        <w:gridCol w:w="109"/>
        <w:gridCol w:w="109"/>
        <w:gridCol w:w="109"/>
        <w:gridCol w:w="277"/>
        <w:gridCol w:w="1087"/>
        <w:gridCol w:w="143"/>
        <w:gridCol w:w="109"/>
        <w:gridCol w:w="109"/>
        <w:gridCol w:w="109"/>
        <w:gridCol w:w="704"/>
        <w:gridCol w:w="704"/>
        <w:gridCol w:w="1009"/>
      </w:tblGrid>
      <w:tr>
        <w:trPr/>
        <w:tc>
          <w:tcPr>
            <w:tcW w:w="11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Life (Years)</w:t>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27, 2025</w:t>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89"/>
        <w:gridCol w:w="881"/>
        <w:gridCol w:w="876"/>
        <w:gridCol w:w="222"/>
        <w:gridCol w:w="872"/>
        <w:gridCol w:w="114"/>
        <w:gridCol w:w="109"/>
        <w:gridCol w:w="109"/>
        <w:gridCol w:w="109"/>
        <w:gridCol w:w="211"/>
        <w:gridCol w:w="826"/>
        <w:gridCol w:w="109"/>
        <w:gridCol w:w="109"/>
        <w:gridCol w:w="109"/>
        <w:gridCol w:w="109"/>
        <w:gridCol w:w="277"/>
        <w:gridCol w:w="1087"/>
        <w:gridCol w:w="143"/>
        <w:gridCol w:w="109"/>
        <w:gridCol w:w="109"/>
        <w:gridCol w:w="109"/>
        <w:gridCol w:w="704"/>
        <w:gridCol w:w="704"/>
        <w:gridCol w:w="1009"/>
      </w:tblGrid>
      <w:tr>
        <w:trPr/>
        <w:tc>
          <w:tcPr>
            <w:tcW w:w="11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Life (Years)</w:t>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29, 2025</w:t>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446,553 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4"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recorded an intangible asset impairment charge of $9.3 million related to the intellectual property associated with the HAS viscoelastic diagnostic devices, related assays and disposables within the Hospital business unit, as acquired from HemoAssay Science and Technology (Suzhou) Co. Ltd., a China-incorporated company, and its affiliates (collectively, “HemoAssay”) in fiscal 2021. The impairment charge was the result of lower revenue projections of the HemoAssay devices and disposables. The fair value as December 27, 2025 was $0.9 million with a useful life of five years. The Company calculated the fair value of the HemoAssay intangible assets as the present value of estimated future cash flows the Company expects to generate from the assets based on estimates and assumptions about future revenues, costs and the remaining useful lives of the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Company performed an impairment analysis for certain other amortizable intangible assets based on undiscounted cash flows and concluded those assets were not impaired. The Company will continue to review intangible assets subject to amortization for impairment indicators in future periods in accordance with its normal review processes.</w:t>
      </w:r>
    </w:p>
    <w:p>
      <w:pPr>
        <w:pStyle w:val="TextBody"/>
        <w:bidi w:val="0"/>
        <w:spacing w:lineRule="auto" w:line="288" w:before="0" w:after="180"/>
        <w:jc w:val="both"/>
        <w:rPr/>
      </w:pPr>
      <w:r>
        <w:rPr>
          <w:rFonts w:ascii="Times New Roman;serif" w:hAnsi="Times New Roman;serif"/>
          <w:b w:val="false"/>
          <w:color w:val="000000"/>
          <w:sz w:val="20"/>
        </w:rPr>
        <w:t>Intangible assets include the value assigned to license rights and other developed technology, patents, customer contracts and relationship</w:t>
      </w:r>
      <w:r>
        <w:rPr>
          <w:rFonts w:ascii="Times New Roman;serif" w:hAnsi="Times New Roman;serif"/>
          <w:b w:val="false"/>
          <w:color w:val="000000"/>
          <w:sz w:val="20"/>
          <w:shd w:fill="FFFFFF" w:val="clear"/>
        </w:rPr>
        <w:t>s and trade names.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December 27, 2025, amortization expense was $12.4 million and $38.5 million, respectively. During the three and nine months ended December 28, 2024, amortization expense was $13.9 million and $42.6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annual amortization expense on intangible assets for the next five years is estimated to be as follows:</w:t>
      </w:r>
    </w:p>
    <w:tbl>
      <w:tblPr>
        <w:tblW w:w="4317"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345"/>
        <w:gridCol w:w="1185"/>
        <w:gridCol w:w="25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12. NOTES PAYABLE AND LONG-TERM DEBT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Notes payable and long-term debt consisted of the following:</w:t>
      </w:r>
    </w:p>
    <w:tbl>
      <w:tblPr>
        <w:tblW w:w="6444" w:type="dxa"/>
        <w:jc w:val="left"/>
        <w:tblInd w:w="0" w:type="dxa"/>
        <w:tblLayout w:type="fixed"/>
        <w:tblCellMar>
          <w:top w:w="28" w:type="dxa"/>
          <w:left w:w="28" w:type="dxa"/>
          <w:bottom w:w="28" w:type="dxa"/>
          <w:right w:w="28" w:type="dxa"/>
        </w:tblCellMar>
      </w:tblPr>
      <w:tblGrid>
        <w:gridCol w:w="1201"/>
        <w:gridCol w:w="1055"/>
        <w:gridCol w:w="1058"/>
        <w:gridCol w:w="276"/>
        <w:gridCol w:w="1081"/>
        <w:gridCol w:w="142"/>
        <w:gridCol w:w="109"/>
        <w:gridCol w:w="109"/>
        <w:gridCol w:w="109"/>
        <w:gridCol w:w="231"/>
        <w:gridCol w:w="905"/>
        <w:gridCol w:w="168"/>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financing fees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of financing fees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(304,746)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919,987 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921,230 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2026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5, 2021, the Company issued $500.0 million aggregate principal amount of 0.0% convertible senior notes due 2026 (the “2026 Notes”). The 2026 Notes are governed by the terms of the Indenture between the Company and U.S. Bank Trust Company, National Association, as trustee. The 2026 Notes will mature on March 1, 2026, at which time the Company expects to settle the remaining principal that has not been already converted, redeemed or repurchased through a combination of cash on hand and borrowings under its revolving credit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at their option at any time prior to the close of business on the business day immediately preceding September 1, 2025 only under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Upon the occurrence of specified corporate events, as set forth in the indenture governing the 2026 Notes;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related redemption date if the Company calls the 2026 Notes for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or after September 1, 2025, until the close of business on the second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 As of December 27, 2025, there have been no conversions of the 2026 Notes, which are classified as short-term debt on the Company’s condensed consolidated balance sheets.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2026 Notes will be redeemable, in whole or in part, at the Company’s option at any time, and from time to time, on or after March 5, 2024 and on or before the 40th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2026 Notes to be redeemed, plus accrued and unpaid interest to, but excluding the redemption date. Upon the occurrence of certain fundamental changes involving the Company, holders of the 2026 Notes may require the Company to repurchase for cash all or part of their 2026 Notes at a repurchase price equal to 100% of the principal amount of the 2026 Notes to be repurchased, plus accrued and unpaid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 $300.0 million principal balance was netted down by $0.3 million of remaining debt issuance costs, resulting in a net convertible note payable of $299.7 million. Interest expense related to the 2026 Notes was $0.4 million and $1.2 million, respectively, for the three and nine months ended December 27, 2025, which is entirely attributable to the amortization of the debt issuance costs. The remaining debt issuance costs are amortized at an effective interest rate of 0.5%.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2029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28, 2024, the Company issued $700.0 million aggregate principal amount of 2.5% convertible senior notes due 2029 (the “2029 Notes”). The 2029 Notes are governed by the terms of the Indenture between the Company and U.S. Bank Trust Company,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at their option at any time prior to the close of business on the business day immediately preceding December 1, 2028 only under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Upon the occurrence of specified corporate events, as set forth in the indenture governing the 2029 Notes;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related redemption date if the Company calls the 2029 Notes for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2026, the conditions allowing holders of the 2029 Notes to convert have not been met. The 2029 Notes were therefore not convertible as of December 27, 2025 and were classified as long-term debt on the Company’s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issuance of the 2029 Notes, the Company recorded debt issuance costs of $17.2 million, which are amortized to interest expense over the contractual term of the 2029 Notes at an effective interest rate of 3.0%.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 $700.0 million principal balance was netted down by $12.1 million of remaining debt issuance costs, resulting in a net convertible note payable of $687.9 million. Interest expense related to the 2029 Notes was $5.2 million and $15.6 million, respectively, for the three and nine months ended December 27, 2025, which includes nominal interest expense and the amortization of the debt issuance costs. The nominal interest rate is 2.5% and the remaining debt issuance costs are amortized at an effective interest rate of 3.0%.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2026 Notes and the 2029 Notes, the Company entered into capped call transactions with certain counterparties (“Capped Calls”). The 2026 Notes Capped Calls each have an initial strike price of approximately $175.34 per share, and the 2029 Notes Capped Calls each have an initial strike price of approximately $117.12 per share, both subject to certain adjustments, which correspond to the initial conversion price of the convertible notes. The 2026 Notes Capped Calls have initial cap prices of $250.48, and the 2029 Notes Capped Calls have initial cap prices of $180.18 per share, both subject to certain adjustments. The Capped Calls are expected to partially offset the potential dilution to the Company’s common stock upon any conversion of the 2026 Notes and 2029 Notes, with such offset subject to a cap based on the cap price. The 2026 Notes Capped Calls cover approximately 2,851,668 shares of the Company’s common stock, and the 2029 Notes Capped Calls cover approximately 5,976,929 shares of the Company’s common stock, both subject to anti-dilution adjustments. For accounting purposes, the Capped Calls are separate transactions, and not part of the 2026 Notes and 2029 Notes. As these transactions meet certain accounting criteria, the Capped Calls are recorded in stockholders’ equity and are not accounted for as derivatives. The cost of $88.2 million incurred to purchase the 2029 Notes Capped Calls was recorded as a reduction to additional paid-in capital in fiscal 2025 and will not be remeasured.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26, 2022, the Company entered into an amended and restated credit agreement to refinance its credit facilities initially entered into in 2018 and extended their maturity dates through June 2025. The amended and restated credit agreement provided for a $700.0 million facility (the “2022 Revised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2024, the Company entered into a second amended and restated credit agreement with certain lenders to refinance the 2022 Revised Credit Facility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Facility,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2024 Revised Credit Facilities, the Company is required to maintain a consolidated leverage ratio not to exceed 4.0:1.0 or, upon two occasions during the term of the facility, 4.5:1.0 for the four consecutive fiscal quarters ended immediately following acquisitions meeting certain criteria specified in the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applied modification accounting for the credit facility refinancing, which resulted in the capitalization of an additional $5.9 million in lender fees and third-party costs. During the three and nine months ended December 27, 2025, the Company recognized $4.1 million and $12.6 million, respectively, of interest expense and amortization of debt issuance costs related to its credit facilities. During the three and nine months ended December 28, 2024, the Company recognized $4.6 million and $16.6 million, respectively, of interest expense and amortization of debt issuance costs related to its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$240.6 million was outstanding under the term loan with an effective interest rate of 5.8%, which was netted down by the $4.3 million of remaining debt discount, resulting in a net note payable of $236.3 million. The Company has scheduled principal payments of $6.3 million required during the 12 months following December 27, 2025. There were no outstanding borrowings under the revolving credit facilities as of December 27, 2025. The Company also had $18.2 million of uncommitted operating lines of credit to fund its global operations under which there were no outstanding borrowings as of December 27,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consolidated net leverage and interest coverage ratios specified in the 2024 Revised Credit Facilities as well as all other bank covenants as of December 27,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aggregate amount of debt maturities are as follows: </w:t>
      </w:r>
    </w:p>
    <w:tbl>
      <w:tblPr>
        <w:tblW w:w="3990" w:type="dxa"/>
        <w:jc w:val="left"/>
        <w:tblInd w:w="0" w:type="dxa"/>
        <w:tblLayout w:type="fixed"/>
        <w:tblCellMar>
          <w:top w:w="28" w:type="dxa"/>
          <w:left w:w="28" w:type="dxa"/>
          <w:bottom w:w="28" w:type="dxa"/>
          <w:right w:w="28" w:type="dxa"/>
        </w:tblCellMar>
      </w:tblPr>
      <w:tblGrid>
        <w:gridCol w:w="798"/>
        <w:gridCol w:w="701"/>
        <w:gridCol w:w="706"/>
        <w:gridCol w:w="315"/>
        <w:gridCol w:w="1240"/>
        <w:gridCol w:w="230"/>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Maturities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2026</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900,073 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13. FINANCIAL INSTRUMENTS AND FAIR VALUE MEASUREMENTS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manufactures, markets and sells its products globally. During the three and nine months ended December 27, 2025, 26.9% and 26.1%, respectively, of the Company’s sales were generated outside the U.S. in local currencies. The Company also incurs certain manufacturing, marketing and selling costs in international markets in local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Mexican Peso, Chinese Yuan, and Canadian Dollar.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Designated Foreign Currency Hedge Contracts</w:t>
      </w:r>
    </w:p>
    <w:p>
      <w:pPr>
        <w:pStyle w:val="TextBody"/>
        <w:bidi w:val="0"/>
        <w:spacing w:lineRule="auto" w:line="288" w:before="0" w:after="180"/>
        <w:jc w:val="both"/>
        <w:rPr/>
      </w:pPr>
      <w:r>
        <w:rPr>
          <w:rFonts w:ascii="Times New Roman;serif" w:hAnsi="Times New Roman;serif"/>
          <w:b w:val="false"/>
          <w:color w:val="000000"/>
          <w:sz w:val="20"/>
        </w:rPr>
        <w:t xml:space="preserve">All of the Company’s designated foreign currency hedge contracts as of December 27, 2025 and March 29, 2025 were cash flow hedges under FASB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$49.9 million as of December 27, 2025 and $23.6 million as of March 29, 2025. As of December 27, 2025, a gain of $2.4 million, net of tax, will be reclassified to earnings within the next eighteen months. Substantially all currency cash flow hedges outstanding as of December 27, 2025 mature within eighteen months.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Non-Designated Foreign Currency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$121.4 million as of December 27, 2025 and $89.6 million as of March 29,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mitigate the interest rate risk on the Company’s senior unsecured term loan, in September 2022, the Company entered into four interest rate swaps, two of which expired in June 2023 and the remaining two were amended and extended in September 2024 and mature in April 2029. The amendment and extension of the two interest rate swaps did not have a material impact on the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December 27, 2025:</w:t>
      </w:r>
    </w:p>
    <w:tbl>
      <w:tblPr>
        <w:tblW w:w="10205" w:type="dxa"/>
        <w:jc w:val="left"/>
        <w:tblInd w:w="0" w:type="dxa"/>
        <w:tblLayout w:type="fixed"/>
        <w:tblCellMar>
          <w:top w:w="28" w:type="dxa"/>
          <w:left w:w="28" w:type="dxa"/>
          <w:bottom w:w="28" w:type="dxa"/>
          <w:right w:w="28" w:type="dxa"/>
        </w:tblCellMar>
      </w:tblPr>
      <w:tblGrid>
        <w:gridCol w:w="295"/>
        <w:gridCol w:w="259"/>
        <w:gridCol w:w="260"/>
        <w:gridCol w:w="109"/>
        <w:gridCol w:w="109"/>
        <w:gridCol w:w="109"/>
        <w:gridCol w:w="225"/>
        <w:gridCol w:w="883"/>
        <w:gridCol w:w="116"/>
        <w:gridCol w:w="109"/>
        <w:gridCol w:w="109"/>
        <w:gridCol w:w="109"/>
        <w:gridCol w:w="245"/>
        <w:gridCol w:w="959"/>
        <w:gridCol w:w="126"/>
        <w:gridCol w:w="109"/>
        <w:gridCol w:w="109"/>
        <w:gridCol w:w="109"/>
        <w:gridCol w:w="331"/>
        <w:gridCol w:w="331"/>
        <w:gridCol w:w="332"/>
        <w:gridCol w:w="109"/>
        <w:gridCol w:w="109"/>
        <w:gridCol w:w="109"/>
        <w:gridCol w:w="261"/>
        <w:gridCol w:w="261"/>
        <w:gridCol w:w="262"/>
        <w:gridCol w:w="109"/>
        <w:gridCol w:w="109"/>
        <w:gridCol w:w="109"/>
        <w:gridCol w:w="346"/>
        <w:gridCol w:w="346"/>
        <w:gridCol w:w="347"/>
        <w:gridCol w:w="109"/>
        <w:gridCol w:w="109"/>
        <w:gridCol w:w="109"/>
        <w:gridCol w:w="245"/>
        <w:gridCol w:w="245"/>
        <w:gridCol w:w="246"/>
        <w:gridCol w:w="109"/>
        <w:gridCol w:w="109"/>
        <w:gridCol w:w="109"/>
        <w:gridCol w:w="280"/>
        <w:gridCol w:w="497"/>
        <w:gridCol w:w="218"/>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 as of December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Asset Fair Value</w:t>
            </w:r>
          </w:p>
        </w:tc>
      </w:tr>
      <w:tr>
        <w:trPr/>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nine months ended December 27, 2025, the Company recognized a gain on the interest rate swaps to recognize the effective portion of the fair value of the swaps that qualify as cash flow hedges of $1.9 million, net of tax, in accumulated other comprehensive loss (“AOCL”) within the condensed consolidated balance sheets.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Trade Receivables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lineRule="auto" w:line="288" w:before="0" w:after="180"/>
        <w:jc w:val="both"/>
        <w:rPr/>
      </w:pPr>
      <w:r>
        <w:rPr>
          <w:rFonts w:ascii="Times New Roman;serif" w:hAnsi="Times New Roman;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w:t>
      </w:r>
      <w:r>
        <w:rPr>
          <w:rFonts w:ascii="Times New Roman;serif" w:hAnsi="Times New Roman;serif"/>
          <w:b w:val="false"/>
          <w:color w:val="000000"/>
          <w:sz w:val="20"/>
          <w:shd w:fill="FFFFFF" w:val="clear"/>
        </w:rPr>
        <w:t>rvices. The Company has not experienced significant customer payment defaults or identified other significant collectability concerns.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the allowance for credit losses:</w:t>
      </w:r>
    </w:p>
    <w:tbl>
      <w:tblPr>
        <w:tblW w:w="5938" w:type="dxa"/>
        <w:jc w:val="left"/>
        <w:tblInd w:w="0" w:type="dxa"/>
        <w:tblLayout w:type="fixed"/>
        <w:tblCellMar>
          <w:top w:w="28" w:type="dxa"/>
          <w:left w:w="28" w:type="dxa"/>
          <w:bottom w:w="28" w:type="dxa"/>
          <w:right w:w="28" w:type="dxa"/>
        </w:tblCellMar>
      </w:tblPr>
      <w:tblGrid>
        <w:gridCol w:w="1019"/>
        <w:gridCol w:w="897"/>
        <w:gridCol w:w="903"/>
        <w:gridCol w:w="670"/>
        <w:gridCol w:w="1958"/>
        <w:gridCol w:w="49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 (Recoveries)</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w:t>
            </w:r>
          </w:p>
        </w:tc>
        <w:tc>
          <w:tcPr>
            <w:tcW w:w="2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2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2025</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to the valuation methodology are quoted market prices for identical assets or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money market funds carried at fair value are classified within Level 1 of the fair value hierarchy because they are valued using quoted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the Company’s derivative instruments designated as cash flow hedges and those not designated as hedging instruments under ASC 815 in its condensed consolidated statements of income for the nine months ended December 27, 2025:</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35"/>
        <w:gridCol w:w="506"/>
        <w:gridCol w:w="507"/>
        <w:gridCol w:w="109"/>
        <w:gridCol w:w="109"/>
        <w:gridCol w:w="109"/>
        <w:gridCol w:w="257"/>
        <w:gridCol w:w="752"/>
        <w:gridCol w:w="133"/>
        <w:gridCol w:w="109"/>
        <w:gridCol w:w="109"/>
        <w:gridCol w:w="109"/>
        <w:gridCol w:w="325"/>
        <w:gridCol w:w="742"/>
        <w:gridCol w:w="168"/>
        <w:gridCol w:w="109"/>
        <w:gridCol w:w="109"/>
        <w:gridCol w:w="109"/>
        <w:gridCol w:w="504"/>
        <w:gridCol w:w="504"/>
        <w:gridCol w:w="505"/>
        <w:gridCol w:w="109"/>
        <w:gridCol w:w="109"/>
        <w:gridCol w:w="109"/>
        <w:gridCol w:w="297"/>
        <w:gridCol w:w="895"/>
        <w:gridCol w:w="155"/>
        <w:gridCol w:w="109"/>
        <w:gridCol w:w="109"/>
        <w:gridCol w:w="109"/>
        <w:gridCol w:w="402"/>
        <w:gridCol w:w="402"/>
        <w:gridCol w:w="581"/>
      </w:tblGrid>
      <w:tr>
        <w:trPr/>
        <w:tc>
          <w:tcPr>
            <w:tcW w:w="93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w:t>
              <w:br/>
              <w:t>in AOCL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(Loss) Gain Reclassified</w:t>
              <w:br/>
              <w:t>from AOCL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Excluded from</w:t>
              <w:br/>
              <w:t>Effectiveness 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Earnings</w:t>
            </w:r>
          </w:p>
        </w:tc>
      </w:tr>
      <w:tr>
        <w:trPr/>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cost of goods sold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fair value hedges or net investment hedges outstanding as of December 27, 2025 or March 29, 2025. As of December 27, 2025, there were no material deferred taxes recognized for designated foreign currency hedges. </w:t>
      </w:r>
    </w:p>
    <w:p>
      <w:pPr>
        <w:pStyle w:val="TextBody"/>
        <w:bidi w:val="0"/>
        <w:spacing w:lineRule="auto" w:line="288" w:before="0" w:after="180"/>
        <w:jc w:val="both"/>
        <w:rPr/>
      </w:pPr>
      <w:r>
        <w:rPr>
          <w:rFonts w:ascii="Times New Roman;serif" w:hAnsi="Times New Roman;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FASB ASC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27, 2025,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of the Company’s derivative instruments as they appear in its condensed consolidated balance sheets as of December 27, 2025 and March 29, 2025:</w:t>
      </w:r>
    </w:p>
    <w:tbl>
      <w:tblPr>
        <w:tblW w:w="10205" w:type="dxa"/>
        <w:jc w:val="left"/>
        <w:tblInd w:w="0" w:type="dxa"/>
        <w:tblLayout w:type="fixed"/>
        <w:tblCellMar>
          <w:top w:w="28" w:type="dxa"/>
          <w:left w:w="28" w:type="dxa"/>
          <w:bottom w:w="28" w:type="dxa"/>
          <w:right w:w="28" w:type="dxa"/>
        </w:tblCellMar>
      </w:tblPr>
      <w:tblGrid>
        <w:gridCol w:w="1391"/>
        <w:gridCol w:w="1175"/>
        <w:gridCol w:w="1180"/>
        <w:gridCol w:w="1038"/>
        <w:gridCol w:w="1038"/>
        <w:gridCol w:w="1041"/>
        <w:gridCol w:w="109"/>
        <w:gridCol w:w="109"/>
        <w:gridCol w:w="109"/>
        <w:gridCol w:w="320"/>
        <w:gridCol w:w="937"/>
        <w:gridCol w:w="165"/>
        <w:gridCol w:w="109"/>
        <w:gridCol w:w="109"/>
        <w:gridCol w:w="109"/>
        <w:gridCol w:w="270"/>
        <w:gridCol w:w="792"/>
        <w:gridCol w:w="204"/>
      </w:tblGrid>
      <w:tr>
        <w:trPr/>
        <w:tc>
          <w:tcPr>
            <w:tcW w:w="139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Measured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measured at fair value on a recurring basis consist of the following as of December 27, 2025 and March 29, 2025.</w:t>
      </w:r>
    </w:p>
    <w:tbl>
      <w:tblPr>
        <w:tblW w:w="9299" w:type="dxa"/>
        <w:jc w:val="left"/>
        <w:tblInd w:w="0" w:type="dxa"/>
        <w:tblLayout w:type="fixed"/>
        <w:tblCellMar>
          <w:top w:w="28" w:type="dxa"/>
          <w:left w:w="28" w:type="dxa"/>
          <w:bottom w:w="28" w:type="dxa"/>
          <w:right w:w="28" w:type="dxa"/>
        </w:tblCellMar>
      </w:tblPr>
      <w:tblGrid>
        <w:gridCol w:w="1484"/>
        <w:gridCol w:w="1304"/>
        <w:gridCol w:w="1321"/>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99" w:type="dxa"/>
        <w:jc w:val="left"/>
        <w:tblInd w:w="0" w:type="dxa"/>
        <w:tblLayout w:type="fixed"/>
        <w:tblCellMar>
          <w:top w:w="28" w:type="dxa"/>
          <w:left w:w="28" w:type="dxa"/>
          <w:bottom w:w="28" w:type="dxa"/>
          <w:right w:w="28" w:type="dxa"/>
        </w:tblCellMar>
      </w:tblPr>
      <w:tblGrid>
        <w:gridCol w:w="1484"/>
        <w:gridCol w:w="1304"/>
        <w:gridCol w:w="1321"/>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Foreign currency hedge contracts - </w:t>
      </w:r>
      <w:r>
        <w:rPr>
          <w:rFonts w:ascii="Times New Roman;serif" w:hAnsi="Times New Roman;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lineRule="auto" w:line="288" w:before="0" w:after="180"/>
        <w:jc w:val="both"/>
        <w:rPr/>
      </w:pPr>
      <w:r>
        <w:rPr>
          <w:rFonts w:ascii="Times New Roman;serif" w:hAnsi="Times New Roman;serif"/>
          <w:b w:val="false"/>
          <w:i/>
          <w:color w:val="000000"/>
          <w:sz w:val="20"/>
        </w:rPr>
        <w:t xml:space="preserve">Interest rate swaps - </w:t>
      </w:r>
      <w:r>
        <w:rPr>
          <w:rFonts w:ascii="Times New Roman;serif" w:hAnsi="Times New Roman;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lineRule="auto" w:line="288" w:before="0" w:after="180"/>
        <w:jc w:val="both"/>
        <w:rPr/>
      </w:pPr>
      <w:r>
        <w:rPr>
          <w:rFonts w:ascii="Times New Roman;serif" w:hAnsi="Times New Roman;serif"/>
          <w:b w:val="false"/>
          <w:i/>
          <w:color w:val="000000"/>
          <w:sz w:val="20"/>
        </w:rPr>
        <w:t>Contingent consideration</w:t>
      </w:r>
      <w:r>
        <w:rPr>
          <w:color w:val="000000"/>
        </w:rPr>
        <w:t xml:space="preserve"> </w:t>
      </w:r>
      <w:r>
        <w:rPr>
          <w:rFonts w:ascii="Times New Roman;serif" w:hAnsi="Times New Roman;serif"/>
          <w:b w:val="false"/>
          <w:color w:val="000000"/>
          <w:sz w:val="20"/>
        </w:rPr>
        <w:t>-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level 3 fair value measurements of contingent consideration liabilities include the following significant unobservable inputs:</w:t>
      </w:r>
    </w:p>
    <w:tbl>
      <w:tblPr>
        <w:tblW w:w="10205" w:type="dxa"/>
        <w:jc w:val="left"/>
        <w:tblInd w:w="0" w:type="dxa"/>
        <w:tblLayout w:type="fixed"/>
        <w:tblCellMar>
          <w:top w:w="28" w:type="dxa"/>
          <w:left w:w="28" w:type="dxa"/>
          <w:bottom w:w="28" w:type="dxa"/>
          <w:right w:w="28" w:type="dxa"/>
        </w:tblCellMar>
      </w:tblPr>
      <w:tblGrid>
        <w:gridCol w:w="704"/>
        <w:gridCol w:w="619"/>
        <w:gridCol w:w="620"/>
        <w:gridCol w:w="109"/>
        <w:gridCol w:w="109"/>
        <w:gridCol w:w="109"/>
        <w:gridCol w:w="338"/>
        <w:gridCol w:w="988"/>
        <w:gridCol w:w="173"/>
        <w:gridCol w:w="109"/>
        <w:gridCol w:w="109"/>
        <w:gridCol w:w="109"/>
        <w:gridCol w:w="756"/>
        <w:gridCol w:w="707"/>
        <w:gridCol w:w="710"/>
        <w:gridCol w:w="109"/>
        <w:gridCol w:w="109"/>
        <w:gridCol w:w="109"/>
        <w:gridCol w:w="757"/>
        <w:gridCol w:w="757"/>
        <w:gridCol w:w="760"/>
        <w:gridCol w:w="109"/>
        <w:gridCol w:w="109"/>
        <w:gridCol w:w="109"/>
        <w:gridCol w:w="291"/>
        <w:gridCol w:w="291"/>
        <w:gridCol w:w="426"/>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73"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vMerge w:val="continue"/>
            <w:tcBorders/>
            <w:tcMar>
              <w:top w:w="0" w:type="dxa"/>
              <w:left w:w="0" w:type="dxa"/>
              <w:bottom w:w="0" w:type="dxa"/>
              <w:right w:w="0" w:type="dxa"/>
            </w:tcMar>
            <w:vAlign w:val="center"/>
          </w:tcPr>
          <w:p>
            <w:pPr>
              <w:pStyle w:val="Normal"/>
              <w:bidi w:val="0"/>
              <w:jc w:val="left"/>
              <w:rPr/>
            </w:pPr>
            <w:r>
              <w:rPr/>
            </w:r>
          </w:p>
        </w:tc>
        <w:tc>
          <w:tcPr>
            <w:tcW w:w="988" w:type="dxa"/>
            <w:vMerge w:val="continue"/>
            <w:tcBorders/>
            <w:tcMar>
              <w:top w:w="0" w:type="dxa"/>
              <w:left w:w="0" w:type="dxa"/>
              <w:bottom w:w="0" w:type="dxa"/>
              <w:right w:w="0" w:type="dxa"/>
            </w:tcMar>
            <w:vAlign w:val="center"/>
          </w:tcPr>
          <w:p>
            <w:pPr>
              <w:pStyle w:val="Normal"/>
              <w:bidi w:val="0"/>
              <w:jc w:val="left"/>
              <w:rPr/>
            </w:pPr>
            <w:r>
              <w:rPr/>
            </w:r>
          </w:p>
        </w:tc>
        <w:tc>
          <w:tcPr>
            <w:tcW w:w="173"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2026 - 2028</w:t>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9" w:type="dxa"/>
            <w:gridSpan w:val="9"/>
            <w:tcBorders/>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9" w:type="dxa"/>
            <w:gridSpan w:val="9"/>
            <w:tcBorders/>
          </w:tcPr>
          <w:p>
            <w:pPr>
              <w:pStyle w:val="TableContents"/>
              <w:bidi w:val="0"/>
              <w:spacing w:before="0" w:after="283"/>
              <w:jc w:val="left"/>
              <w:rPr>
                <w:sz w:val="4"/>
                <w:szCs w:val="4"/>
              </w:rPr>
            </w:pPr>
            <w:r>
              <w:rPr>
                <w:sz w:val="4"/>
                <w:szCs w:val="4"/>
              </w:rPr>
            </w:r>
          </w:p>
        </w:tc>
      </w:tr>
      <w:tr>
        <w:trPr/>
        <w:tc>
          <w:tcPr>
            <w:tcW w:w="194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73"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94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8"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88"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73"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88"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73"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2026 - 2028</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associated with acquisitions was $3.2 million as of December 27, 2025 and the total was included in other long-term liabilities on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the change in the fair value of contingent consideration is included in the following table:</w:t>
      </w:r>
    </w:p>
    <w:tbl>
      <w:tblPr>
        <w:tblW w:w="5472" w:type="dxa"/>
        <w:jc w:val="left"/>
        <w:tblInd w:w="0" w:type="dxa"/>
        <w:tblLayout w:type="fixed"/>
        <w:tblCellMar>
          <w:top w:w="28" w:type="dxa"/>
          <w:left w:w="28" w:type="dxa"/>
          <w:bottom w:w="28" w:type="dxa"/>
          <w:right w:w="28" w:type="dxa"/>
        </w:tblCellMar>
      </w:tblPr>
      <w:tblGrid>
        <w:gridCol w:w="1128"/>
        <w:gridCol w:w="992"/>
        <w:gridCol w:w="1000"/>
        <w:gridCol w:w="109"/>
        <w:gridCol w:w="109"/>
        <w:gridCol w:w="109"/>
        <w:gridCol w:w="434"/>
        <w:gridCol w:w="1271"/>
        <w:gridCol w:w="320"/>
      </w:tblGrid>
      <w:tr>
        <w:trPr/>
        <w:tc>
          <w:tcPr>
            <w:tcW w:w="11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Fair Value Disclosures</w:t>
      </w:r>
    </w:p>
    <w:p>
      <w:pPr>
        <w:pStyle w:val="TextBody"/>
        <w:bidi w:val="0"/>
        <w:spacing w:lineRule="auto" w:line="288" w:before="0" w:after="180"/>
        <w:jc w:val="both"/>
        <w:rPr/>
      </w:pPr>
      <w:r>
        <w:rPr>
          <w:rFonts w:ascii="Times New Roman;serif" w:hAnsi="Times New Roman;serif"/>
          <w:b w:val="false"/>
          <w:color w:val="000000"/>
          <w:sz w:val="20"/>
          <w:shd w:fill="FFFFFF" w:val="clear"/>
        </w:rPr>
        <w:t>The fair values of the 2026 Notes and 2029 No</w:t>
      </w:r>
      <w:r>
        <w:rPr>
          <w:rFonts w:ascii="Times New Roman;serif" w:hAnsi="Times New Roman;serif"/>
          <w:b w:val="false"/>
          <w:color w:val="000000"/>
          <w:sz w:val="20"/>
        </w:rPr>
        <w:t>tes were $297.0 million and $727.9 million, respectively, as o</w:t>
      </w:r>
      <w:r>
        <w:rPr>
          <w:rFonts w:ascii="Times New Roman;serif" w:hAnsi="Times New Roman;serif"/>
          <w:b w:val="false"/>
          <w:color w:val="000000"/>
          <w:sz w:val="20"/>
          <w:shd w:fill="FFFFFF" w:val="clear"/>
        </w:rPr>
        <w:t xml:space="preserve">f December 27, 2025, </w:t>
      </w:r>
      <w:r>
        <w:rPr>
          <w:rFonts w:ascii="Times New Roman;serif" w:hAnsi="Times New Roman;serif"/>
          <w:b w:val="false"/>
          <w:color w:val="000000"/>
          <w:sz w:val="20"/>
        </w:rPr>
        <w:t>and $286.3 million and $668.4 million, respectively, as of March 29, 2025, which were determined by using the market price on the last trading day of the reporting period and are considered as level 2 in the fair value hierarchy.</w:t>
      </w:r>
    </w:p>
    <w:p>
      <w:pPr>
        <w:pStyle w:val="TextBody"/>
        <w:bidi w:val="0"/>
        <w:spacing w:lineRule="auto" w:line="288" w:before="0" w:after="180"/>
        <w:jc w:val="both"/>
        <w:rPr/>
      </w:pPr>
      <w:r>
        <w:rPr>
          <w:rFonts w:ascii="Times New Roman;serif" w:hAnsi="Times New Roman;serif"/>
          <w:b w:val="false"/>
          <w:color w:val="000000"/>
          <w:sz w:val="20"/>
        </w:rPr>
        <w:t>The senior unsecured term loan (which is carried at amortized cost), accounts receivable and accounts payable approximate fa</w:t>
      </w:r>
      <w:r>
        <w:rPr>
          <w:rFonts w:ascii="Times New Roman;serif" w:hAnsi="Times New Roman;serif"/>
          <w:b w:val="false"/>
          <w:color w:val="000000"/>
          <w:sz w:val="20"/>
          <w:shd w:fill="FFFFFF" w:val="clear"/>
        </w:rPr>
        <w:t>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180"/>
        <w:jc w:val="both"/>
        <w:rPr/>
      </w:pPr>
      <w:r>
        <w:rPr>
          <w:rFonts w:ascii="Times New Roman;serif" w:hAnsi="Times New Roman;serif"/>
          <w:b w:val="false"/>
          <w:color w:val="000000"/>
          <w:sz w:val="20"/>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FASB ASC Topic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for all matters. Legal costs are expensed as incurred.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Sensor-Guided Technologies Patent Litigation</w:t>
      </w:r>
    </w:p>
    <w:p>
      <w:pPr>
        <w:pStyle w:val="TextBody"/>
        <w:bidi w:val="0"/>
        <w:spacing w:lineRule="auto" w:line="288" w:before="0" w:after="180"/>
        <w:jc w:val="both"/>
        <w:rPr/>
      </w:pPr>
      <w:r>
        <w:rPr>
          <w:rFonts w:ascii="Times New Roman;serif" w:hAnsi="Times New Roman;serif"/>
          <w:b w:val="false"/>
          <w:color w:val="000000"/>
          <w:sz w:val="20"/>
        </w:rPr>
        <w:t>During the fourth quarter of fiscal 2024, a complaint was filed in the U.S. District Court for the District of Delaware by Knoninklijke Philips N.V. and IP2IPO Innovations, Ltd. (together, the “Plaintiffs”) against OpSens, OpSens Medical, Inc., a wholly-owned subsidiary of Haemonetics, and Haemonetics (1:24-cv-00206-CFC). The complaint alleged, inter alia, that OpSens’ interventional cardiology systems, including its OptoWire and OptoMonitor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infringed a single patent held by the Plaintiffs and sought both injunctive relief and damages. The Company recorded loss contingencies related to this matter in the first and fourth quarters of fiscal 2025 and in the first quarter of fiscal 2026, which did not have a material impact on its condensed consolidated financial statements. In the second quarter of fiscal 2026, the parties entered into a final confidential settlement agreement to resolve the matter, which the court approved, and the Company recorded an immaterial additional loss contingency relating to final settlement of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Plasma Patent Litigation</w:t>
      </w:r>
    </w:p>
    <w:p>
      <w:pPr>
        <w:pStyle w:val="TextBody"/>
        <w:bidi w:val="0"/>
        <w:spacing w:lineRule="auto" w:line="288" w:before="0" w:after="180"/>
        <w:jc w:val="both"/>
        <w:rPr/>
      </w:pPr>
      <w:r>
        <w:rPr>
          <w:rFonts w:ascii="Times New Roman;serif" w:hAnsi="Times New Roman;serif"/>
          <w:b w:val="false"/>
          <w:color w:val="000000"/>
          <w:sz w:val="20"/>
        </w:rPr>
        <w:t>During the first quarter of fiscal 2026, the Company filed a complaint against Terumo BCT in U.S. District Court for the District of Colorado (1:25-cv-01409). The complaint alleges that Terumo BCT infringes the Company’s intellectual property rights with respect to its donor-centric blood plasma collection patents, as embodied in the Company’s NexSys PCS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with YES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and NexSys PCS with Persona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On June 26, 2025, Terumo filed a motion to dismiss. On July 17, 2025 and August 12, 2025, the Company filed amended complaints adding recently issued patents. On September 2, 2025, Terumo filed a partial motion to dismiss with prejudice claiming that the Company’s asserted patents were invalid under 35 U.S.C. section 101. Terumo has also filed inter partes and post-grant review petitions with the U.S. Patent and Trademark Office (PTO) seeking to invalidate the asserted patents. In October 2025, Terumo filed a motion to stay the district court proceedings pending resolution of the PTO petitions. The Company filed responses opposing Terumo’s motions in November 2025. Two of the pending petitions have been instituted for further review.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filed a complaint against Fresenius Kabi USA LLC in U.S. District Court for the Northern District of Illinois (1:25-cv-08680). The complaint alleges that Fresenius Kabi infringes the Company’s intellectual property rights with respect to its donor-centric blood plasma collection patents, as embodied in the Company’s NexSys PCS with YES technology and NexSys PCS with Persona technology. In October 2025, the Company filed an amended complaint to add Fenwal Inc. and Fresenius Kabi AG as parties to the matter. In December 2025, the Fenwal filed its answer and counterclaims, alleging non-infringement and invalidity of the Company’s asserted patents and alleging infringement by the Company of certain of Fenwal’s U.S. patents.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the Company will incur costs in the course of pursuing these claims, and the outcome of litigation is inherently uncertain, the Company believes this is a necessary and appropriate action to safeguard its innovations, protect its intellectual property, and further the growth and development of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15. CAPITAL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Compensation cost related to share-based transactions is recognized in the consolidated financial statements based on fair value. The total amount of share-based compensation expense, which is recorded on a straight-line basis, is as follows:</w:t>
      </w:r>
    </w:p>
    <w:tbl>
      <w:tblPr>
        <w:tblW w:w="10205" w:type="dxa"/>
        <w:jc w:val="left"/>
        <w:tblInd w:w="0" w:type="dxa"/>
        <w:tblLayout w:type="fixed"/>
        <w:tblCellMar>
          <w:top w:w="28" w:type="dxa"/>
          <w:left w:w="28" w:type="dxa"/>
          <w:bottom w:w="28" w:type="dxa"/>
          <w:right w:w="28" w:type="dxa"/>
        </w:tblCellMar>
      </w:tblPr>
      <w:tblGrid>
        <w:gridCol w:w="1244"/>
        <w:gridCol w:w="1092"/>
        <w:gridCol w:w="1095"/>
        <w:gridCol w:w="322"/>
        <w:gridCol w:w="941"/>
        <w:gridCol w:w="165"/>
        <w:gridCol w:w="109"/>
        <w:gridCol w:w="109"/>
        <w:gridCol w:w="109"/>
        <w:gridCol w:w="322"/>
        <w:gridCol w:w="941"/>
        <w:gridCol w:w="165"/>
        <w:gridCol w:w="109"/>
        <w:gridCol w:w="109"/>
        <w:gridCol w:w="109"/>
        <w:gridCol w:w="292"/>
        <w:gridCol w:w="999"/>
        <w:gridCol w:w="151"/>
        <w:gridCol w:w="109"/>
        <w:gridCol w:w="109"/>
        <w:gridCol w:w="109"/>
        <w:gridCol w:w="289"/>
        <w:gridCol w:w="988"/>
        <w:gridCol w:w="218"/>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Options are granted to purchase common stock at prices as determined by the Committee, but in no event shall such exercise price be less than the fair market value of the common stock at the time of the grant. Options generally vest in equal installments over a four-year period for employees. Options expire not more than seven years from the date of the grant. The grant-date fair value of options, adjusted for estimated forfeitures, is recognized as expense on a straight-line basis over the requisite service period, which is generally the vesting period. Forfeitures are estimated based on historical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nine months ended December 27, 2025 is as follows:</w:t>
      </w:r>
    </w:p>
    <w:tbl>
      <w:tblPr>
        <w:tblW w:w="10143" w:type="dxa"/>
        <w:jc w:val="left"/>
        <w:tblInd w:w="0" w:type="dxa"/>
        <w:tblLayout w:type="fixed"/>
        <w:tblCellMar>
          <w:top w:w="28" w:type="dxa"/>
          <w:left w:w="28" w:type="dxa"/>
          <w:bottom w:w="28" w:type="dxa"/>
          <w:right w:w="28" w:type="dxa"/>
        </w:tblCellMar>
      </w:tblPr>
      <w:tblGrid>
        <w:gridCol w:w="1554"/>
        <w:gridCol w:w="1364"/>
        <w:gridCol w:w="1372"/>
        <w:gridCol w:w="487"/>
        <w:gridCol w:w="489"/>
        <w:gridCol w:w="336"/>
        <w:gridCol w:w="109"/>
        <w:gridCol w:w="109"/>
        <w:gridCol w:w="109"/>
        <w:gridCol w:w="253"/>
        <w:gridCol w:w="741"/>
        <w:gridCol w:w="131"/>
        <w:gridCol w:w="109"/>
        <w:gridCol w:w="109"/>
        <w:gridCol w:w="109"/>
        <w:gridCol w:w="484"/>
        <w:gridCol w:w="484"/>
        <w:gridCol w:w="486"/>
        <w:gridCol w:w="109"/>
        <w:gridCol w:w="109"/>
        <w:gridCol w:w="109"/>
        <w:gridCol w:w="211"/>
        <w:gridCol w:w="61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and Per Share Data)</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29,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993,587 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27,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1,027,527 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December 27, 2025</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610,067 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expected to vest as of December 27,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there was $11.5 million of total unrecognized compensation cost related to non-vested stock options. This cost is expected to be recognized over a weighted average period of 2.7 years.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Restricted Stock Units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Stock Units (“RSUs”) generally vest in equal installments over a three or four-year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RSU activity for the nine months ended December 27, 2025 is as follows:</w:t>
      </w:r>
    </w:p>
    <w:tbl>
      <w:tblPr>
        <w:tblW w:w="6162" w:type="dxa"/>
        <w:jc w:val="left"/>
        <w:tblInd w:w="0" w:type="dxa"/>
        <w:tblLayout w:type="fixed"/>
        <w:tblCellMar>
          <w:top w:w="28" w:type="dxa"/>
          <w:left w:w="28" w:type="dxa"/>
          <w:bottom w:w="28" w:type="dxa"/>
          <w:right w:w="28" w:type="dxa"/>
        </w:tblCellMar>
      </w:tblPr>
      <w:tblGrid>
        <w:gridCol w:w="1059"/>
        <w:gridCol w:w="931"/>
        <w:gridCol w:w="934"/>
        <w:gridCol w:w="449"/>
        <w:gridCol w:w="451"/>
        <w:gridCol w:w="196"/>
        <w:gridCol w:w="109"/>
        <w:gridCol w:w="109"/>
        <w:gridCol w:w="109"/>
        <w:gridCol w:w="390"/>
        <w:gridCol w:w="1140"/>
        <w:gridCol w:w="28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March 29,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27,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332,292 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there was $17.5 million of total unrecognized compensation cost related to non-vested restricted stock units. This cost is expected to be recognized over a weighted average period of 1.8 years.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Performance Share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Performance Share Units (“PSUs”), adjusted for estimated forfeitures, is recognized as expense on a straight-line basis from the grant date through the end of the performance period. The value of these PSUs is generally based on (i) relative total shareholder return (“rTSR”), which equals the total shareholder return for the Company as compared with the total shareholder return of a PSU comparison group and; (ii) the average annual organic revenue growth rate (“AAGR”) of the Company, both of which are measured over a three-year performance period. For outstanding rTSR-based PSUs, the comparison group for awards granted prior to fiscal 2026 consists of the components of the Standard and Poor’s (“S&amp;P”) MidCap 400 Index and for awards granted in fiscal 2026 consists of the components of the S&amp;P Health Care Equipment Select Industry Index. Depending on the Company’s performance under the above-mentioned PSU awards during the performance period, a recipient of the award is entitled to receive a number of ordinary shares equal to a percentage, ranging from 0% to 200% of the award granted. If the Company’s total shareholder return for the performance period is negative, then any share payout for rTSR-based PSU awards will be capped at 100% of the target award, regardless of the Company’s performance relative to the comparison group. As a result, the Company may issue up to 715,262 shares related to outstanding performance-based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PSU activity for the nine months ended December 27, 2025 is as follows:</w:t>
      </w:r>
    </w:p>
    <w:tbl>
      <w:tblPr>
        <w:tblW w:w="6161" w:type="dxa"/>
        <w:jc w:val="left"/>
        <w:tblInd w:w="0" w:type="dxa"/>
        <w:tblLayout w:type="fixed"/>
        <w:tblCellMar>
          <w:top w:w="28" w:type="dxa"/>
          <w:left w:w="28" w:type="dxa"/>
          <w:bottom w:w="28" w:type="dxa"/>
          <w:right w:w="28" w:type="dxa"/>
        </w:tblCellMar>
      </w:tblPr>
      <w:tblGrid>
        <w:gridCol w:w="1059"/>
        <w:gridCol w:w="931"/>
        <w:gridCol w:w="934"/>
        <w:gridCol w:w="449"/>
        <w:gridCol w:w="451"/>
        <w:gridCol w:w="196"/>
        <w:gridCol w:w="109"/>
        <w:gridCol w:w="109"/>
        <w:gridCol w:w="109"/>
        <w:gridCol w:w="352"/>
        <w:gridCol w:w="1205"/>
        <w:gridCol w:w="257"/>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March 29,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(2)</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27,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Includes 35,443 shares issued for awards vested during fiscal 2026 based on achievement of performance metrics.</w:t>
      </w:r>
    </w:p>
    <w:p>
      <w:pPr>
        <w:pStyle w:val="TextBody"/>
        <w:bidi w:val="0"/>
        <w:spacing w:lineRule="auto" w:line="288" w:before="0" w:after="18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Includes the vesting of 162,066 shares that were earned for rTSR-based PSU awards granted in fiscal 2023 for performance periods ending during fiscal 2026, representing 128% of the target award.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there was $22.1 million of total unrecognized compensation cost related to non-vested performance share units deemed probable of vesting. This cost is expected to be recognized over a weighted average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16. ACCUMULATED OTHER COMPREHENSIVE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AOCL, net of tax, are as follows:</w:t>
      </w:r>
    </w:p>
    <w:tbl>
      <w:tblPr>
        <w:tblW w:w="10205" w:type="dxa"/>
        <w:jc w:val="left"/>
        <w:tblInd w:w="0" w:type="dxa"/>
        <w:tblLayout w:type="fixed"/>
        <w:tblCellMar>
          <w:top w:w="28" w:type="dxa"/>
          <w:left w:w="28" w:type="dxa"/>
          <w:bottom w:w="28" w:type="dxa"/>
          <w:right w:w="28" w:type="dxa"/>
        </w:tblCellMar>
      </w:tblPr>
      <w:tblGrid>
        <w:gridCol w:w="1342"/>
        <w:gridCol w:w="965"/>
        <w:gridCol w:w="949"/>
        <w:gridCol w:w="242"/>
        <w:gridCol w:w="892"/>
        <w:gridCol w:w="125"/>
        <w:gridCol w:w="109"/>
        <w:gridCol w:w="109"/>
        <w:gridCol w:w="109"/>
        <w:gridCol w:w="304"/>
        <w:gridCol w:w="887"/>
        <w:gridCol w:w="157"/>
        <w:gridCol w:w="109"/>
        <w:gridCol w:w="109"/>
        <w:gridCol w:w="109"/>
        <w:gridCol w:w="585"/>
        <w:gridCol w:w="1334"/>
        <w:gridCol w:w="302"/>
        <w:gridCol w:w="109"/>
        <w:gridCol w:w="109"/>
        <w:gridCol w:w="109"/>
        <w:gridCol w:w="211"/>
        <w:gridCol w:w="770"/>
        <w:gridCol w:w="159"/>
      </w:tblGrid>
      <w:tr>
        <w:trPr/>
        <w:tc>
          <w:tcPr>
            <w:tcW w:w="134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income before reclassifications</w:t>
            </w:r>
            <w:r>
              <w:rPr>
                <w:rFonts w:ascii="Times New Roman;serif" w:hAnsi="Times New Roman;serif"/>
                <w:b w:val="false"/>
                <w:color w:val="000000"/>
                <w:sz w:val="13"/>
              </w:rPr>
              <w:t>(1)</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AOCL</w:t>
            </w:r>
            <w:r>
              <w:rPr>
                <w:rFonts w:ascii="Times New Roman;serif" w:hAnsi="Times New Roman;serif"/>
                <w:b w:val="false"/>
                <w:color w:val="000000"/>
                <w:sz w:val="13"/>
              </w:rPr>
              <w:t>(1)</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2025</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(35,537)</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(34,610)</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Presented net of income taxes, the amounts of which are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17. SEGMENT AND ENTERPRISE-WIDE INFORMATION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 (“CODM”), identified as the Company’s Chief Executive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reportable and operating segments are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Plasma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Blood Center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Hospital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The CODM measures and evaluates the operating segments based on operating income for purposes of assessing business performance and allocating resources. Certain corporate expenses and amounts considered to be non-recurring or non-operational are excluded from segment operating income. These items include </w:t>
      </w:r>
      <w:r>
        <w:rPr>
          <w:rFonts w:ascii="Times New Roman;serif" w:hAnsi="Times New Roman;serif"/>
          <w:b w:val="false"/>
          <w:color w:val="000000"/>
          <w:sz w:val="20"/>
          <w:shd w:fill="FFFFFF" w:val="clear"/>
        </w:rPr>
        <w:t>acquisition, integration and divestiture related costs</w:t>
      </w:r>
      <w:r>
        <w:rPr>
          <w:rFonts w:ascii="Times New Roman;serif" w:hAnsi="Times New Roman;serif"/>
          <w:b w:val="false"/>
          <w:color w:val="000000"/>
          <w:sz w:val="20"/>
        </w:rPr>
        <w:t>, amortization of acquired assets, restructuring costs, restructuring related costs, digital transformation costs related to the upgrade of the Company’s enterprise resource planning system, impairments and write downs, costs related to compliance with the European Union Medical Device Regulation (“MDR”) and In Vitro Diagnostic Regulation (“IVDR”), unusual or infrequent and material litigation-related charges and gains, losses on dispositions and sale of assets, remeasurement of the contingent consideration and unusual or infrequent gains such as on repurchases of convertible notes or divestitures. Although these amounts are excluded from segment operating income, as applicable, they are included in the reconciliations that follow. During the fourth quarter of fiscal 2025, the CODM began reviewing financial information including allocations of certain corporate costs including global functional support and overhead costs determined to benefit the segments. The prior period segment disclosures have been recast to reflect the new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track its assets by segment, and as a result it is not practical to show assets or depreciation by segment. Consequently, the Company’s CODM does not review assets by segment when assessing business performance and allocating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Selected information by reportable segment is presented below:</w:t>
      </w:r>
    </w:p>
    <w:tbl>
      <w:tblPr>
        <w:tblW w:w="10205" w:type="dxa"/>
        <w:jc w:val="left"/>
        <w:tblInd w:w="0" w:type="dxa"/>
        <w:tblLayout w:type="fixed"/>
        <w:tblCellMar>
          <w:top w:w="28" w:type="dxa"/>
          <w:left w:w="28" w:type="dxa"/>
          <w:bottom w:w="28" w:type="dxa"/>
          <w:right w:w="28" w:type="dxa"/>
        </w:tblCellMar>
      </w:tblPr>
      <w:tblGrid>
        <w:gridCol w:w="1392"/>
        <w:gridCol w:w="1135"/>
        <w:gridCol w:w="1114"/>
        <w:gridCol w:w="252"/>
        <w:gridCol w:w="988"/>
        <w:gridCol w:w="129"/>
        <w:gridCol w:w="109"/>
        <w:gridCol w:w="109"/>
        <w:gridCol w:w="109"/>
        <w:gridCol w:w="252"/>
        <w:gridCol w:w="988"/>
        <w:gridCol w:w="129"/>
        <w:gridCol w:w="109"/>
        <w:gridCol w:w="109"/>
        <w:gridCol w:w="109"/>
        <w:gridCol w:w="252"/>
        <w:gridCol w:w="988"/>
        <w:gridCol w:w="129"/>
        <w:gridCol w:w="109"/>
        <w:gridCol w:w="109"/>
        <w:gridCol w:w="109"/>
        <w:gridCol w:w="231"/>
        <w:gridCol w:w="1070"/>
        <w:gridCol w:w="175"/>
      </w:tblGrid>
      <w:tr>
        <w:trPr/>
        <w:tc>
          <w:tcPr>
            <w:tcW w:w="13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segment expenses and operating performance:</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operating income</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133,878 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operating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operating income</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and unallocated expenses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assets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and transaction costs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restructuring related costs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transformation costs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64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Comprised of litigation-related charges, impairment of intangible assets, and the write downs of certain assets for the three and nine months ended December 27, 2025. Comprised of MDR and IVDR costs, litigation-related charges, gains on sale of property, plant and equipment, impairment of intangible assets, and the write downs of certain assets for the three and nine months ended December 28,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by business unit are as follows:</w:t>
      </w:r>
    </w:p>
    <w:tbl>
      <w:tblPr>
        <w:tblW w:w="9917" w:type="dxa"/>
        <w:jc w:val="left"/>
        <w:tblInd w:w="0" w:type="dxa"/>
        <w:tblLayout w:type="fixed"/>
        <w:tblCellMar>
          <w:top w:w="28" w:type="dxa"/>
          <w:left w:w="28" w:type="dxa"/>
          <w:bottom w:w="28" w:type="dxa"/>
          <w:right w:w="28" w:type="dxa"/>
        </w:tblCellMar>
      </w:tblPr>
      <w:tblGrid>
        <w:gridCol w:w="1046"/>
        <w:gridCol w:w="919"/>
        <w:gridCol w:w="929"/>
        <w:gridCol w:w="276"/>
        <w:gridCol w:w="1081"/>
        <w:gridCol w:w="142"/>
        <w:gridCol w:w="109"/>
        <w:gridCol w:w="109"/>
        <w:gridCol w:w="109"/>
        <w:gridCol w:w="276"/>
        <w:gridCol w:w="1081"/>
        <w:gridCol w:w="142"/>
        <w:gridCol w:w="109"/>
        <w:gridCol w:w="109"/>
        <w:gridCol w:w="109"/>
        <w:gridCol w:w="276"/>
        <w:gridCol w:w="1081"/>
        <w:gridCol w:w="142"/>
        <w:gridCol w:w="109"/>
        <w:gridCol w:w="109"/>
        <w:gridCol w:w="109"/>
        <w:gridCol w:w="243"/>
        <w:gridCol w:w="1125"/>
        <w:gridCol w:w="177"/>
      </w:tblGrid>
      <w:tr>
        <w:trPr/>
        <w:tc>
          <w:tcPr>
            <w:tcW w:w="10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net revenues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 Blood</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net revenues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Interventional Technologies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Management Technologies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net revenues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143,973 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416,412 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excluding impairment charges, by business unit are as follows:</w:t>
      </w:r>
    </w:p>
    <w:tbl>
      <w:tblPr>
        <w:tblW w:w="10205" w:type="dxa"/>
        <w:jc w:val="left"/>
        <w:tblInd w:w="0" w:type="dxa"/>
        <w:tblLayout w:type="fixed"/>
        <w:tblCellMar>
          <w:top w:w="28" w:type="dxa"/>
          <w:left w:w="28" w:type="dxa"/>
          <w:bottom w:w="28" w:type="dxa"/>
          <w:right w:w="28" w:type="dxa"/>
        </w:tblCellMar>
      </w:tblPr>
      <w:tblGrid>
        <w:gridCol w:w="1418"/>
        <w:gridCol w:w="1250"/>
        <w:gridCol w:w="1230"/>
        <w:gridCol w:w="267"/>
        <w:gridCol w:w="914"/>
        <w:gridCol w:w="138"/>
        <w:gridCol w:w="109"/>
        <w:gridCol w:w="109"/>
        <w:gridCol w:w="109"/>
        <w:gridCol w:w="267"/>
        <w:gridCol w:w="914"/>
        <w:gridCol w:w="138"/>
        <w:gridCol w:w="109"/>
        <w:gridCol w:w="109"/>
        <w:gridCol w:w="109"/>
        <w:gridCol w:w="267"/>
        <w:gridCol w:w="914"/>
        <w:gridCol w:w="138"/>
        <w:gridCol w:w="109"/>
        <w:gridCol w:w="109"/>
        <w:gridCol w:w="109"/>
        <w:gridCol w:w="265"/>
        <w:gridCol w:w="906"/>
        <w:gridCol w:w="198"/>
      </w:tblGrid>
      <w:tr>
        <w:trPr/>
        <w:tc>
          <w:tcPr>
            <w:tcW w:w="141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(excluding impairment charges)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87,378 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comprised of property, plant and equipment, by business unit are as follows:</w:t>
      </w:r>
    </w:p>
    <w:tbl>
      <w:tblPr>
        <w:tblW w:w="5094" w:type="dxa"/>
        <w:jc w:val="left"/>
        <w:tblInd w:w="0" w:type="dxa"/>
        <w:tblLayout w:type="fixed"/>
        <w:tblCellMar>
          <w:top w:w="28" w:type="dxa"/>
          <w:left w:w="28" w:type="dxa"/>
          <w:bottom w:w="28" w:type="dxa"/>
          <w:right w:w="28" w:type="dxa"/>
        </w:tblCellMar>
      </w:tblPr>
      <w:tblGrid>
        <w:gridCol w:w="710"/>
        <w:gridCol w:w="626"/>
        <w:gridCol w:w="628"/>
        <w:gridCol w:w="276"/>
        <w:gridCol w:w="1081"/>
        <w:gridCol w:w="142"/>
        <w:gridCol w:w="109"/>
        <w:gridCol w:w="109"/>
        <w:gridCol w:w="109"/>
        <w:gridCol w:w="231"/>
        <w:gridCol w:w="905"/>
        <w:gridCol w:w="16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comprised of property, plant and equipment, by operating regions are as follows:</w:t>
      </w:r>
    </w:p>
    <w:tbl>
      <w:tblPr>
        <w:tblW w:w="5095" w:type="dxa"/>
        <w:jc w:val="left"/>
        <w:tblInd w:w="0" w:type="dxa"/>
        <w:tblLayout w:type="fixed"/>
        <w:tblCellMar>
          <w:top w:w="28" w:type="dxa"/>
          <w:left w:w="28" w:type="dxa"/>
          <w:bottom w:w="28" w:type="dxa"/>
          <w:right w:w="28" w:type="dxa"/>
        </w:tblCellMar>
      </w:tblPr>
      <w:tblGrid>
        <w:gridCol w:w="713"/>
        <w:gridCol w:w="624"/>
        <w:gridCol w:w="628"/>
        <w:gridCol w:w="276"/>
        <w:gridCol w:w="1081"/>
        <w:gridCol w:w="142"/>
        <w:gridCol w:w="109"/>
        <w:gridCol w:w="109"/>
        <w:gridCol w:w="109"/>
        <w:gridCol w:w="231"/>
        <w:gridCol w:w="905"/>
        <w:gridCol w:w="168"/>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by operating regions are as follows:</w:t>
      </w:r>
    </w:p>
    <w:tbl>
      <w:tblPr>
        <w:tblW w:w="8643" w:type="dxa"/>
        <w:jc w:val="left"/>
        <w:tblInd w:w="0" w:type="dxa"/>
        <w:tblLayout w:type="fixed"/>
        <w:tblCellMar>
          <w:top w:w="28" w:type="dxa"/>
          <w:left w:w="28" w:type="dxa"/>
          <w:bottom w:w="28" w:type="dxa"/>
          <w:right w:w="28" w:type="dxa"/>
        </w:tblCellMar>
      </w:tblPr>
      <w:tblGrid>
        <w:gridCol w:w="588"/>
        <w:gridCol w:w="515"/>
        <w:gridCol w:w="517"/>
        <w:gridCol w:w="276"/>
        <w:gridCol w:w="1081"/>
        <w:gridCol w:w="142"/>
        <w:gridCol w:w="109"/>
        <w:gridCol w:w="109"/>
        <w:gridCol w:w="109"/>
        <w:gridCol w:w="276"/>
        <w:gridCol w:w="1081"/>
        <w:gridCol w:w="142"/>
        <w:gridCol w:w="109"/>
        <w:gridCol w:w="109"/>
        <w:gridCol w:w="109"/>
        <w:gridCol w:w="276"/>
        <w:gridCol w:w="1081"/>
        <w:gridCol w:w="142"/>
        <w:gridCol w:w="109"/>
        <w:gridCol w:w="109"/>
        <w:gridCol w:w="109"/>
        <w:gridCol w:w="243"/>
        <w:gridCol w:w="1125"/>
        <w:gridCol w:w="177"/>
      </w:tblGrid>
      <w:tr>
        <w:trPr/>
        <w:tc>
          <w:tcPr>
            <w:tcW w:w="58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29, 2025. The following discussion may contain forward-looking statements and should be read in conjunction with the “Cautionary Statement Regarding Forward-Looking Information” in this discussion. When used in this report, the terms “we,” “us,” “our,” “Haemonetics” and the “Company” mean Haemonetics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our broader strategic objectives.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Acquisition of Vivasure Medical Limited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9, 2026, subsequent to the end of the third quarter of fiscal 2026, we acquired Vivasure Medical Limited (“Vivasure”) for gross upfront consideration of $116.4 million, with $60.7 million paid in cash at closing after giving effect to the value of certain prior investments and loans made by us to Vivasure, as well as other customary closing adjustments. The definitive agreement between the parties also provides for up to $98.9 million of additional contingent consideration based on sales growth and the achievement of certain other milestones, also subject to adjustment based on the value of certain prior investments and loans. We financed this transaction through available cash on hand.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Vivasure is a Galway, Ireland-based company pioneering next-generation technology for percutaneous vessel closure. Vivasure’s PerQseal Elite system uses a proprietary bioabsorbable patch to seal large-bore (up to 26 F) arteriotomies and venotomies from inside the vessel, offering a sutureless, fully absorbable solution for structural heart and endovascular procedures. In 2025, Vivasure submitted a Premarket Approval application to the U.S. FDA for the PerQseal Elite arterial closure system and received CE Mark approval in Europe for both arterial and venous indications. The addition of Vivasure expands our Hospital business unit portfolio in the interventional cardiology market and will be included in the Hospital reportable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we repurchased 360,457 shares of our common stock for $25.0 million under a previously executed Rule 10b5-1 trading plan. The total remaining authorization for repurchases of our common stock under the 2025 share repurchase program is $400.0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Summary</w:t>
      </w:r>
    </w:p>
    <w:tbl>
      <w:tblPr>
        <w:tblW w:w="10205" w:type="dxa"/>
        <w:jc w:val="left"/>
        <w:tblInd w:w="0" w:type="dxa"/>
        <w:tblLayout w:type="fixed"/>
        <w:tblCellMar>
          <w:top w:w="28" w:type="dxa"/>
          <w:left w:w="28" w:type="dxa"/>
          <w:bottom w:w="28" w:type="dxa"/>
          <w:right w:w="28" w:type="dxa"/>
        </w:tblCellMar>
      </w:tblPr>
      <w:tblGrid>
        <w:gridCol w:w="463"/>
        <w:gridCol w:w="305"/>
        <w:gridCol w:w="307"/>
        <w:gridCol w:w="212"/>
        <w:gridCol w:w="830"/>
        <w:gridCol w:w="272"/>
        <w:gridCol w:w="109"/>
        <w:gridCol w:w="109"/>
        <w:gridCol w:w="109"/>
        <w:gridCol w:w="212"/>
        <w:gridCol w:w="830"/>
        <w:gridCol w:w="272"/>
        <w:gridCol w:w="109"/>
        <w:gridCol w:w="109"/>
        <w:gridCol w:w="109"/>
        <w:gridCol w:w="300"/>
        <w:gridCol w:w="228"/>
        <w:gridCol w:w="443"/>
        <w:gridCol w:w="109"/>
        <w:gridCol w:w="109"/>
        <w:gridCol w:w="109"/>
        <w:gridCol w:w="212"/>
        <w:gridCol w:w="830"/>
        <w:gridCol w:w="272"/>
        <w:gridCol w:w="109"/>
        <w:gridCol w:w="109"/>
        <w:gridCol w:w="109"/>
        <w:gridCol w:w="211"/>
        <w:gridCol w:w="976"/>
        <w:gridCol w:w="271"/>
        <w:gridCol w:w="109"/>
        <w:gridCol w:w="109"/>
        <w:gridCol w:w="109"/>
        <w:gridCol w:w="341"/>
        <w:gridCol w:w="275"/>
        <w:gridCol w:w="508"/>
      </w:tblGrid>
      <w:tr>
        <w:trPr/>
        <w:tc>
          <w:tcPr>
            <w:tcW w:w="46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r>
      <w:tr>
        <w:trPr/>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59.7 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55.5 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59.7 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409,615 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14.2 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179,759 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18.2 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(18.6)</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155.0 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156,429 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pre-tax income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25.4 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13.2 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10.8 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decreased 2.7% and 4.1% during the three and nine months ended December 27, 2025, respectively, as compared with the same periods of fiscal 2025. During the three months ended December 27, 2025, a revenue decrease in Blood Center, primarily driven by the divestiture of the Whole Blood product line in fiscal 2025, was partially offset by an increase in Plasma, primarily attributable to growth in U.S. plasma collections and prior innovation benefits. During the nine months ended December 27, 2025, revenue decreases in Plasma and Blood Center, primarily driven by the previously announced customer transition of CSL Plasma and the divestiture of the Whole Blood product line in fiscal 2025, were partially offset by an increase in Hospital, primarily attributable to the Hemostasis Management product line within the Blood Management Technologies franchise.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14.2% and 19.5% during the three and nine months ended December 27, 2025, respectively, as compared with the same periods of fiscal 2025. The increase during the three and nine months ended December 27, 2025 was primarily due to pricing benefits across all business units, as well as decreased restructuring costs related to portfolio rationalization initiatives and decreased amortization of fair value inventory step-up related to the acquisition of Advanced Cooling Therapy, Inc., d/b/a Attune Medical (“Attune Medical”), partially offset by lower gains on sales of property, plant and equipment.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Net Revenues by Geography</w:t>
      </w:r>
    </w:p>
    <w:tbl>
      <w:tblPr>
        <w:tblW w:w="10205" w:type="dxa"/>
        <w:jc w:val="left"/>
        <w:tblInd w:w="0" w:type="dxa"/>
        <w:tblLayout w:type="fixed"/>
        <w:tblCellMar>
          <w:top w:w="28" w:type="dxa"/>
          <w:left w:w="28" w:type="dxa"/>
          <w:bottom w:w="28" w:type="dxa"/>
          <w:right w:w="28" w:type="dxa"/>
        </w:tblCellMar>
      </w:tblPr>
      <w:tblGrid>
        <w:gridCol w:w="557"/>
        <w:gridCol w:w="488"/>
        <w:gridCol w:w="485"/>
        <w:gridCol w:w="263"/>
        <w:gridCol w:w="1031"/>
        <w:gridCol w:w="135"/>
        <w:gridCol w:w="109"/>
        <w:gridCol w:w="109"/>
        <w:gridCol w:w="109"/>
        <w:gridCol w:w="237"/>
        <w:gridCol w:w="1099"/>
        <w:gridCol w:w="122"/>
        <w:gridCol w:w="109"/>
        <w:gridCol w:w="109"/>
        <w:gridCol w:w="109"/>
        <w:gridCol w:w="289"/>
        <w:gridCol w:w="275"/>
        <w:gridCol w:w="687"/>
        <w:gridCol w:w="109"/>
        <w:gridCol w:w="109"/>
        <w:gridCol w:w="109"/>
        <w:gridCol w:w="283"/>
        <w:gridCol w:w="273"/>
        <w:gridCol w:w="682"/>
        <w:gridCol w:w="109"/>
        <w:gridCol w:w="109"/>
        <w:gridCol w:w="109"/>
        <w:gridCol w:w="417"/>
        <w:gridCol w:w="399"/>
        <w:gridCol w:w="1175"/>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color w:val="000000"/>
              </w:rPr>
              <w:t xml:space="preserve"> </w:t>
            </w:r>
            <w:r>
              <w:rPr>
                <w:rFonts w:ascii="Times New Roman;serif" w:hAnsi="Times New Roman;serif"/>
                <w:b/>
                <w:color w:val="000000"/>
                <w:sz w:val="10"/>
              </w:rPr>
              <w:t>(1)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pPr>
      <w:r>
        <w:rPr>
          <w:rFonts w:ascii="Times New Roman;serif" w:hAnsi="Times New Roman;serif"/>
          <w:b w:val="false"/>
          <w:color w:val="000000"/>
          <w:sz w:val="20"/>
          <w:shd w:fill="FFFFFF" w:val="clear"/>
        </w:rPr>
        <w:t>Our principal operations are in the United St</w:t>
      </w:r>
      <w:r>
        <w:rPr>
          <w:rFonts w:ascii="Times New Roman;serif" w:hAnsi="Times New Roman;serif"/>
          <w:b w:val="false"/>
          <w:color w:val="000000"/>
          <w:sz w:val="20"/>
        </w:rPr>
        <w:t xml:space="preserve">ates, Europe, Japan and other parts of Asia. We market and sell our products in approximately 96 countries through a combination of our direct sales force and independent distributors. During the three and nine months ended December 27, 2025, our revenue generated outside the U.S. was 26.9% and 26.1%, respectively, of total net revenues, as compared with 26.1% and 26.0% during the three and nine months ended December 28, 2024, respectively. International sales are generally conducted in local currencies, primarily Japanese Yen, Euro and Chinese Yuan. Our results of operations are impacted by changes in foreign exchange rates, particularly in the value of the Yen, Euro and Yuan, relative to the U.S. Dollar. </w:t>
      </w:r>
      <w:r>
        <w:rPr>
          <w:rFonts w:ascii="Times New Roman;serif" w:hAnsi="Times New Roman;serif"/>
          <w:b w:val="false"/>
          <w:color w:val="000000"/>
          <w:sz w:val="20"/>
          <w:shd w:fill="FFFFFF" w:val="clear"/>
        </w:rPr>
        <w:t>We have placed foreign currency hedges on certain foreign currencies to mitigate our exposure to foreign currency fluctuations.</w:t>
      </w:r>
    </w:p>
    <w:p>
      <w:pPr>
        <w:pStyle w:val="TextBody"/>
        <w:bidi w:val="0"/>
        <w:spacing w:lineRule="auto" w:line="288" w:before="0" w:after="180"/>
        <w:jc w:val="both"/>
        <w:rPr/>
      </w:pPr>
      <w:r>
        <w:rPr>
          <w:rFonts w:ascii="Times New Roman;serif" w:hAnsi="Times New Roman;serif"/>
          <w:b w:val="false"/>
          <w:color w:val="000000"/>
          <w:sz w:val="20"/>
          <w:shd w:fill="FFFFFF" w:val="clear"/>
        </w:rPr>
        <w:t>Please see the section entitled “</w:t>
      </w:r>
      <w:r>
        <w:rPr>
          <w:rFonts w:ascii="Times New Roman;serif" w:hAnsi="Times New Roman;serif"/>
          <w:b w:val="false"/>
          <w:i/>
          <w:color w:val="000000"/>
          <w:sz w:val="20"/>
          <w:shd w:fill="FFFFFF" w:val="clear"/>
        </w:rPr>
        <w:t>Foreign Exchange</w:t>
      </w:r>
      <w:r>
        <w:rPr>
          <w:color w:val="000000"/>
          <w:shd w:fill="FFFFFF" w:val="clear"/>
        </w:rPr>
        <w:t xml:space="preserve">” </w:t>
      </w:r>
      <w:r>
        <w:rPr>
          <w:rFonts w:ascii="Times New Roman;serif" w:hAnsi="Times New Roman;serif"/>
          <w:b w:val="false"/>
          <w:color w:val="000000"/>
          <w:sz w:val="20"/>
          <w:shd w:fill="FFFFFF" w:val="clear"/>
        </w:rPr>
        <w:t>in this discussion for a more complete explanation of how foreign currency affects our business and our strategy for managing this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923"/>
        <w:gridCol w:w="621"/>
        <w:gridCol w:w="628"/>
        <w:gridCol w:w="243"/>
        <w:gridCol w:w="954"/>
        <w:gridCol w:w="125"/>
        <w:gridCol w:w="109"/>
        <w:gridCol w:w="109"/>
        <w:gridCol w:w="109"/>
        <w:gridCol w:w="227"/>
        <w:gridCol w:w="1053"/>
        <w:gridCol w:w="117"/>
        <w:gridCol w:w="109"/>
        <w:gridCol w:w="109"/>
        <w:gridCol w:w="109"/>
        <w:gridCol w:w="368"/>
        <w:gridCol w:w="292"/>
        <w:gridCol w:w="592"/>
        <w:gridCol w:w="109"/>
        <w:gridCol w:w="109"/>
        <w:gridCol w:w="109"/>
        <w:gridCol w:w="263"/>
        <w:gridCol w:w="237"/>
        <w:gridCol w:w="592"/>
        <w:gridCol w:w="109"/>
        <w:gridCol w:w="109"/>
        <w:gridCol w:w="109"/>
        <w:gridCol w:w="445"/>
        <w:gridCol w:w="316"/>
        <w:gridCol w:w="901"/>
      </w:tblGrid>
      <w:tr>
        <w:trPr/>
        <w:tc>
          <w:tcPr>
            <w:tcW w:w="9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net revenues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 Blood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net revenues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Interventional Technologies</w:t>
            </w:r>
            <w:r>
              <w:rPr>
                <w:rFonts w:ascii="Times New Roman;serif" w:hAnsi="Times New Roman;serif"/>
                <w:b w:val="false"/>
                <w:color w:val="000000"/>
                <w:sz w:val="13"/>
              </w:rPr>
              <w:t>(2)</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Blood Management Technologies</w:t>
            </w:r>
            <w:r>
              <w:rPr>
                <w:rFonts w:ascii="Times New Roman;serif" w:hAnsi="Times New Roman;serif"/>
                <w:b w:val="false"/>
                <w:color w:val="000000"/>
                <w:sz w:val="13"/>
              </w:rPr>
              <w:t>(3)</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net revenues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net revenues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 Blood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net revenues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Interventional Technologies</w:t>
            </w:r>
            <w:r>
              <w:rPr>
                <w:rFonts w:ascii="Times New Roman;serif" w:hAnsi="Times New Roman;serif"/>
                <w:b w:val="false"/>
                <w:color w:val="000000"/>
                <w:sz w:val="13"/>
              </w:rPr>
              <w:t>(2)</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Blood Management Technologies</w:t>
            </w:r>
            <w:r>
              <w:rPr>
                <w:rFonts w:ascii="Times New Roman;serif" w:hAnsi="Times New Roman;serif"/>
                <w:b w:val="false"/>
                <w:color w:val="000000"/>
                <w:sz w:val="13"/>
              </w:rPr>
              <w:t>(3)</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net revenues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987,676 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1,030,225 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6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Interventional Technologies includes Vascular Closure, Sensor Guided Technologies and Esophageal Protection product lines of the Hospital business unit.</w:t>
      </w:r>
    </w:p>
    <w:p>
      <w:pPr>
        <w:pStyle w:val="TextBody"/>
        <w:bidi w:val="0"/>
        <w:spacing w:lineRule="auto" w:line="288" w:before="0" w:after="6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16"/>
        </w:rPr>
        <w:t>Blood Management Technologies includes Hemostasis Management, Cell Salvage and Transfusion Management product lines of the Hospital business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Plasma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Plasma revenue increased by 3.5% and decreased by 3.6%, respectively, on an as reported basis and increased by 2.8% and decreased by 4.1%, respectively, without the effect of foreign exchange during the three and nine months ended December 27, 2025, as compared with the same periods of fiscal 2025. The increase during the three months ended December 27, 2025 was driven by increased growth in U.S. plasma collections and prior innovation benefits. The decrease during the nine months ended December 27, 2025, was driven by lower sales volumes in North America, primarily relating to the previously announced customer transition of CSL Plasma, which was partially offset by prior innovation benefits, share gains and upfront revenue recognition on execution of a renegotiated long-term software agreement with an existing software customer in the first quarter of fiscal 2026. We do not expect any North America disposable sales to CSL Plasma in fiscal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Blood Center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Blood Center revenue decreased by 19.6% and 19.6%, respectively, on an as reported basis and by 20.7% and 20.8%, respectively, without the effect of foreign exchange during the three and nine months ended December 27, 2025, as compared with the same periods of fiscal 2025. The decrease was primarily driven by the divestiture of our Whole Blood product line, which was completed in January 2025, partially offset by product mix.</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Hospital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Hospital revenue decreased by 0.3% and increased by 2.9%, respectively, on an as reported basis and decreased by 0.9% and increased by 2.4%, respectively, without the effect of foreign exchange during the three and nine months ended December 27, 2025, as compared with the same periods of fiscal 2025. The decrease during the three months ended December 27, 2025 was driven by lower sales volume in the Interventional Technologies franchise, offset by an increase in sales volume in the Hemostasis Management product line within the Blood Management Technologies franchise. The increase during the nine months ended December 27, 2025 was primarily attributable to the Hemostasis Management product line within the Blood Management Technologies franchise, driven by volume growth and pricing benefits, which was partially offset by lower volume in the Interventional Technologies franchise.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Gross Profit</w:t>
      </w:r>
    </w:p>
    <w:tbl>
      <w:tblPr>
        <w:tblW w:w="10205" w:type="dxa"/>
        <w:jc w:val="left"/>
        <w:tblInd w:w="0" w:type="dxa"/>
        <w:tblLayout w:type="fixed"/>
        <w:tblCellMar>
          <w:top w:w="28" w:type="dxa"/>
          <w:left w:w="28" w:type="dxa"/>
          <w:bottom w:w="28" w:type="dxa"/>
          <w:right w:w="28" w:type="dxa"/>
        </w:tblCellMar>
      </w:tblPr>
      <w:tblGrid>
        <w:gridCol w:w="537"/>
        <w:gridCol w:w="458"/>
        <w:gridCol w:w="449"/>
        <w:gridCol w:w="237"/>
        <w:gridCol w:w="928"/>
        <w:gridCol w:w="303"/>
        <w:gridCol w:w="109"/>
        <w:gridCol w:w="109"/>
        <w:gridCol w:w="109"/>
        <w:gridCol w:w="237"/>
        <w:gridCol w:w="928"/>
        <w:gridCol w:w="303"/>
        <w:gridCol w:w="109"/>
        <w:gridCol w:w="109"/>
        <w:gridCol w:w="109"/>
        <w:gridCol w:w="289"/>
        <w:gridCol w:w="280"/>
        <w:gridCol w:w="699"/>
        <w:gridCol w:w="109"/>
        <w:gridCol w:w="109"/>
        <w:gridCol w:w="109"/>
        <w:gridCol w:w="286"/>
        <w:gridCol w:w="278"/>
        <w:gridCol w:w="693"/>
        <w:gridCol w:w="109"/>
        <w:gridCol w:w="109"/>
        <w:gridCol w:w="109"/>
        <w:gridCol w:w="412"/>
        <w:gridCol w:w="400"/>
        <w:gridCol w:w="1180"/>
      </w:tblGrid>
      <w:tr>
        <w:trPr/>
        <w:tc>
          <w:tcPr>
            <w:tcW w:w="5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by 4.6% and 6.0%, respectively, on an as reported basis and by 3.4% and 4.9%, respectively, without the effect of foreign exchange during the three and nine months ended December 27, 2025, as compared with the same periods of fiscal 2025. The increase was driven primarily by the continued transformation of the product portfolio to higher margin offerings, benefits from product innovation, decreased restructuring costs related to portfolio rationalization initiatives, and decreased amortization of fair value inventory step-up related to the Attune Medical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Expenses</w:t>
      </w:r>
    </w:p>
    <w:tbl>
      <w:tblPr>
        <w:tblW w:w="10205" w:type="dxa"/>
        <w:jc w:val="left"/>
        <w:tblInd w:w="0" w:type="dxa"/>
        <w:tblLayout w:type="fixed"/>
        <w:tblCellMar>
          <w:top w:w="28" w:type="dxa"/>
          <w:left w:w="28" w:type="dxa"/>
          <w:bottom w:w="28" w:type="dxa"/>
          <w:right w:w="28" w:type="dxa"/>
        </w:tblCellMar>
      </w:tblPr>
      <w:tblGrid>
        <w:gridCol w:w="862"/>
        <w:gridCol w:w="703"/>
        <w:gridCol w:w="707"/>
        <w:gridCol w:w="224"/>
        <w:gridCol w:w="878"/>
        <w:gridCol w:w="287"/>
        <w:gridCol w:w="109"/>
        <w:gridCol w:w="109"/>
        <w:gridCol w:w="109"/>
        <w:gridCol w:w="224"/>
        <w:gridCol w:w="878"/>
        <w:gridCol w:w="287"/>
        <w:gridCol w:w="109"/>
        <w:gridCol w:w="109"/>
        <w:gridCol w:w="109"/>
        <w:gridCol w:w="351"/>
        <w:gridCol w:w="280"/>
        <w:gridCol w:w="570"/>
        <w:gridCol w:w="109"/>
        <w:gridCol w:w="109"/>
        <w:gridCol w:w="109"/>
        <w:gridCol w:w="267"/>
        <w:gridCol w:w="229"/>
        <w:gridCol w:w="571"/>
        <w:gridCol w:w="109"/>
        <w:gridCol w:w="109"/>
        <w:gridCol w:w="109"/>
        <w:gridCol w:w="445"/>
        <w:gridCol w:w="289"/>
        <w:gridCol w:w="845"/>
      </w:tblGrid>
      <w:tr>
        <w:trPr/>
        <w:tc>
          <w:tcPr>
            <w:tcW w:w="86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39.8 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321,488 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321,653 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289.0 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289.0 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0.9 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409,615 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405,426 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10.4% and increased by 2.0%, respectively, on an as reported basis and decreased by 10.6% and increased by 1.9%, respectively, without the effect of foreign exchange during the three and nine months ended December 27, 2025, as compared with the same periods of fiscal 2025. The decrease during the three months ended December 27, 2025 was primarily due to lower costs related to compliance with the European Union Medical Device Regulation and In Vitro Diagnostic Regulation requirements compared to the same period in fiscal 2025. The increase during the nine months ended December 27, 2025 was primarily due to increased investments into product innovation.</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SG&amp;A expenses increased by 2.5% and decreased by 0.1%, respectively, on an as reported basis and increased by 1.0% and decreased by 0.9%, respectively, without the effect of foreign exchange during the three and nine months ended December 27, 2025, as compared with the same periods of fiscal 2025. The increase during the three months ended December 27, 2025 was primarily due to performance-based compensation costs and litigation-related charges. The decrease during the nine months ended December 27, 2025 was primarily driven by lower integration and transaction costs and freight costs, partially offset by lower gains on sales of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lineRule="auto" w:line="288" w:before="0" w:after="180"/>
        <w:jc w:val="both"/>
        <w:rPr/>
      </w:pPr>
      <w:r>
        <w:rPr>
          <w:rFonts w:ascii="Times New Roman;serif" w:hAnsi="Times New Roman;serif"/>
          <w:b w:val="false"/>
          <w:color w:val="000000"/>
          <w:sz w:val="20"/>
          <w:shd w:fill="FFFFFF" w:val="clear"/>
        </w:rPr>
        <w:t>We recognized amortization expense related to o</w:t>
      </w:r>
      <w:r>
        <w:rPr>
          <w:rFonts w:ascii="Times New Roman;serif" w:hAnsi="Times New Roman;serif"/>
          <w:b w:val="false"/>
          <w:color w:val="000000"/>
          <w:sz w:val="20"/>
        </w:rPr>
        <w:t xml:space="preserve">ur acquired intangible assets of $10.9 million and $33.5 million, respectively, during the three and nine months ended December 27, 2025, as compared with $12.2 million and $37.0 million, respectively,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nine months ended December 28, 2024. The decrease was primarily due to certain intangible assets becoming fully amortized or impaired during fiscal 2025 and fiscal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We recognized impairment charges of intangible assets of </w:t>
      </w:r>
      <w:r>
        <w:rPr>
          <w:rFonts w:ascii="Times New Roman;serif" w:hAnsi="Times New Roman;serif"/>
          <w:b w:val="false"/>
          <w:color w:val="000000"/>
          <w:sz w:val="20"/>
        </w:rPr>
        <w:t xml:space="preserve">$0.7 million and $9.3 million, respectively, during the three and nine months ended December 27, 2025, as compared with no impairment and $2.4 million, respectively, during the three and nine months ended December 28, 2024. The impairment charges in fiscal 2026 were related to the intellectual property associated with the HAS viscoelastic diagnostic devices, related assays and disposables. For further discussion, refer to Note 11,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and Other Expense, Net</w:t>
      </w:r>
    </w:p>
    <w:p>
      <w:pPr>
        <w:pStyle w:val="TextBody"/>
        <w:bidi w:val="0"/>
        <w:spacing w:lineRule="auto" w:line="288" w:before="0" w:after="180"/>
        <w:jc w:val="both"/>
        <w:rPr/>
      </w:pPr>
      <w:r>
        <w:rPr>
          <w:rFonts w:ascii="Times New Roman;serif" w:hAnsi="Times New Roman;serif"/>
          <w:b w:val="false"/>
          <w:color w:val="000000"/>
          <w:sz w:val="20"/>
          <w:shd w:fill="FFFFFF" w:val="clear"/>
        </w:rPr>
        <w:t>Interest a</w:t>
      </w:r>
      <w:r>
        <w:rPr>
          <w:rFonts w:ascii="Times New Roman;serif" w:hAnsi="Times New Roman;serif"/>
          <w:b w:val="false"/>
          <w:color w:val="000000"/>
          <w:sz w:val="20"/>
        </w:rPr>
        <w:t xml:space="preserve">nd other expense, net decreased by $1.7 million and increased by $14.2 million, respectively, during the three and nine months ended December 27, 2025, as compared with the same periods of fiscal 2025. The decrease during the three months ended December 27, 2025 was primarily due to </w:t>
      </w:r>
      <w:r>
        <w:rPr>
          <w:rFonts w:ascii="Times New Roman;serif" w:hAnsi="Times New Roman;serif"/>
          <w:b w:val="false"/>
          <w:color w:val="000000"/>
          <w:sz w:val="20"/>
          <w:shd w:fill="FFFFFF" w:val="clear"/>
        </w:rPr>
        <w:t>unrealized and realized foreign currency exchange gains.</w:t>
      </w:r>
      <w:r>
        <w:rPr>
          <w:color w:val="000000"/>
        </w:rPr>
        <w:t xml:space="preserve"> </w:t>
      </w:r>
      <w:r>
        <w:rPr>
          <w:rFonts w:ascii="Times New Roman;serif" w:hAnsi="Times New Roman;serif"/>
          <w:b w:val="false"/>
          <w:color w:val="000000"/>
          <w:sz w:val="20"/>
        </w:rPr>
        <w:t xml:space="preserve">The increase during the nine months ended December 27, 2025 was primarily driven by gains recognized in the first quarter of fiscal 2025 on the repurchase of $200.0 million of aggregate principal of our 0.0% convertible senior notes due in 2026 (the “2026 Notes”). For further discussion on the 2026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is favorably impacted by the jurisdictional mix of earnings and research credits generated.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December 27, 2025, we reported income tax expense of $15.2 million and $39.0 million, respectively, representing effective tax rates of 25.4% and 24.9%, respectively. The effective tax rate for the nine months ended December 27, 2025 includes $0.5 million of discrete tax expense, primarily related to stock compensation shortfalls.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December 28, 2024, we reported income tax expense of $12.4 million and $31.6 million, respectively, representing effective tax rates of 24.9% and 22.4%, respectively. The effective tax rate for the three months ended December 28, 2024 includes an immaterial discrete tax benefit. The effective tax rate for the nine months ended December 28, 2024 includes $3.3 million of discrete tax benefit, primarily related to stock compensation windfalls. The discrete benefit also includes other items such as provision to return differences.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reported tax rate for the three months ended December 27, 2025, compared to the same period in fiscal 2025, was relatively consistent. The increase in the reported tax rate for the nine months ended December 27, 2025, compared to the same period in fiscal 2025, relates primarily to the decrease in net stock compensation windfall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Resources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contains certain key performance indicators we believe depict our liquidity and cash flow position:</w:t>
      </w:r>
    </w:p>
    <w:tbl>
      <w:tblPr>
        <w:tblW w:w="7014" w:type="dxa"/>
        <w:jc w:val="left"/>
        <w:tblInd w:w="0" w:type="dxa"/>
        <w:tblLayout w:type="fixed"/>
        <w:tblCellMar>
          <w:top w:w="28" w:type="dxa"/>
          <w:left w:w="28" w:type="dxa"/>
          <w:bottom w:w="28" w:type="dxa"/>
          <w:right w:w="28" w:type="dxa"/>
        </w:tblCellMar>
      </w:tblPr>
      <w:tblGrid>
        <w:gridCol w:w="1407"/>
        <w:gridCol w:w="1235"/>
        <w:gridCol w:w="1242"/>
        <w:gridCol w:w="259"/>
        <w:gridCol w:w="1107"/>
        <w:gridCol w:w="133"/>
        <w:gridCol w:w="109"/>
        <w:gridCol w:w="109"/>
        <w:gridCol w:w="109"/>
        <w:gridCol w:w="217"/>
        <w:gridCol w:w="929"/>
        <w:gridCol w:w="158"/>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Availability under revolving credit facilities</w:t>
            </w:r>
            <w:r>
              <w:rPr>
                <w:rFonts w:ascii="Times New Roman;serif" w:hAnsi="Times New Roman;serif"/>
                <w:b w:val="false"/>
                <w:color w:val="000000"/>
                <w:sz w:val="13"/>
              </w:rPr>
              <w:t>(1)</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debt position</w:t>
            </w:r>
            <w:r>
              <w:rPr>
                <w:rFonts w:ascii="Times New Roman;serif" w:hAnsi="Times New Roman;serif"/>
                <w:b w:val="false"/>
                <w:color w:val="000000"/>
                <w:sz w:val="13"/>
              </w:rPr>
              <w:t>(2)</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sales outstanding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turnover</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Availability under our revolving credit facilities is reduced by eligible outstanding letters of credit allowable of $1.3 million as of December 27, 2025 and March 29, 2025, respectively.</w:t>
      </w:r>
    </w:p>
    <w:p>
      <w:pPr>
        <w:pStyle w:val="TextBody"/>
        <w:bidi w:val="0"/>
        <w:spacing w:lineRule="auto" w:line="288" w:before="0" w:after="18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Net debt position is the sum of cash and cash equivalents less total debt.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2026 Notes,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convertible senior notes due in 2029 (the “2029 Notes”), and our </w:t>
      </w:r>
      <w:r>
        <w:rPr>
          <w:rFonts w:ascii="Times New Roman;serif" w:hAnsi="Times New Roman;serif"/>
          <w:b w:val="false"/>
          <w:color w:val="000000"/>
          <w:sz w:val="20"/>
        </w:rPr>
        <w:t>senior unsecured term loan</w:t>
      </w:r>
      <w:r>
        <w:rPr>
          <w:rFonts w:ascii="Times New Roman;serif" w:hAnsi="Times New Roman;serif"/>
          <w:b w:val="false"/>
          <w:color w:val="000000"/>
          <w:sz w:val="20"/>
          <w:shd w:fill="FFFFFF" w:val="clear"/>
        </w:rPr>
        <w:t>. Our e</w:t>
      </w:r>
      <w:r>
        <w:rPr>
          <w:rFonts w:ascii="Times New Roman;serif" w:hAnsi="Times New Roman;serif"/>
          <w:b w:val="false"/>
          <w:color w:val="000000"/>
          <w:sz w:val="20"/>
        </w:rPr>
        <w:t>xpected cash outlays relate primarily to acquisitions, investments, capital expenditures, share repurchases, the market and regional alignment initiative and cash principal and interest payments under our revised credit agreements.</w:t>
      </w:r>
    </w:p>
    <w:p>
      <w:pPr>
        <w:pStyle w:val="TextBody"/>
        <w:bidi w:val="0"/>
        <w:spacing w:lineRule="auto" w:line="288" w:before="0" w:after="180"/>
        <w:jc w:val="both"/>
        <w:rPr/>
      </w:pPr>
      <w:r>
        <w:rPr>
          <w:rFonts w:ascii="Times New Roman;serif" w:hAnsi="Times New Roman;serif"/>
          <w:b w:val="false"/>
          <w:color w:val="000000"/>
          <w:sz w:val="20"/>
        </w:rPr>
        <w:t xml:space="preserve">As of December 27, 2025, we had $363.4 million in cash and cash equivalents, the majority of which is held in the U.S. or in countries from which it can be repatriated to the U.S. On January 9, 2026, subsequent to the end of the third quarter of fiscal 2026, we completed the acquisition of Vivasure. We paid $60.7 million in cash at closing, after giving effect to the value of certain prior investments and loans made by the Company to Vivasure as well as other customary closing adjustments. For further discussion, refer to Note 3, </w:t>
      </w:r>
      <w:r>
        <w:rPr>
          <w:rFonts w:ascii="Times New Roman;serif" w:hAnsi="Times New Roman;serif"/>
          <w:b w:val="false"/>
          <w:i/>
          <w:color w:val="000000"/>
          <w:sz w:val="20"/>
        </w:rPr>
        <w:t>Acquisitions, Divestitures and Strategic Investments</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0" w:after="180"/>
        <w:jc w:val="both"/>
        <w:rPr/>
      </w:pPr>
      <w:r>
        <w:rPr>
          <w:rFonts w:ascii="Times New Roman;serif" w:hAnsi="Times New Roman;serif"/>
          <w:b w:val="false"/>
          <w:color w:val="000000"/>
          <w:sz w:val="20"/>
        </w:rPr>
        <w:t xml:space="preserve">In the first quarter of fiscal 2025, we used a portion of the proceeds from the 2029 Notes to repurchase $200.0 million of the $500.0 million aggregate principal amount of our 2026 Notes for a total cost of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December 27, 2025, the $300.0 million remaining principal balance on the 2026 Notes was netted down by $0.3 million of remaining debt issuance costs, resulting in a net convertible note payable of $299.7 million. The 2026 Notes will mature on March 1, 2026, at which time we expect to settle the remaining principal that has not been already converted, redeemed or repurchased through a combination of cash on hand and borrowings under its revolving credit facility. As of September 1, 2025, holders of the 2026 Notes are able to convert all or a portion of their 2026 Notes, and as of December 27, 2025, there have been no conversions. Interest expense related to the 2026 Notes was $0.4 million and $1.2 million, respectively, for the three and nine months ended December 27, 2025 which is entirely attributable to the amortization of the debt issuance costs. The remaining debt issuance costs are amortized at an effective interest rate of 0.5%. For further discussion on the 2026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As of December 27, 2025, the $700.0 million principal balance of the 2029 Notes was netted down by $12.1 million of remaining debt issuance costs, resulting in a net convertible note payable of $687.9 million. The 2029 Notes will mature on June 1, 2029, unless earlier converted, redeemed or repurchased. As of December 27, 2025, the 2029 Notes were not convertible. Interest expense related to the 2029 Notes was $5.2 million and $15.6 million, respectively, for the three and nine months ended December 27, 2025, which includes nominal interest expense and the amortization of the debt issuance costs. For further discussion on the 2029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both"/>
        <w:rPr/>
      </w:pPr>
      <w:r>
        <w:rPr>
          <w:rFonts w:ascii="Times New Roman;serif" w:hAnsi="Times New Roman;serif"/>
          <w:b w:val="false"/>
          <w:color w:val="000000"/>
          <w:sz w:val="20"/>
        </w:rPr>
        <w:t xml:space="preserve">On April 30, 2024, we entered into a second amended and restated credit agreement with certain lenders to refinance our 2022 unsecured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our 2022 unsecured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our consolidated net leverage ratio (as specified in the second amended and restated credit agreement) at the applicable measurement date. The revolving credit facility carries an unused fee that ranges from 0.125% to 0.250% annually based on our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For further discussion on the 2029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27, 2025, $240.6 million was outstanding under the term loan with an effective interest rate of 5.8%. There were no outstanding borrowings under the revolving credit facilities as of December 27, 2025. We also had $18.2 million of uncommitted operating lines of credit to fund its global operations under which there were no outstanding borrowings as of December 27,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scheduled principal payments of $1.6 million required during the remainder of fiscal 2026 related to its term loan.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Share Repurchase Program</w:t>
      </w:r>
    </w:p>
    <w:p>
      <w:pPr>
        <w:pStyle w:val="TextBody"/>
        <w:bidi w:val="0"/>
        <w:spacing w:lineRule="auto" w:line="288" w:before="0" w:after="180"/>
        <w:jc w:val="both"/>
        <w:rPr/>
      </w:pPr>
      <w:r>
        <w:rPr>
          <w:rFonts w:ascii="Times New Roman;serif" w:hAnsi="Times New Roman;serif"/>
          <w:b w:val="false"/>
          <w:color w:val="000000"/>
          <w:sz w:val="20"/>
        </w:rPr>
        <w:t xml:space="preserve">In April 2025, our Board approved a new three-year share repurchase program authorizing the repurchase of up to $500.0 million of our common stock, based on market conditions, through April 2028. In September 2025, we completed a $75.0 million repurchase of our common stock pursuant to an ASR entered into with Citibank in August 2025. </w:t>
      </w:r>
      <w:r>
        <w:rPr>
          <w:rFonts w:ascii="Times New Roman;serif" w:hAnsi="Times New Roman;serif"/>
          <w:b w:val="false"/>
          <w:color w:val="000000"/>
          <w:sz w:val="20"/>
          <w:shd w:fill="FFFFFF" w:val="clear"/>
        </w:rPr>
        <w:t xml:space="preserve">The total number of shares repurchased under the ASR was </w:t>
      </w:r>
      <w:r>
        <w:rPr>
          <w:rFonts w:ascii="Times New Roman;serif" w:hAnsi="Times New Roman;serif"/>
          <w:b w:val="false"/>
          <w:color w:val="000000"/>
          <w:sz w:val="20"/>
        </w:rPr>
        <w:t>1,430,579</w:t>
      </w:r>
      <w:r>
        <w:rPr>
          <w:color w:val="000000"/>
          <w:shd w:fill="FFFFFF" w:val="clear"/>
        </w:rPr>
        <w:t xml:space="preserve"> </w:t>
      </w:r>
      <w:r>
        <w:rPr>
          <w:rFonts w:ascii="Times New Roman;serif" w:hAnsi="Times New Roman;serif"/>
          <w:b w:val="false"/>
          <w:color w:val="000000"/>
          <w:sz w:val="20"/>
          <w:shd w:fill="FFFFFF" w:val="clear"/>
        </w:rPr>
        <w:t>at an average price per share upon final settlement of $52.43.</w:t>
      </w:r>
      <w:r>
        <w:rPr>
          <w:color w:val="000000"/>
        </w:rPr>
        <w:t xml:space="preserve"> </w:t>
      </w:r>
      <w:r>
        <w:rPr>
          <w:rFonts w:ascii="Times New Roman;serif" w:hAnsi="Times New Roman;serif"/>
          <w:b w:val="false"/>
          <w:color w:val="000000"/>
          <w:sz w:val="20"/>
        </w:rPr>
        <w:t>As of December 27, 2025, the total remaining authorization for repurchases of our common stock under the share repurchase program was $425.0 million.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our Board approved a new market and regional alignment initiative and delegated authority to management to determine the details of the specific actions that will comprise the initiative. This strategic initiative is designed to improve operational performance and reduce costs by directing our resources toward the markets and geographies that offer the greatest growth and portfolio advancement opportunities. During the three and nine months ended December 27, 2025, we incurred restructuring and restructuring related costs of $1.5 million and $4.9 million, respectively, under this initiative. Total cumulative charges under the market and regional alignment initiative are $5.5 million as of December 27, 2025. The amounts and timing of estimated costs and savings are subject to change until finalized. The actual amounts and timing may vary materially based on various factors.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tbl>
      <w:tblPr>
        <w:tblW w:w="8837" w:type="dxa"/>
        <w:jc w:val="left"/>
        <w:tblInd w:w="0" w:type="dxa"/>
        <w:tblLayout w:type="fixed"/>
        <w:tblCellMar>
          <w:top w:w="28" w:type="dxa"/>
          <w:left w:w="28" w:type="dxa"/>
          <w:bottom w:w="28" w:type="dxa"/>
          <w:right w:w="28" w:type="dxa"/>
        </w:tblCellMar>
      </w:tblPr>
      <w:tblGrid>
        <w:gridCol w:w="1901"/>
        <w:gridCol w:w="1667"/>
        <w:gridCol w:w="1681"/>
        <w:gridCol w:w="276"/>
        <w:gridCol w:w="1081"/>
        <w:gridCol w:w="142"/>
        <w:gridCol w:w="109"/>
        <w:gridCol w:w="109"/>
        <w:gridCol w:w="109"/>
        <w:gridCol w:w="276"/>
        <w:gridCol w:w="1081"/>
        <w:gridCol w:w="142"/>
        <w:gridCol w:w="109"/>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(179,935)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 of exchange rate changes on cash and cash equivalents</w:t>
            </w:r>
            <w:r>
              <w:rPr>
                <w:rFonts w:ascii="Times New Roman;serif" w:hAnsi="Times New Roman;serif"/>
                <w:b w:val="false"/>
                <w:color w:val="000000"/>
                <w:sz w:val="13"/>
              </w:rPr>
              <w:t>(1)</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142,046 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$157.1 million during the nine months ended December 27, 2025, as compared with the same period of fiscal 2025. Cash flows from operations for fiscal 2026 period included net income of $117.5 million, adjusted for non-cash depreciation and amortization of $84.4 million, share-based compensation expense of $24.7 million, and impairment charges of $9.3 million, partially offset by cash outflows for working capital of $17.6 million driven by digital transformation costs. The fiscal 2025 period included cash inflows from net income of $109.7 million, adjusted for non-cash depreciation and amortization of $87.4 million and share-based compensation expense of $22.7 million, partially offset by cash outflows for non-cash adjustments related to a $12.6 million gain on the repurchase of convertible senior notes in the first quarter of fiscal 2025, a $14.6 million gain on the sale of property, plant and equipment, and unfavorable working capital adjustments of $141.7 million driven by increased outflows for inventory.</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$87.0 million during the nine months ended December 27, 2025, as compared with the same period of fiscal 2025. The fiscal 2026 period included cash outflows for strategic investments of $30.6 million, non-cash transfers from inventory of $42.6 million, and $15.1 million of capital expenditures. The fiscal 2025 period included cash outflows for the acquisition of Attune Medical of $150.9 million, capital expenditures of $23.6 million, other strategic investments of $13.5 million and non-cash transfers from inventory of $12.6 million, partially offset by proceeds from the sale of property, plant and equipment of $20.8 million.</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by $337.2 million during the nine months ended December 27, 2025, as compared with the same period of fiscal 2025. The fiscal 2026 period included cash outflows of $75.0 million for share repurchases, repayments of term loan borrowings of $4.7 million, and $5.0 million of employee equity award settlements. The fiscal 2025 period included cash inflows relating to proceeds from the sale of the 2029 Notes of $700.0 million and proceeds from term loan borrowings of $250.0 million, partially offset by cash outflows for the repurchase of a portion of the 2026 Notes of $185.5 million, capped call purchases of $88.2 million, term loan redemptions of $262.5 million, shares repurchases of $75.0 million, payments on the revolving credit facility of $50.0 million, debt issuance costs of $23.1 million, and $10.2 million of employee equity award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 xml:space="preserve">Note 2, </w:t>
      </w:r>
      <w:r>
        <w:rPr>
          <w:rFonts w:ascii="Times New Roman;serif" w:hAnsi="Times New Roman;serif"/>
          <w:b w:val="false"/>
          <w:i/>
          <w:color w:val="000000"/>
          <w:sz w:val="20"/>
        </w:rPr>
        <w:t>Recent Accounting Pronouncements</w:t>
      </w:r>
      <w:r>
        <w:rPr>
          <w:rFonts w:ascii="Times New Roman;serif" w:hAnsi="Times New Roman;serif"/>
          <w:b w:val="false"/>
          <w:color w:val="000000"/>
          <w:sz w:val="20"/>
          <w:shd w:fill="FFFFFF" w:val="clear"/>
        </w:rPr>
        <w:t>, to the condensed consolidated financial statements for a discussion of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Regarding Forward-Looking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w:t>
      </w:r>
      <w:r>
        <w:rPr>
          <w:color w:val="212121"/>
          <w:shd w:fill="FFFFFF" w:val="clear"/>
        </w:rPr>
        <w:t> </w:t>
      </w:r>
      <w:r>
        <w:rPr>
          <w:rFonts w:ascii="Times New Roman;serif" w:hAnsi="Times New Roman;serif"/>
          <w:b w:val="false"/>
          <w:color w:val="000000"/>
          <w:sz w:val="20"/>
          <w:shd w:fill="FFFFFF" w:val="clear"/>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our strategy for growth; product development, commercialization and anticipated performance and benefits; regulatory approvals; impacts of acquisitions or dispositions; and market position and expenditures.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forward-looking statements are based on current beliefs, expectations and assumptions regarding future events, they are subject to uncertainties, risks and changes that are difficult to predict and many of which are outside of our control. Investors should realize that if underlying assumptions prove inaccurate, or known or unknown risks or uncertainties materialize, our actual results and financial condition could vary materially from expectations and projections expressed or implied in its forward-looking statements. Investors are therefore cautioned not to rely on these forward-looking statements.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achieve our long-term strategic and financial-improvement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Demand for and market acceptance risks for new and existing products, including material reductions in purchasing from or loss of a significant customer;</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Product quality or safety concerns, leading to product recalls, withdrawals, regulatory action by the FDA (or similar non-U.S. regulatory agencies), reputational damage, declining sales or litigation;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Security breaches of our products or information technology systems, or those of our customers, suppliers or other busine</w:t>
      </w:r>
      <w:r>
        <w:rPr>
          <w:rFonts w:ascii="Times New Roman;serif" w:hAnsi="Times New Roman;serif"/>
          <w:b w:val="false"/>
          <w:color w:val="000000"/>
          <w:sz w:val="20"/>
        </w:rPr>
        <w:t>ss partners, which could impair our ability or our customers’ ability to conduct business or compromise sensitive information of the Company or its customers, suppliers and other business partners, or of customers’ patients;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potential that the expected strategic benefits and opportunities from completed or planned acquisitions, including our acquisitions of OpSens Inc., Attune Medical and Vivasure, divestitures or other strategic investments by us may not be realized or may take longer to realize than expected;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Pricing pressures resulting from trends toward healthcare cost containment, including the continued consolidation among healthcare providers and other market participants;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obtain the anticipated benefits of restructuring programs that we have or may undertake, including our market and regional alignment initiative;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enhanced requirements to obtain regulatory approval in the U.S. and around the world and the associated timing and cost of product approval;</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changes in U.S. and international tax laws, including with respect to the OBBBA;</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meet our debt obligations and raise additional capital when desired on terms reasonably acceptable to us;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impact of our convertible senior notes and related capped call transactions;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Geopolitical and economic conditions in China, Taiwan, Russia, Ukraine, the Middle East and other foreign jurisdictions where we do business;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execute and realize anticipated benefits from our investments in emerging economies;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effect of foreign currency fluctuations and interest rate fluctuations on our net revenues, expenses and resulting margins;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protect intellectual property and the outcome of patent litigation;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Costs and risks associated with product liability and other litigation claims we may be subject to now or in the future;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retain and attract key personnel;</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Market conditions impacting our stock price and/or our share repurchase program, and the possibility that such share repurchase program may be delayed, suspended or discontinued;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achieve against our corporate responsibility initiatives and meet evolving stakeholder expectations concerning corporate responsibility matters;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actual or threatened public health crises.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Investors should understand that it is not possible to predict or identify all such factors and should not consider the risks described above and in Item 1A. “Risk Factors” in our Annual Report on Form 10-K to be a complete statement of all potential risks and uncertainties. We do not undertake to publicly update any forward-looking statement that may be made from time to time, whether as a result of new information or future events or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exposures relative to market risk are due to foreign exchange risk, interest rate risk, concentration of credit risk and investment risk.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Foreign Exchange Risk</w:t>
      </w:r>
    </w:p>
    <w:p>
      <w:pPr>
        <w:pStyle w:val="TextBody"/>
        <w:bidi w:val="0"/>
        <w:spacing w:lineRule="auto" w:line="288" w:before="0" w:after="18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ur reporting currency is the U.S. Dollar, however, during the three months ended December 27, 2025 and December 28, 2024, 26.9% and 26.1%, respectively, of our sales were generated outside the U.S., and during the nine months ended December 27, 2025 and December 28, 2024, 26.1% and 26.0%, respectively, of our sales were generated outside the U.S., generally in foreign currencies.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w:t>
      </w:r>
      <w:r>
        <w:rPr>
          <w:rFonts w:ascii="Times New Roman;serif" w:hAnsi="Times New Roman;serif"/>
          <w:b w:val="false"/>
          <w:color w:val="000000"/>
          <w:sz w:val="20"/>
          <w:shd w:fill="FFFFFF" w:val="clear"/>
        </w:rPr>
        <w:t>posure is partially mitigated by costs and expenses for foreign operations and sourcing products denominated in foreign currencies.</w:t>
      </w:r>
    </w:p>
    <w:p>
      <w:pPr>
        <w:pStyle w:val="TextBody"/>
        <w:bidi w:val="0"/>
        <w:spacing w:lineRule="auto" w:line="288" w:before="0" w:after="180"/>
        <w:jc w:val="both"/>
        <w:rPr/>
      </w:pPr>
      <w:r>
        <w:rPr>
          <w:rFonts w:ascii="Times New Roman;serif" w:hAnsi="Times New Roman;serif"/>
          <w:b w:val="false"/>
          <w:color w:val="000000"/>
          <w:sz w:val="20"/>
          <w:shd w:fill="FFFFFF" w:val="clear"/>
        </w:rPr>
        <w:t>Since our foreign c</w:t>
      </w:r>
      <w:r>
        <w:rPr>
          <w:rFonts w:ascii="Times New Roman;serif" w:hAnsi="Times New Roman;serif"/>
          <w:b w:val="false"/>
          <w:color w:val="000000"/>
          <w:sz w:val="20"/>
        </w:rPr>
        <w:t>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w:t>
      </w:r>
      <w:r>
        <w:rPr>
          <w:rFonts w:ascii="Times New Roman;serif" w:hAnsi="Times New Roman;serif"/>
          <w:b w:val="false"/>
          <w:color w:val="000000"/>
          <w:sz w:val="20"/>
          <w:shd w:fill="FFFFFF" w:val="clear"/>
        </w:rPr>
        <w:t>ely, whenever the U.S. Dollar weakens relative to these currencies, there is an adverse effect on our results of operations.</w:t>
      </w:r>
    </w:p>
    <w:p>
      <w:pPr>
        <w:pStyle w:val="TextBody"/>
        <w:bidi w:val="0"/>
        <w:spacing w:lineRule="auto" w:line="288" w:before="0" w:after="180"/>
        <w:jc w:val="both"/>
        <w:rPr/>
      </w:pPr>
      <w:r>
        <w:rPr>
          <w:rFonts w:ascii="Times New Roman;serif" w:hAnsi="Times New Roman;serif"/>
          <w:b w:val="false"/>
          <w:color w:val="000000"/>
          <w:sz w:val="20"/>
          <w:shd w:fill="FFFFFF" w:val="clear"/>
        </w:rPr>
        <w:t>We have a program in place that is designed to mitigate our exposur</w:t>
      </w:r>
      <w:r>
        <w:rPr>
          <w:rFonts w:ascii="Times New Roman;serif" w:hAnsi="Times New Roman;serif"/>
          <w:b w:val="false"/>
          <w:color w:val="000000"/>
          <w:sz w:val="20"/>
        </w:rPr>
        <w:t>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Canadian Dollar, Swiss Franc and Mexican Peso. This does not eliminate the volatility of foreign exchange rates, but because we generally enter into forward contracts into the future, rates are fixed at the time of execution; thereby facilitating financial planning and resource allocation. Hedges are executed on a rolling ba</w:t>
      </w:r>
      <w:r>
        <w:rPr>
          <w:rFonts w:ascii="Times New Roman;serif" w:hAnsi="Times New Roman;serif"/>
          <w:b w:val="false"/>
          <w:color w:val="000000"/>
          <w:sz w:val="20"/>
          <w:shd w:fill="FFFFFF" w:val="clear"/>
        </w:rPr>
        <w:t xml:space="preserve">sis over an 18-month horizon, informed by forecasted net income exposures. Both forecasted exposures and active hedges are reviewed periodically throughout the year to ensure effective and efficient mitigation of foreign currency exchange rate risk. These contracts are designated as cash flow hedges. The final impact of currency fluctuations on the results of operations is dependent on the local currency amounts hedged and the actual local currency results. </w:t>
      </w:r>
      <w:r>
        <w:rPr>
          <w:rFonts w:ascii="Times New Roman;serif" w:hAnsi="Times New Roman;serif"/>
          <w:b w:val="false"/>
          <w:color w:val="000000"/>
          <w:sz w:val="20"/>
        </w:rPr>
        <w:t>We do no</w:t>
      </w:r>
      <w:r>
        <w:rPr>
          <w:rFonts w:ascii="Times New Roman;serif" w:hAnsi="Times New Roman;serif"/>
          <w:b w:val="false"/>
          <w:color w:val="000000"/>
          <w:sz w:val="20"/>
          <w:shd w:fill="FFFFFF" w:val="clear"/>
        </w:rPr>
        <w:t xml:space="preserve">t use forward foreign currency contracts for speculative or trading activities. </w:t>
      </w:r>
    </w:p>
    <w:p>
      <w:pPr>
        <w:pStyle w:val="TextBody"/>
        <w:bidi w:val="0"/>
        <w:spacing w:lineRule="auto" w:line="288" w:before="0" w:after="180"/>
        <w:jc w:val="both"/>
        <w:rPr/>
      </w:pPr>
      <w:r>
        <w:rPr>
          <w:rFonts w:ascii="Times New Roman;serif" w:hAnsi="Times New Roman;serif"/>
          <w:b w:val="false"/>
          <w:color w:val="000000"/>
          <w:sz w:val="20"/>
          <w:shd w:fill="FFFFFF" w:val="clear"/>
        </w:rPr>
        <w:t>We estimate the change in the fair value of all forward con</w:t>
      </w:r>
      <w:r>
        <w:rPr>
          <w:rFonts w:ascii="Times New Roman;serif" w:hAnsi="Times New Roman;serif"/>
          <w:b w:val="false"/>
          <w:color w:val="000000"/>
          <w:sz w:val="20"/>
        </w:rPr>
        <w:t>tracts assuming both a 10% strengthening and weakening of the U.S. Dollar relative to all other major cu</w:t>
      </w:r>
      <w:r>
        <w:rPr>
          <w:rFonts w:ascii="Times New Roman;serif" w:hAnsi="Times New Roman;serif"/>
          <w:b w:val="false"/>
          <w:color w:val="000000"/>
          <w:sz w:val="20"/>
          <w:shd w:fill="FFFFFF" w:val="clear"/>
        </w:rPr>
        <w:t>rrencies. As of December 27, 2025, in the event of a 10% strengthening of the U.S. Dollar, the change in fair value of all forward contracts wo</w:t>
      </w:r>
      <w:r>
        <w:rPr>
          <w:rFonts w:ascii="Times New Roman;serif" w:hAnsi="Times New Roman;serif"/>
          <w:b w:val="false"/>
          <w:color w:val="000000"/>
          <w:sz w:val="20"/>
        </w:rPr>
        <w:t>uld result in a $9.0 million increase in the fair value of the forward contracts, whereas a 10% weakening of the U.S. Dollar would result in a $10.9 million decrease in the fair value of the forward contracts.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both"/>
        <w:rPr/>
      </w:pPr>
      <w:r>
        <w:rPr>
          <w:rFonts w:ascii="Times New Roman;serif" w:hAnsi="Times New Roman;serif"/>
          <w:b w:val="false"/>
          <w:color w:val="000000"/>
          <w:sz w:val="20"/>
          <w:shd w:fill="FFFFFF" w:val="clear"/>
        </w:rPr>
        <w:t>Our exposure to changes in int</w:t>
      </w:r>
      <w:r>
        <w:rPr>
          <w:rFonts w:ascii="Times New Roman;serif" w:hAnsi="Times New Roman;serif"/>
          <w:b w:val="false"/>
          <w:color w:val="000000"/>
          <w:sz w:val="20"/>
        </w:rPr>
        <w:t xml:space="preserve">erest rates is associated with borrowings under our credit facilities, all of which is variable rate debt. Total outstanding debt under our senior unsecured term loan as of December 27, 2025 was $240.6 million with an effective interest rate of 5.8% based on prevailing Term SOFR rates. An increase of 100 basis points in Term SOFR rates would result in additional annual interest expense of $0.4 million. As of December 27, 2025, the notional amount on our two active interest rate swap agreements to effectively convert borrowings under our 2024 Revised Credit Facilities from a variable rate to a fixed rate were $200.6 million. These interest rate swaps are intended to mitigate the exposure to fluctuations in interest rates and qualify for hedge accounting </w:t>
      </w:r>
      <w:r>
        <w:rPr>
          <w:rFonts w:ascii="Times New Roman;serif" w:hAnsi="Times New Roman;serif"/>
          <w:b w:val="false"/>
          <w:color w:val="000000"/>
          <w:sz w:val="20"/>
          <w:shd w:fill="FFFFFF" w:val="clear"/>
        </w:rPr>
        <w:t>treatment as cash flow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We have not incurred significant losses on trade accounts or other receivables. We continually evaluate all receivables for potential collection risks associated with the availability of government funding and reimbursement practices. If the financial </w:t>
      </w:r>
      <w:r>
        <w:rPr>
          <w:rFonts w:ascii="Times New Roman;serif" w:hAnsi="Times New Roman;serif"/>
          <w:b w:val="false"/>
          <w:color w:val="000000"/>
          <w:sz w:val="20"/>
        </w:rPr>
        <w:t>condition of customers or the countries’ healthcare systems deteriorate such that their ability to make payments is uncertain, allowances may be required in future periods.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development activities, we have made private loans and hold strategic investments in privately held entities, including preferred stock and a special share. The special share allows us to acquire the related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There is also a risk that we could lose all or a substantial portion of our investment in these privately held entities depending on their solvency and ability to achieve their business objectives. </w:t>
      </w:r>
    </w:p>
    <w:p>
      <w:pPr>
        <w:pStyle w:val="TextBody"/>
        <w:bidi w:val="0"/>
        <w:spacing w:lineRule="auto" w:line="288" w:before="0" w:after="180"/>
        <w:jc w:val="both"/>
        <w:rPr/>
      </w:pPr>
      <w:r>
        <w:rPr>
          <w:rFonts w:ascii="Times New Roman;serif" w:hAnsi="Times New Roman;serif"/>
          <w:b w:val="false"/>
          <w:color w:val="000000"/>
          <w:sz w:val="20"/>
        </w:rPr>
        <w:t xml:space="preserve">As part of our business development activities, we hold strategic investments in certain entities. We have made total strategic investments and loans totaling $97.2 million as of December 27, 2025 and $61.6 million as of March 29, 2025, including $78.3 million and $48.7 million in strategic investments and loans to Vivasure, as of December 27, 2025 and March 29, 2025, respectively. On January 9, 2026, subsequent to the end of the third quarter of fiscal 2026, we completed the acquisition of Vivasure. These strategic investments and loans include Vivasure, which we acquired on January 9, 2026. Our strategic investments are classified as other long-term assets on our condensed consolidated balance sheets, and we have not recorded any material adjustments to the carrying value of our strategic investments during the three and nine months ended December 27, 2025 and December 28, 2024. For further discussion, refer to Note 3, </w:t>
      </w:r>
      <w:r>
        <w:rPr>
          <w:rFonts w:ascii="Times New Roman;serif" w:hAnsi="Times New Roman;serif"/>
          <w:b w:val="false"/>
          <w:i/>
          <w:color w:val="000000"/>
          <w:sz w:val="20"/>
        </w:rPr>
        <w:t>Acquisitions, Divestitures and Strategic Investments</w:t>
      </w:r>
      <w:r>
        <w:rPr>
          <w:color w:val="000000"/>
        </w:rPr>
        <w:t xml:space="preserve"> </w:t>
      </w:r>
      <w:r>
        <w:rPr>
          <w:rFonts w:ascii="Times New Roman;serif" w:hAnsi="Times New Roman;serif"/>
          <w:b w:val="false"/>
          <w:color w:val="000000"/>
          <w:sz w:val="20"/>
        </w:rPr>
        <w:t>within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jc w:val="both"/>
        <w:rPr/>
      </w:pPr>
      <w:r>
        <w:rPr>
          <w:rFonts w:ascii="Times New Roman;serif" w:hAnsi="Times New Roman;serif"/>
          <w:b w:val="false"/>
          <w:color w:val="000000"/>
          <w:sz w:val="20"/>
        </w:rPr>
        <w:t>We conducted an evaluation, as of December 27, 2025,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w:t>
      </w:r>
      <w:r>
        <w:rPr>
          <w:rFonts w:ascii="Times New Roman;serif" w:hAnsi="Times New Roman;serif"/>
          <w:b w:val="false"/>
          <w:color w:val="000000"/>
          <w:sz w:val="20"/>
          <w:shd w:fill="FFFFFF" w:val="clear"/>
        </w:rPr>
        <w:t xml:space="preserve">cer concluded that our disclosure controls and procedures were effective as of December 27, 2025. </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December 27,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pPr>
      <w:r>
        <w:rPr>
          <w:rFonts w:ascii="Times New Roman;serif" w:hAnsi="Times New Roman;serif"/>
          <w:b w:val="false"/>
          <w:color w:val="000000"/>
          <w:sz w:val="20"/>
        </w:rPr>
        <w:t xml:space="preserve">Information with respect to this Item may be found in Note 14,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from the Risk Factors previously disclosed in our Annual Report on Form 10-K for the fiscal year ended March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Company’s share repurchases during the third quarter of fiscal 2026:</w:t>
      </w:r>
    </w:p>
    <w:tbl>
      <w:tblPr>
        <w:tblW w:w="10205" w:type="dxa"/>
        <w:jc w:val="left"/>
        <w:tblInd w:w="0" w:type="dxa"/>
        <w:tblLayout w:type="fixed"/>
        <w:tblCellMar>
          <w:top w:w="28" w:type="dxa"/>
          <w:left w:w="28" w:type="dxa"/>
          <w:bottom w:w="28" w:type="dxa"/>
          <w:right w:w="28" w:type="dxa"/>
        </w:tblCellMar>
      </w:tblPr>
      <w:tblGrid>
        <w:gridCol w:w="701"/>
        <w:gridCol w:w="531"/>
        <w:gridCol w:w="533"/>
        <w:gridCol w:w="448"/>
        <w:gridCol w:w="448"/>
        <w:gridCol w:w="450"/>
        <w:gridCol w:w="109"/>
        <w:gridCol w:w="109"/>
        <w:gridCol w:w="109"/>
        <w:gridCol w:w="381"/>
        <w:gridCol w:w="381"/>
        <w:gridCol w:w="382"/>
        <w:gridCol w:w="109"/>
        <w:gridCol w:w="109"/>
        <w:gridCol w:w="109"/>
        <w:gridCol w:w="733"/>
        <w:gridCol w:w="733"/>
        <w:gridCol w:w="736"/>
        <w:gridCol w:w="109"/>
        <w:gridCol w:w="109"/>
        <w:gridCol w:w="109"/>
        <w:gridCol w:w="1160"/>
        <w:gridCol w:w="750"/>
        <w:gridCol w:w="857"/>
      </w:tblGrid>
      <w:tr>
        <w:trPr/>
        <w:tc>
          <w:tcPr>
            <w:tcW w:w="70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Approximate Dollar Value of Shares that May Yet Be Purchased Under the Program</w:t>
            </w:r>
            <w:r>
              <w:rPr>
                <w:rFonts w:ascii="Times New Roman;serif" w:hAnsi="Times New Roman;serif"/>
                <w:b/>
                <w:color w:val="000000"/>
                <w:sz w:val="10"/>
              </w:rPr>
              <w:t>(1)(2)</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28, 2025 – October 25, 2025</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26, 2025 – November 22, 2025</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23, 2025 – December 27, 2025</w:t>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 xml:space="preserve">In April 2025, our Board </w:t>
      </w:r>
      <w:r>
        <w:rPr>
          <w:rFonts w:ascii="Times New Roman;serif" w:hAnsi="Times New Roman;serif"/>
          <w:b w:val="false"/>
          <w:color w:val="000000"/>
          <w:sz w:val="16"/>
          <w:shd w:fill="FFFFFF" w:val="clear"/>
        </w:rPr>
        <w:t xml:space="preserve">approved a three-year share repurchase program authorizing the repurchase of up to </w:t>
      </w:r>
      <w:r>
        <w:rPr>
          <w:rFonts w:ascii="Times New Roman;serif" w:hAnsi="Times New Roman;serif"/>
          <w:b w:val="false"/>
          <w:color w:val="000000"/>
          <w:sz w:val="16"/>
        </w:rPr>
        <w:t>$500.0 million</w:t>
      </w:r>
      <w:r>
        <w:rPr>
          <w:color w:val="000000"/>
          <w:shd w:fill="FFFFFF" w:val="clear"/>
        </w:rPr>
        <w:t xml:space="preserve"> </w:t>
      </w:r>
      <w:r>
        <w:rPr>
          <w:rFonts w:ascii="Times New Roman;serif" w:hAnsi="Times New Roman;serif"/>
          <w:b w:val="false"/>
          <w:color w:val="000000"/>
          <w:sz w:val="16"/>
          <w:shd w:fill="FFFFFF" w:val="clear"/>
        </w:rPr>
        <w:t xml:space="preserve">of Haemonetics common stock, based on market conditions, through April 2028. </w:t>
      </w:r>
      <w:r>
        <w:rPr>
          <w:rFonts w:ascii="Times New Roman;serif" w:hAnsi="Times New Roman;serif"/>
          <w:b w:val="false"/>
          <w:color w:val="000000"/>
          <w:sz w:val="16"/>
        </w:rPr>
        <w:t>Under the 2025 share repurchase program, shares may be repurchased in accordance with applicable laws both on the open market, including under trading plans established pursuant to Rule 10b5-1 under the Exchange Act, and in privately negotiated transactions.</w:t>
      </w:r>
    </w:p>
    <w:p>
      <w:pPr>
        <w:pStyle w:val="TextBody"/>
        <w:bidi w:val="0"/>
        <w:spacing w:lineRule="auto" w:line="288" w:before="0" w:after="18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 September 2025, we completed a $75.0 million repurchase of our common stock pursuant to an ASR entered into with Citibank in August 2025. The total number of shares repurchased under the ASR was 1,430,579 at an average price per share upon final settlement of $52.43. As of December 27, 2025, the total remaining authorization for repurchases of our common stock under the share repurchase program was $425.0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27, 2025, none of our directors or officers (as defined under Rule 16a-1(f) under the Securities Exchange Act of 1934) adopted or terminated trading arrangements for the sale of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1"/>
        <w:gridCol w:w="257"/>
        <w:gridCol w:w="258"/>
        <w:gridCol w:w="109"/>
        <w:gridCol w:w="109"/>
        <w:gridCol w:w="109"/>
        <w:gridCol w:w="2770"/>
        <w:gridCol w:w="2597"/>
        <w:gridCol w:w="3705"/>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2"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Articles of Organization of the Company, reflecting Articles of Amendment dated August 23, 1993, August 21, 2006, July 26, 2018 and July 25, 2019 (filed as Exhibit 3.1 to the Company’s Form 8-K dated July 29, 2019 and incorporated herein by reference).</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the Company, as amended through June 29, 2020 (filed as Exhibit 3.1 to the Company’s Form 8-K dated June 30, 2020 and incorporated herein by reference).</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3dec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Sarbanes-Oxley Act of 2002, of Christopher A. Simon, President and Chief Executive Officer of the Company.</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3dec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Sarbanes-Oxley of 2002, of James C. D'Arecca, Executive Vice President, Chief Financial Officer of the Company.</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3dec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3dec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United States Code Section 1350, as adopted Pursuant to Section 906 of the Sarbanes-Oxley Act of 2002, of James C. D'Arecca, Executive Vice President, Chief Financial Officer of the Company.</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Haemonetics Corporation on Form 10-Q for the quarter ended December 27, 2025 formatted in inline Extensible Business Reporting Language (XBRL) includes: (i) Condensed Consolidated Statements of Income, (ii) Condensed Consolidated Statements of Comprehensive Income, (iii) Condensed Consolidated Balance Sheets, (iv) Condensed Consolidated Statement of Stockholders' Equity, (v) Condensed Consolidated Statements of Cash Flows, and (vi) Notes to Condensed Consolidated Financial Statements.</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r>
    </w:tbl>
    <w:tbl>
      <w:tblPr>
        <w:tblW w:w="37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13"/>
        <w:gridCol w:w="913"/>
        <w:gridCol w:w="1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 filed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 furnished with this report.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9b7948ca52e490dab4e2ad910f2c0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000" w:type="dxa"/>
        <w:jc w:val="left"/>
        <w:tblInd w:w="0" w:type="dxa"/>
        <w:tblLayout w:type="fixed"/>
        <w:tblCellMar>
          <w:top w:w="28" w:type="dxa"/>
          <w:left w:w="28" w:type="dxa"/>
          <w:bottom w:w="28" w:type="dxa"/>
          <w:right w:w="28" w:type="dxa"/>
        </w:tblCellMar>
      </w:tblPr>
      <w:tblGrid>
        <w:gridCol w:w="542"/>
        <w:gridCol w:w="478"/>
        <w:gridCol w:w="480"/>
        <w:gridCol w:w="481"/>
        <w:gridCol w:w="481"/>
        <w:gridCol w:w="481"/>
        <w:gridCol w:w="1885"/>
        <w:gridCol w:w="1885"/>
        <w:gridCol w:w="1915"/>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HAEMONETICS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Christopher A. Simon,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February 5, 2026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James C. D'Arecca,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5, 2026</w:t>
      </w:r>
    </w:p>
    <w:tbl>
      <w:tblPr>
        <w:tblW w:w="6366" w:type="dxa"/>
        <w:jc w:val="left"/>
        <w:tblInd w:w="0" w:type="dxa"/>
        <w:tblLayout w:type="fixed"/>
        <w:tblCellMar>
          <w:top w:w="28" w:type="dxa"/>
          <w:left w:w="28" w:type="dxa"/>
          <w:bottom w:w="28" w:type="dxa"/>
          <w:right w:w="28" w:type="dxa"/>
        </w:tblCellMar>
      </w:tblPr>
      <w:tblGrid>
        <w:gridCol w:w="124"/>
        <w:gridCol w:w="109"/>
        <w:gridCol w:w="109"/>
        <w:gridCol w:w="628"/>
        <w:gridCol w:w="628"/>
        <w:gridCol w:w="628"/>
        <w:gridCol w:w="628"/>
        <w:gridCol w:w="628"/>
        <w:gridCol w:w="628"/>
        <w:gridCol w:w="628"/>
        <w:gridCol w:w="628"/>
        <w:gridCol w:w="6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Haemonetics Corporation (the “Company”) on Form 10-Q for the period ended December 27, 2025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February 5, 2026 </w:t>
      </w:r>
    </w:p>
    <w:tbl>
      <w:tblPr>
        <w:tblW w:w="3918" w:type="dxa"/>
        <w:jc w:val="lef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Haemonetics Corporation (the “Company”) on Form 10-Q for the period ended December 27, 2025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February 5, 2026 </w:t>
      </w:r>
    </w:p>
    <w:tbl>
      <w:tblPr>
        <w:tblW w:w="4809" w:type="dxa"/>
        <w:jc w:val="left"/>
        <w:tblInd w:w="0" w:type="dxa"/>
        <w:tblLayout w:type="fixed"/>
        <w:tblCellMar>
          <w:top w:w="28" w:type="dxa"/>
          <w:left w:w="28" w:type="dxa"/>
          <w:bottom w:w="28" w:type="dxa"/>
          <w:right w:w="28" w:type="dxa"/>
        </w:tblCellMar>
      </w:tblPr>
      <w:tblGrid>
        <w:gridCol w:w="124"/>
        <w:gridCol w:w="109"/>
        <w:gridCol w:w="109"/>
        <w:gridCol w:w="455"/>
        <w:gridCol w:w="455"/>
        <w:gridCol w:w="455"/>
        <w:gridCol w:w="455"/>
        <w:gridCol w:w="455"/>
        <w:gridCol w:w="455"/>
        <w:gridCol w:w="455"/>
        <w:gridCol w:w="455"/>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3143/000031314319000035/exhibit31-restatedarticles.htm" TargetMode="External"/><Relationship Id="rId3" Type="http://schemas.openxmlformats.org/officeDocument/2006/relationships/hyperlink" Target="https://www.sec.gov/Archives/edgar/data/313143/000031314320000052/by-lawsasamended6292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26309</Words>
  <Characters>146118</Characters>
  <CharactersWithSpaces>170543</CharactersWithSpaces>
  <Paragraphs>3735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