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quarterly period ended: September 30, 2023</w:t>
      </w:r>
    </w:p>
    <w:p>
      <w:pPr>
        <w:pStyle w:val="TextBody"/>
        <w:bidi w:val="0"/>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001-14041 </w:t>
      </w:r>
    </w:p>
    <w:p>
      <w:pPr>
        <w:pStyle w:val="TextBody"/>
        <w:bidi w:val="0"/>
        <w:spacing w:lineRule="auto" w:line="288" w:before="320" w:after="283"/>
        <w:jc w:val="center"/>
        <w:rPr>
          <w:rFonts w:ascii="Times New Roman;sans-serif" w:hAnsi="Times New Roman;sans-serif"/>
          <w:b/>
          <w:color w:val="000000"/>
          <w:sz w:val="48"/>
        </w:rPr>
      </w:pPr>
      <w:r>
        <w:rPr>
          <w:rFonts w:ascii="Times New Roman;sans-serif" w:hAnsi="Times New Roman;sans-serif"/>
          <w:b/>
          <w:color w:val="000000"/>
          <w:sz w:val="48"/>
        </w:rPr>
        <w:t>HAEMONETICS CORPORATION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5274" w:type="dxa"/>
        <w:jc w:val="center"/>
        <w:tblInd w:w="0" w:type="dxa"/>
        <w:tblLayout w:type="fixed"/>
        <w:tblCellMar>
          <w:top w:w="28" w:type="dxa"/>
          <w:left w:w="28" w:type="dxa"/>
          <w:bottom w:w="28" w:type="dxa"/>
          <w:right w:w="28" w:type="dxa"/>
        </w:tblCellMar>
      </w:tblPr>
      <w:tblGrid>
        <w:gridCol w:w="599"/>
        <w:gridCol w:w="528"/>
        <w:gridCol w:w="528"/>
        <w:gridCol w:w="545"/>
        <w:gridCol w:w="545"/>
        <w:gridCol w:w="553"/>
        <w:gridCol w:w="109"/>
        <w:gridCol w:w="109"/>
        <w:gridCol w:w="109"/>
        <w:gridCol w:w="481"/>
        <w:gridCol w:w="481"/>
        <w:gridCol w:w="687"/>
      </w:tblGrid>
      <w:tr>
        <w:trPr/>
        <w:tc>
          <w:tcPr>
            <w:tcW w:w="59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04-2882273</w:t>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r>
        <w:trPr/>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125 Summer Street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Boston,</w:t>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02110</w:t>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(781) 848-7100 </w:t>
      </w:r>
    </w:p>
    <w:p>
      <w:pPr>
        <w:pStyle w:val="TextBody"/>
        <w:bidi w:val="0"/>
        <w:spacing w:lineRule="auto" w:line="288" w:before="0" w:after="0"/>
        <w:jc w:val="center"/>
        <w:rPr/>
      </w:pPr>
      <w:r>
        <w:rPr>
          <w:rFonts w:ascii="Times New Roman;sans-serif" w:hAnsi="Times New Roman;sans-serif"/>
          <w:b w:val="false"/>
          <w:color w:val="000000"/>
          <w:sz w:val="18"/>
        </w:rPr>
        <w:t>(Registrant’s telephone number, including area code)</w:t>
      </w:r>
      <w:r>
        <w:rPr>
          <w:color w:val="000000"/>
        </w:rPr>
        <w:t xml:space="preserve">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752" w:type="dxa"/>
        <w:jc w:val="center"/>
        <w:tblInd w:w="0" w:type="dxa"/>
        <w:tblLayout w:type="fixed"/>
        <w:tblCellMar>
          <w:top w:w="28" w:type="dxa"/>
          <w:left w:w="28" w:type="dxa"/>
          <w:bottom w:w="28" w:type="dxa"/>
          <w:right w:w="28" w:type="dxa"/>
        </w:tblCellMar>
      </w:tblPr>
      <w:tblGrid>
        <w:gridCol w:w="1212"/>
        <w:gridCol w:w="1070"/>
        <w:gridCol w:w="1077"/>
        <w:gridCol w:w="109"/>
        <w:gridCol w:w="109"/>
        <w:gridCol w:w="109"/>
        <w:gridCol w:w="424"/>
        <w:gridCol w:w="424"/>
        <w:gridCol w:w="426"/>
        <w:gridCol w:w="109"/>
        <w:gridCol w:w="109"/>
        <w:gridCol w:w="109"/>
        <w:gridCol w:w="1014"/>
        <w:gridCol w:w="1014"/>
        <w:gridCol w:w="1437"/>
      </w:tblGrid>
      <w:tr>
        <w:trPr/>
        <w:tc>
          <w:tcPr>
            <w:tcW w:w="121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80" w:after="283"/>
        <w:ind w:left="0" w:right="0" w:firstLine="72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80" w:after="283"/>
        <w:ind w:left="0" w:right="0" w:firstLine="72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90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4"/>
              </w:rPr>
            </w:pPr>
            <w:r>
              <w:rPr>
                <w:rFonts w:ascii="Wingdings;sans-serif" w:hAnsi="Wingdings;sans-serif"/>
                <w:b w:val="false"/>
                <w:color w:val="000000"/>
                <w:sz w:val="24"/>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80" w:after="283"/>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18"/>
        </w:rPr>
        <w:t>o</w:t>
      </w:r>
    </w:p>
    <w:p>
      <w:pPr>
        <w:pStyle w:val="TextBody"/>
        <w:bidi w:val="0"/>
        <w:spacing w:lineRule="auto" w:line="288" w:before="180" w:after="283"/>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number of shares of $0.01 par value common stock outstanding as of October 31, 2023: 50,742,477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3473"/>
        <w:gridCol w:w="3050"/>
        <w:gridCol w:w="3064"/>
        <w:gridCol w:w="180"/>
        <w:gridCol w:w="180"/>
        <w:gridCol w:w="258"/>
      </w:tblGrid>
      <w:tr>
        <w:trPr/>
        <w:tc>
          <w:tcPr>
            <w:tcW w:w="3473"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c8c80de79b455cb4e0b491d485eb48_10">
              <w:r>
                <w:rPr>
                  <w:rStyle w:val="InternetLink"/>
                  <w:rFonts w:ascii="Times New Roman;sans-serif" w:hAnsi="Times New Roman;sans-serif"/>
                  <w:b/>
                  <w:color w:val="0000FF"/>
                  <w:sz w:val="20"/>
                  <w:u w:val="single"/>
                </w:rPr>
                <w:t>PART I. FINANCIAL INFORMATION</w:t>
              </w:r>
            </w:hyperlink>
          </w:p>
        </w:tc>
        <w:tc>
          <w:tcPr>
            <w:tcW w:w="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c8c80de79b455cb4e0b491d485eb48_13">
              <w:r>
                <w:rPr>
                  <w:rStyle w:val="InternetLink"/>
                  <w:rFonts w:ascii="Times New Roman;sans-serif" w:hAnsi="Times New Roman;sans-serif"/>
                  <w:b/>
                  <w:color w:val="0000FF"/>
                  <w:sz w:val="20"/>
                  <w:u w:val="single"/>
                </w:rPr>
                <w:t>ITEM 1. Financial Statements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c8c80de79b455cb4e0b491d485eb48_16">
              <w:r>
                <w:rPr>
                  <w:rStyle w:val="InternetLink"/>
                  <w:rFonts w:ascii="Times New Roman;sans-serif" w:hAnsi="Times New Roman;sans-serif"/>
                  <w:b w:val="false"/>
                  <w:color w:val="000080"/>
                  <w:sz w:val="20"/>
                  <w:u w:val="single"/>
                </w:rPr>
                <w:t>Unaudited Condensed Consolidated Statements of Income and Comprehensive Income - Three</w:t>
              </w:r>
            </w:hyperlink>
            <w:hyperlink w:anchor="i50c8c80de79b455cb4e0b491d485eb48_16">
              <w:r>
                <w:rPr>
                  <w:rStyle w:val="InternetLink"/>
                  <w:rFonts w:ascii="Times New Roman;sans-serif" w:hAnsi="Times New Roman;sans-serif"/>
                  <w:b w:val="false"/>
                  <w:color w:val="000080"/>
                  <w:sz w:val="20"/>
                  <w:u w:val="single"/>
                </w:rPr>
                <w:t xml:space="preserve"> and Six</w:t>
              </w:r>
            </w:hyperlink>
            <w:hyperlink w:anchor="i50c8c80de79b455cb4e0b491d485eb48_16">
              <w:r>
                <w:rPr>
                  <w:rStyle w:val="InternetLink"/>
                  <w:rFonts w:ascii="Times New Roman;sans-serif" w:hAnsi="Times New Roman;sans-serif"/>
                  <w:b w:val="false"/>
                  <w:color w:val="000080"/>
                  <w:sz w:val="20"/>
                  <w:u w:val="single"/>
                </w:rPr>
                <w:t xml:space="preserve"> Months Ended </w:t>
              </w:r>
            </w:hyperlink>
            <w:hyperlink w:anchor="i50c8c80de79b455cb4e0b491d485eb48_16">
              <w:r>
                <w:rPr>
                  <w:rStyle w:val="InternetLink"/>
                  <w:rFonts w:ascii="Times New Roman;sans-serif" w:hAnsi="Times New Roman;sans-serif"/>
                  <w:b w:val="false"/>
                  <w:color w:val="000080"/>
                  <w:sz w:val="20"/>
                  <w:u w:val="single"/>
                </w:rPr>
                <w:t xml:space="preserve">September </w:t>
              </w:r>
            </w:hyperlink>
            <w:hyperlink w:anchor="i50c8c80de79b455cb4e0b491d485eb48_16">
              <w:r>
                <w:rPr>
                  <w:rStyle w:val="InternetLink"/>
                  <w:rFonts w:ascii="Times New Roman;sans-serif" w:hAnsi="Times New Roman;sans-serif"/>
                  <w:b w:val="false"/>
                  <w:color w:val="000080"/>
                  <w:sz w:val="20"/>
                  <w:u w:val="single"/>
                </w:rPr>
                <w:t>30</w:t>
              </w:r>
            </w:hyperlink>
            <w:hyperlink w:anchor="i50c8c80de79b455cb4e0b491d485eb48_16">
              <w:r>
                <w:rPr>
                  <w:rStyle w:val="InternetLink"/>
                  <w:rFonts w:ascii="Times New Roman;sans-serif" w:hAnsi="Times New Roman;sans-serif"/>
                  <w:b w:val="false"/>
                  <w:color w:val="000080"/>
                  <w:sz w:val="20"/>
                  <w:u w:val="single"/>
                </w:rPr>
                <w:t xml:space="preserve">, 2023 and </w:t>
              </w:r>
            </w:hyperlink>
            <w:hyperlink w:anchor="i50c8c80de79b455cb4e0b491d485eb48_16">
              <w:r>
                <w:rPr>
                  <w:rStyle w:val="InternetLink"/>
                  <w:rFonts w:ascii="Times New Roman;sans-serif" w:hAnsi="Times New Roman;sans-serif"/>
                  <w:b w:val="false"/>
                  <w:color w:val="000080"/>
                  <w:sz w:val="20"/>
                  <w:u w:val="single"/>
                </w:rPr>
                <w:t>October 1</w:t>
              </w:r>
            </w:hyperlink>
            <w:hyperlink w:anchor="i50c8c80de79b455cb4e0b491d485eb48_16">
              <w:r>
                <w:rPr>
                  <w:rStyle w:val="InternetLink"/>
                  <w:rFonts w:ascii="Times New Roman;sans-serif" w:hAnsi="Times New Roman;sans-serif"/>
                  <w:b w:val="false"/>
                  <w:color w:val="000080"/>
                  <w:sz w:val="20"/>
                  <w:u w:val="single"/>
                </w:rPr>
                <w:t>, 2022</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c8c80de79b455cb4e0b491d485eb48_16">
              <w:r>
                <w:rPr>
                  <w:rStyle w:val="InternetLink"/>
                  <w:rFonts w:ascii="Times New Roman;sans-serif" w:hAnsi="Times New Roman;sans-serif"/>
                  <w:b w:val="false"/>
                  <w:color w:val="0000FF"/>
                  <w:sz w:val="20"/>
                  <w:u w:val="single"/>
                </w:rPr>
                <w:t>3</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c8c80de79b455cb4e0b491d485eb48_19">
              <w:r>
                <w:rPr>
                  <w:rStyle w:val="InternetLink"/>
                  <w:rFonts w:ascii="Times New Roman;sans-serif" w:hAnsi="Times New Roman;sans-serif"/>
                  <w:b w:val="false"/>
                  <w:color w:val="000080"/>
                  <w:sz w:val="20"/>
                  <w:u w:val="single"/>
                </w:rPr>
                <w:t xml:space="preserve">Unaudited Condensed Consolidated Balance Sheet - </w:t>
              </w:r>
            </w:hyperlink>
            <w:hyperlink w:anchor="i50c8c80de79b455cb4e0b491d485eb48_19">
              <w:r>
                <w:rPr>
                  <w:rStyle w:val="InternetLink"/>
                  <w:rFonts w:ascii="Times New Roman;sans-serif" w:hAnsi="Times New Roman;sans-serif"/>
                  <w:b w:val="false"/>
                  <w:color w:val="000080"/>
                  <w:sz w:val="20"/>
                  <w:u w:val="single"/>
                </w:rPr>
                <w:t>September 30</w:t>
              </w:r>
            </w:hyperlink>
            <w:hyperlink w:anchor="i50c8c80de79b455cb4e0b491d485eb48_19">
              <w:r>
                <w:rPr>
                  <w:rStyle w:val="InternetLink"/>
                  <w:rFonts w:ascii="Times New Roman;sans-serif" w:hAnsi="Times New Roman;sans-serif"/>
                  <w:b w:val="false"/>
                  <w:color w:val="000080"/>
                  <w:sz w:val="20"/>
                  <w:u w:val="single"/>
                </w:rPr>
                <w:t>, 2023 and Consolidated Balance Sheet - April 1, 2023</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c8c80de79b455cb4e0b491d485eb48_19">
              <w:r>
                <w:rPr>
                  <w:rStyle w:val="InternetLink"/>
                  <w:rFonts w:ascii="Times New Roman;sans-serif" w:hAnsi="Times New Roman;sans-serif"/>
                  <w:b w:val="false"/>
                  <w:color w:val="0000FF"/>
                  <w:sz w:val="20"/>
                  <w:u w:val="single"/>
                </w:rPr>
                <w:t>4</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c8c80de79b455cb4e0b491d485eb48_22">
              <w:r>
                <w:rPr>
                  <w:rStyle w:val="InternetLink"/>
                  <w:rFonts w:ascii="Times New Roman;sans-serif" w:hAnsi="Times New Roman;sans-serif"/>
                  <w:b w:val="false"/>
                  <w:color w:val="0000FF"/>
                  <w:sz w:val="20"/>
                  <w:u w:val="single"/>
                </w:rPr>
                <w:t>Unaudited Condensed Consolidated Statements of Stockholders</w:t>
              </w:r>
            </w:hyperlink>
            <w:r>
              <w:rPr>
                <w:color w:val="0E32E1"/>
                <w:u w:val="single"/>
              </w:rPr>
              <w:t>’</w:t>
            </w:r>
            <w:hyperlink w:anchor="i50c8c80de79b455cb4e0b491d485eb48_22">
              <w:r>
                <w:rPr>
                  <w:rStyle w:val="InternetLink"/>
                  <w:color w:val="0000FF"/>
                  <w:u w:val="single"/>
                </w:rPr>
                <w:t xml:space="preserve"> </w:t>
              </w:r>
            </w:hyperlink>
            <w:hyperlink w:anchor="i50c8c80de79b455cb4e0b491d485eb48_22">
              <w:r>
                <w:rPr>
                  <w:rStyle w:val="InternetLink"/>
                  <w:rFonts w:ascii="Times New Roman;sans-serif" w:hAnsi="Times New Roman;sans-serif"/>
                  <w:b w:val="false"/>
                  <w:color w:val="0000FF"/>
                  <w:sz w:val="20"/>
                  <w:u w:val="single"/>
                </w:rPr>
                <w:t xml:space="preserve">Equity - Three </w:t>
              </w:r>
            </w:hyperlink>
            <w:hyperlink w:anchor="i50c8c80de79b455cb4e0b491d485eb48_22">
              <w:r>
                <w:rPr>
                  <w:rStyle w:val="InternetLink"/>
                  <w:rFonts w:ascii="Times New Roman;sans-serif" w:hAnsi="Times New Roman;sans-serif"/>
                  <w:b w:val="false"/>
                  <w:color w:val="000080"/>
                  <w:sz w:val="20"/>
                  <w:u w:val="single"/>
                </w:rPr>
                <w:t xml:space="preserve">and Six </w:t>
              </w:r>
            </w:hyperlink>
            <w:hyperlink w:anchor="i50c8c80de79b455cb4e0b491d485eb48_22">
              <w:r>
                <w:rPr>
                  <w:rStyle w:val="InternetLink"/>
                  <w:rFonts w:ascii="Times New Roman;sans-serif" w:hAnsi="Times New Roman;sans-serif"/>
                  <w:b w:val="false"/>
                  <w:color w:val="000080"/>
                  <w:sz w:val="20"/>
                  <w:u w:val="single"/>
                </w:rPr>
                <w:t xml:space="preserve">Months Ended </w:t>
              </w:r>
            </w:hyperlink>
            <w:hyperlink w:anchor="i50c8c80de79b455cb4e0b491d485eb48_22">
              <w:r>
                <w:rPr>
                  <w:rStyle w:val="InternetLink"/>
                  <w:rFonts w:ascii="Times New Roman;sans-serif" w:hAnsi="Times New Roman;sans-serif"/>
                  <w:b w:val="false"/>
                  <w:color w:val="000080"/>
                  <w:sz w:val="20"/>
                  <w:u w:val="single"/>
                </w:rPr>
                <w:t>September 30</w:t>
              </w:r>
            </w:hyperlink>
            <w:hyperlink w:anchor="i50c8c80de79b455cb4e0b491d485eb48_22">
              <w:r>
                <w:rPr>
                  <w:rStyle w:val="InternetLink"/>
                  <w:rFonts w:ascii="Times New Roman;sans-serif" w:hAnsi="Times New Roman;sans-serif"/>
                  <w:b w:val="false"/>
                  <w:color w:val="000080"/>
                  <w:sz w:val="20"/>
                  <w:u w:val="single"/>
                </w:rPr>
                <w:t xml:space="preserve">, 2023 and </w:t>
              </w:r>
            </w:hyperlink>
            <w:hyperlink w:anchor="i50c8c80de79b455cb4e0b491d485eb48_22">
              <w:r>
                <w:rPr>
                  <w:rStyle w:val="InternetLink"/>
                  <w:rFonts w:ascii="Times New Roman;sans-serif" w:hAnsi="Times New Roman;sans-serif"/>
                  <w:b w:val="false"/>
                  <w:color w:val="000080"/>
                  <w:sz w:val="20"/>
                  <w:u w:val="single"/>
                </w:rPr>
                <w:t>October 1</w:t>
              </w:r>
            </w:hyperlink>
            <w:hyperlink w:anchor="i50c8c80de79b455cb4e0b491d485eb48_22">
              <w:r>
                <w:rPr>
                  <w:rStyle w:val="InternetLink"/>
                  <w:rFonts w:ascii="Times New Roman;sans-serif" w:hAnsi="Times New Roman;sans-serif"/>
                  <w:b w:val="false"/>
                  <w:color w:val="000080"/>
                  <w:sz w:val="20"/>
                  <w:u w:val="single"/>
                </w:rPr>
                <w:t>, 2022</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c8c80de79b455cb4e0b491d485eb48_22">
              <w:r>
                <w:rPr>
                  <w:rStyle w:val="InternetLink"/>
                  <w:rFonts w:ascii="Times New Roman;sans-serif" w:hAnsi="Times New Roman;sans-serif"/>
                  <w:b w:val="false"/>
                  <w:color w:val="0000FF"/>
                  <w:sz w:val="20"/>
                  <w:u w:val="single"/>
                </w:rPr>
                <w:t>5</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c8c80de79b455cb4e0b491d485eb48_25">
              <w:r>
                <w:rPr>
                  <w:rStyle w:val="InternetLink"/>
                  <w:rFonts w:ascii="Times New Roman;sans-serif" w:hAnsi="Times New Roman;sans-serif"/>
                  <w:b w:val="false"/>
                  <w:color w:val="000080"/>
                  <w:sz w:val="20"/>
                  <w:u w:val="single"/>
                </w:rPr>
                <w:t xml:space="preserve">Unaudited Condensed Consolidated Statements of Cash Flows - </w:t>
              </w:r>
            </w:hyperlink>
            <w:hyperlink w:anchor="i50c8c80de79b455cb4e0b491d485eb48_25">
              <w:r>
                <w:rPr>
                  <w:rStyle w:val="InternetLink"/>
                  <w:rFonts w:ascii="Times New Roman;sans-serif" w:hAnsi="Times New Roman;sans-serif"/>
                  <w:b w:val="false"/>
                  <w:color w:val="000080"/>
                  <w:sz w:val="20"/>
                  <w:u w:val="single"/>
                </w:rPr>
                <w:t>Six</w:t>
              </w:r>
            </w:hyperlink>
            <w:hyperlink w:anchor="i50c8c80de79b455cb4e0b491d485eb48_25">
              <w:r>
                <w:rPr>
                  <w:rStyle w:val="InternetLink"/>
                  <w:rFonts w:ascii="Times New Roman;sans-serif" w:hAnsi="Times New Roman;sans-serif"/>
                  <w:b w:val="false"/>
                  <w:color w:val="000080"/>
                  <w:sz w:val="20"/>
                  <w:u w:val="single"/>
                </w:rPr>
                <w:t xml:space="preserve"> Months Ended </w:t>
              </w:r>
            </w:hyperlink>
            <w:hyperlink w:anchor="i50c8c80de79b455cb4e0b491d485eb48_25">
              <w:r>
                <w:rPr>
                  <w:rStyle w:val="InternetLink"/>
                  <w:rFonts w:ascii="Times New Roman;sans-serif" w:hAnsi="Times New Roman;sans-serif"/>
                  <w:b w:val="false"/>
                  <w:color w:val="000080"/>
                  <w:sz w:val="20"/>
                  <w:u w:val="single"/>
                </w:rPr>
                <w:t>September 30</w:t>
              </w:r>
            </w:hyperlink>
            <w:hyperlink w:anchor="i50c8c80de79b455cb4e0b491d485eb48_25">
              <w:r>
                <w:rPr>
                  <w:rStyle w:val="InternetLink"/>
                  <w:rFonts w:ascii="Times New Roman;sans-serif" w:hAnsi="Times New Roman;sans-serif"/>
                  <w:b w:val="false"/>
                  <w:color w:val="000080"/>
                  <w:sz w:val="20"/>
                  <w:u w:val="single"/>
                </w:rPr>
                <w:t xml:space="preserve">, 2023 and </w:t>
              </w:r>
            </w:hyperlink>
            <w:hyperlink w:anchor="i50c8c80de79b455cb4e0b491d485eb48_25">
              <w:r>
                <w:rPr>
                  <w:rStyle w:val="InternetLink"/>
                  <w:rFonts w:ascii="Times New Roman;sans-serif" w:hAnsi="Times New Roman;sans-serif"/>
                  <w:b w:val="false"/>
                  <w:color w:val="000080"/>
                  <w:sz w:val="20"/>
                  <w:u w:val="single"/>
                </w:rPr>
                <w:t>October 1</w:t>
              </w:r>
            </w:hyperlink>
            <w:hyperlink w:anchor="i50c8c80de79b455cb4e0b491d485eb48_25">
              <w:r>
                <w:rPr>
                  <w:rStyle w:val="InternetLink"/>
                  <w:rFonts w:ascii="Times New Roman;sans-serif" w:hAnsi="Times New Roman;sans-serif"/>
                  <w:b w:val="false"/>
                  <w:color w:val="000080"/>
                  <w:sz w:val="20"/>
                  <w:u w:val="single"/>
                </w:rPr>
                <w:t>, 2022</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c8c80de79b455cb4e0b491d485eb48_25">
              <w:r>
                <w:rPr>
                  <w:rStyle w:val="InternetLink"/>
                  <w:rFonts w:ascii="Times New Roman;sans-serif" w:hAnsi="Times New Roman;sans-serif"/>
                  <w:b w:val="false"/>
                  <w:color w:val="0000FF"/>
                  <w:sz w:val="20"/>
                  <w:u w:val="single"/>
                </w:rPr>
                <w:t>6</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c8c80de79b455cb4e0b491d485eb48_28">
              <w:r>
                <w:rPr>
                  <w:rStyle w:val="InternetLink"/>
                  <w:rFonts w:ascii="Times New Roman;sans-serif" w:hAnsi="Times New Roman;sans-serif"/>
                  <w:b w:val="false"/>
                  <w:color w:val="0000FF"/>
                  <w:sz w:val="20"/>
                  <w:u w:val="single"/>
                </w:rPr>
                <w:t>Notes to Unaudited Condensed Consolidated Financial Statements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c8c80de79b455cb4e0b491d485eb48_28">
              <w:r>
                <w:rPr>
                  <w:rStyle w:val="InternetLink"/>
                  <w:rFonts w:ascii="Times New Roman;sans-serif" w:hAnsi="Times New Roman;sans-serif"/>
                  <w:b w:val="false"/>
                  <w:color w:val="0000FF"/>
                  <w:sz w:val="20"/>
                  <w:u w:val="single"/>
                </w:rPr>
                <w:t>7</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c8c80de79b455cb4e0b491d485eb48_79">
              <w:r>
                <w:rPr>
                  <w:rStyle w:val="InternetLink"/>
                  <w:rFonts w:ascii="Times New Roman;sans-serif" w:hAnsi="Times New Roman;sans-serif"/>
                  <w:b/>
                  <w:color w:val="0000FF"/>
                  <w:sz w:val="20"/>
                  <w:u w:val="single"/>
                </w:rPr>
                <w:t>ITEM 2. Management's Discussion and Analysis of Financial Condition and Results of Operations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c8c80de79b455cb4e0b491d485eb48_79">
              <w:r>
                <w:rPr>
                  <w:rStyle w:val="InternetLink"/>
                  <w:rFonts w:ascii="Times New Roman;sans-serif" w:hAnsi="Times New Roman;sans-serif"/>
                  <w:b w:val="false"/>
                  <w:color w:val="0000FF"/>
                  <w:sz w:val="20"/>
                  <w:u w:val="single"/>
                </w:rPr>
                <w:t>22</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c8c80de79b455cb4e0b491d485eb48_103">
              <w:r>
                <w:rPr>
                  <w:rStyle w:val="InternetLink"/>
                  <w:rFonts w:ascii="Times New Roman;sans-serif" w:hAnsi="Times New Roman;sans-serif"/>
                  <w:b/>
                  <w:color w:val="0000FF"/>
                  <w:sz w:val="20"/>
                  <w:u w:val="single"/>
                </w:rPr>
                <w:t>ITEM 3. Quantitative and Qualitative Disclosures about Market Risk</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c8c80de79b455cb4e0b491d485eb48_103">
              <w:r>
                <w:rPr>
                  <w:rStyle w:val="InternetLink"/>
                  <w:rFonts w:ascii="Times New Roman;sans-serif" w:hAnsi="Times New Roman;sans-serif"/>
                  <w:b w:val="false"/>
                  <w:color w:val="0000FF"/>
                  <w:sz w:val="20"/>
                  <w:u w:val="single"/>
                </w:rPr>
                <w:t>32</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c8c80de79b455cb4e0b491d485eb48_106">
              <w:r>
                <w:rPr>
                  <w:rStyle w:val="InternetLink"/>
                  <w:rFonts w:ascii="Times New Roman;sans-serif" w:hAnsi="Times New Roman;sans-serif"/>
                  <w:b/>
                  <w:color w:val="0000FF"/>
                  <w:sz w:val="20"/>
                  <w:u w:val="single"/>
                </w:rPr>
                <w:t>ITEM 4. Controls and Procedures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c8c80de79b455cb4e0b491d485eb48_106">
              <w:r>
                <w:rPr>
                  <w:rStyle w:val="InternetLink"/>
                  <w:rFonts w:ascii="Times New Roman;sans-serif" w:hAnsi="Times New Roman;sans-serif"/>
                  <w:b w:val="false"/>
                  <w:color w:val="0000FF"/>
                  <w:sz w:val="20"/>
                  <w:u w:val="single"/>
                </w:rPr>
                <w:t>32</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c8c80de79b455cb4e0b491d485eb48_109">
              <w:r>
                <w:rPr>
                  <w:rStyle w:val="InternetLink"/>
                  <w:rFonts w:ascii="Times New Roman;sans-serif" w:hAnsi="Times New Roman;sans-serif"/>
                  <w:b/>
                  <w:color w:val="0000FF"/>
                  <w:sz w:val="20"/>
                  <w:u w:val="single"/>
                </w:rPr>
                <w:t>PART II. OTHER INFORMATION</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c8c80de79b455cb4e0b491d485eb48_109">
              <w:r>
                <w:rPr>
                  <w:rStyle w:val="InternetLink"/>
                  <w:rFonts w:ascii="Times New Roman;sans-serif" w:hAnsi="Times New Roman;sans-serif"/>
                  <w:b w:val="false"/>
                  <w:color w:val="0000FF"/>
                  <w:sz w:val="20"/>
                  <w:u w:val="single"/>
                </w:rPr>
                <w:t>33</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c8c80de79b455cb4e0b491d485eb48_112">
              <w:r>
                <w:rPr>
                  <w:rStyle w:val="InternetLink"/>
                  <w:rFonts w:ascii="Times New Roman;sans-serif" w:hAnsi="Times New Roman;sans-serif"/>
                  <w:b/>
                  <w:color w:val="0000FF"/>
                  <w:sz w:val="20"/>
                  <w:u w:val="single"/>
                </w:rPr>
                <w:t>ITEM 1. Legal Proceedings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c8c80de79b455cb4e0b491d485eb48_112">
              <w:r>
                <w:rPr>
                  <w:rStyle w:val="InternetLink"/>
                  <w:rFonts w:ascii="Times New Roman;sans-serif" w:hAnsi="Times New Roman;sans-serif"/>
                  <w:b w:val="false"/>
                  <w:color w:val="0000FF"/>
                  <w:sz w:val="20"/>
                  <w:u w:val="single"/>
                </w:rPr>
                <w:t>33</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c8c80de79b455cb4e0b491d485eb48_115">
              <w:r>
                <w:rPr>
                  <w:rStyle w:val="InternetLink"/>
                  <w:rFonts w:ascii="Times New Roman;sans-serif" w:hAnsi="Times New Roman;sans-serif"/>
                  <w:b/>
                  <w:color w:val="0000FF"/>
                  <w:sz w:val="20"/>
                  <w:u w:val="single"/>
                </w:rPr>
                <w:t>ITEM 1A. Risk Factors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c8c80de79b455cb4e0b491d485eb48_115">
              <w:r>
                <w:rPr>
                  <w:rStyle w:val="InternetLink"/>
                  <w:rFonts w:ascii="Times New Roman;sans-serif" w:hAnsi="Times New Roman;sans-serif"/>
                  <w:b w:val="false"/>
                  <w:color w:val="0000FF"/>
                  <w:sz w:val="20"/>
                  <w:u w:val="single"/>
                </w:rPr>
                <w:t>33</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c8c80de79b455cb4e0b491d485eb48_118">
              <w:r>
                <w:rPr>
                  <w:rStyle w:val="InternetLink"/>
                  <w:rFonts w:ascii="Times New Roman;sans-serif" w:hAnsi="Times New Roman;sans-serif"/>
                  <w:b/>
                  <w:color w:val="0000FF"/>
                  <w:sz w:val="20"/>
                  <w:u w:val="single"/>
                </w:rPr>
                <w:t>ITEM 2. Unregistered Sales of Equity Securities and Use of Proceeds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c8c80de79b455cb4e0b491d485eb48_118">
              <w:r>
                <w:rPr>
                  <w:rStyle w:val="InternetLink"/>
                  <w:rFonts w:ascii="Times New Roman;sans-serif" w:hAnsi="Times New Roman;sans-serif"/>
                  <w:b w:val="false"/>
                  <w:color w:val="0000FF"/>
                  <w:sz w:val="20"/>
                  <w:u w:val="single"/>
                </w:rPr>
                <w:t>33</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c8c80de79b455cb4e0b491d485eb48_121">
              <w:r>
                <w:rPr>
                  <w:rStyle w:val="InternetLink"/>
                  <w:rFonts w:ascii="Times New Roman;sans-serif" w:hAnsi="Times New Roman;sans-serif"/>
                  <w:b/>
                  <w:color w:val="0000FF"/>
                  <w:sz w:val="20"/>
                  <w:u w:val="single"/>
                </w:rPr>
                <w:t>ITEM 3. Defaults upon Senior Securities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c8c80de79b455cb4e0b491d485eb48_121">
              <w:r>
                <w:rPr>
                  <w:rStyle w:val="InternetLink"/>
                  <w:rFonts w:ascii="Times New Roman;sans-serif" w:hAnsi="Times New Roman;sans-serif"/>
                  <w:b w:val="false"/>
                  <w:color w:val="0000FF"/>
                  <w:sz w:val="20"/>
                  <w:u w:val="single"/>
                </w:rPr>
                <w:t>33</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c8c80de79b455cb4e0b491d485eb48_124">
              <w:r>
                <w:rPr>
                  <w:rStyle w:val="InternetLink"/>
                  <w:rFonts w:ascii="Times New Roman;sans-serif" w:hAnsi="Times New Roman;sans-serif"/>
                  <w:b/>
                  <w:color w:val="0000FF"/>
                  <w:sz w:val="20"/>
                  <w:u w:val="single"/>
                </w:rPr>
                <w:t>ITEM 4. Mine Safety Disclosures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c8c80de79b455cb4e0b491d485eb48_124">
              <w:r>
                <w:rPr>
                  <w:rStyle w:val="InternetLink"/>
                  <w:rFonts w:ascii="Times New Roman;sans-serif" w:hAnsi="Times New Roman;sans-serif"/>
                  <w:b w:val="false"/>
                  <w:color w:val="0000FF"/>
                  <w:sz w:val="20"/>
                  <w:u w:val="single"/>
                </w:rPr>
                <w:t>33</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c8c80de79b455cb4e0b491d485eb48_127">
              <w:r>
                <w:rPr>
                  <w:rStyle w:val="InternetLink"/>
                  <w:rFonts w:ascii="Times New Roman;sans-serif" w:hAnsi="Times New Roman;sans-serif"/>
                  <w:b/>
                  <w:color w:val="0000FF"/>
                  <w:sz w:val="20"/>
                  <w:u w:val="single"/>
                </w:rPr>
                <w:t>ITEM 5. Other Information</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c8c80de79b455cb4e0b491d485eb48_127">
              <w:r>
                <w:rPr>
                  <w:rStyle w:val="InternetLink"/>
                  <w:rFonts w:ascii="Times New Roman;sans-serif" w:hAnsi="Times New Roman;sans-serif"/>
                  <w:b w:val="false"/>
                  <w:color w:val="0000FF"/>
                  <w:sz w:val="20"/>
                  <w:u w:val="single"/>
                </w:rPr>
                <w:t>33</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c8c80de79b455cb4e0b491d485eb48_130">
              <w:r>
                <w:rPr>
                  <w:rStyle w:val="InternetLink"/>
                  <w:rFonts w:ascii="Times New Roman;sans-serif" w:hAnsi="Times New Roman;sans-serif"/>
                  <w:b/>
                  <w:color w:val="0000FF"/>
                  <w:sz w:val="20"/>
                  <w:u w:val="single"/>
                </w:rPr>
                <w:t>ITEM 6. Exhibits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c8c80de79b455cb4e0b491d485eb48_130">
              <w:r>
                <w:rPr>
                  <w:rStyle w:val="InternetLink"/>
                  <w:rFonts w:ascii="Times New Roman;sans-serif" w:hAnsi="Times New Roman;sans-serif"/>
                  <w:b w:val="false"/>
                  <w:color w:val="0000FF"/>
                  <w:sz w:val="20"/>
                  <w:u w:val="single"/>
                </w:rPr>
                <w:t>34</w:t>
              </w:r>
            </w:hyperlink>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c8c80de79b455cb4e0b491d485eb48_133">
              <w:r>
                <w:rPr>
                  <w:rStyle w:val="InternetLink"/>
                  <w:rFonts w:ascii="Times New Roman;sans-serif" w:hAnsi="Times New Roman;sans-serif"/>
                  <w:b/>
                  <w:color w:val="0000FF"/>
                  <w:sz w:val="20"/>
                  <w:u w:val="single"/>
                </w:rPr>
                <w:t>SIGNATURES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c8c80de79b455cb4e0b491d485eb48_133">
              <w:r>
                <w:rPr>
                  <w:rStyle w:val="InternetLink"/>
                  <w:rFonts w:ascii="Times New Roman;sans-serif" w:hAnsi="Times New Roman;sans-serif"/>
                  <w:b w:val="false"/>
                  <w:color w:val="0000FF"/>
                  <w:sz w:val="20"/>
                  <w:u w:val="single"/>
                </w:rPr>
                <w:t>35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 AND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per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239" w:type="dxa"/>
        <w:jc w:val="center"/>
        <w:tblInd w:w="0" w:type="dxa"/>
        <w:tblLayout w:type="fixed"/>
        <w:tblCellMar>
          <w:top w:w="28" w:type="dxa"/>
          <w:left w:w="28" w:type="dxa"/>
          <w:bottom w:w="28" w:type="dxa"/>
          <w:right w:w="28" w:type="dxa"/>
        </w:tblCellMar>
      </w:tblPr>
      <w:tblGrid>
        <w:gridCol w:w="1314"/>
        <w:gridCol w:w="1157"/>
        <w:gridCol w:w="115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provision for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24,908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33,197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65,950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53,074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Weighted average shares outstanding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share data)</w:t>
      </w:r>
    </w:p>
    <w:tbl>
      <w:tblPr>
        <w:tblW w:w="10205" w:type="dxa"/>
        <w:jc w:val="left"/>
        <w:tblInd w:w="0" w:type="dxa"/>
        <w:tblLayout w:type="fixed"/>
        <w:tblCellMar>
          <w:top w:w="28" w:type="dxa"/>
          <w:left w:w="28" w:type="dxa"/>
          <w:bottom w:w="28" w:type="dxa"/>
          <w:right w:w="28" w:type="dxa"/>
        </w:tblCellMar>
      </w:tblPr>
      <w:tblGrid>
        <w:gridCol w:w="2969"/>
        <w:gridCol w:w="2231"/>
        <w:gridCol w:w="2245"/>
        <w:gridCol w:w="196"/>
        <w:gridCol w:w="889"/>
        <w:gridCol w:w="109"/>
        <w:gridCol w:w="109"/>
        <w:gridCol w:w="109"/>
        <w:gridCol w:w="109"/>
        <w:gridCol w:w="196"/>
        <w:gridCol w:w="886"/>
        <w:gridCol w:w="157"/>
      </w:tblGrid>
      <w:tr>
        <w:trPr/>
        <w:tc>
          <w:tcPr>
            <w:tcW w:w="296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April 1,</w:t>
              <w:br/>
              <w:t>2023</w:t>
            </w:r>
          </w:p>
        </w:tc>
      </w:tr>
      <w:tr>
        <w:trPr/>
        <w:tc>
          <w:tcPr>
            <w:tcW w:w="7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284,466 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less allowance for credit losses of $5,044 at September 30, 2023 and $4,932 at April 1, 2023</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179,142 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259,379 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769,722 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310,885 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less accumulated amortization of $433,092 at September 30, 2023 and $417,422 at April 1, 2023</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275,771 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466,231 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2,011,275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1,934,825</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9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payable and current maturities of long-term debt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related costs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251,816 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current maturities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754,102 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liability</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Authorized — 150,000,000 shares; Issued and outstanding — 50,740,389 shares at September 30, 2023 and 50,448,519 shares at April 1, 2023</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594,706 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253,168 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(30,381)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817,997 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2,011,275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1,934,825</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10205" w:type="dxa"/>
        <w:jc w:val="left"/>
        <w:tblInd w:w="0" w:type="dxa"/>
        <w:tblLayout w:type="fixed"/>
        <w:tblCellMar>
          <w:top w:w="28" w:type="dxa"/>
          <w:left w:w="28" w:type="dxa"/>
          <w:bottom w:w="28" w:type="dxa"/>
          <w:right w:w="28" w:type="dxa"/>
        </w:tblCellMar>
      </w:tblPr>
      <w:tblGrid>
        <w:gridCol w:w="936"/>
        <w:gridCol w:w="610"/>
        <w:gridCol w:w="616"/>
        <w:gridCol w:w="330"/>
        <w:gridCol w:w="331"/>
        <w:gridCol w:w="171"/>
        <w:gridCol w:w="109"/>
        <w:gridCol w:w="109"/>
        <w:gridCol w:w="109"/>
        <w:gridCol w:w="196"/>
        <w:gridCol w:w="436"/>
        <w:gridCol w:w="109"/>
        <w:gridCol w:w="109"/>
        <w:gridCol w:w="109"/>
        <w:gridCol w:w="109"/>
        <w:gridCol w:w="196"/>
        <w:gridCol w:w="751"/>
        <w:gridCol w:w="109"/>
        <w:gridCol w:w="109"/>
        <w:gridCol w:w="109"/>
        <w:gridCol w:w="109"/>
        <w:gridCol w:w="208"/>
        <w:gridCol w:w="801"/>
        <w:gridCol w:w="116"/>
        <w:gridCol w:w="109"/>
        <w:gridCol w:w="109"/>
        <w:gridCol w:w="109"/>
        <w:gridCol w:w="270"/>
        <w:gridCol w:w="992"/>
        <w:gridCol w:w="150"/>
        <w:gridCol w:w="109"/>
        <w:gridCol w:w="109"/>
        <w:gridCol w:w="109"/>
        <w:gridCol w:w="220"/>
        <w:gridCol w:w="844"/>
        <w:gridCol w:w="178"/>
      </w:tblGrid>
      <w:tr>
        <w:trPr/>
        <w:tc>
          <w:tcPr>
            <w:tcW w:w="93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 (Loss)/Income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 Equity</w:t>
            </w:r>
          </w:p>
        </w:tc>
      </w:tr>
      <w:tr>
        <w:trPr/>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April 1, 2023</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50,449</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594,706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253,168</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(30,381)</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817,997</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plan</w:t>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2,871 </w:t>
            </w:r>
          </w:p>
        </w:tc>
        <w:tc>
          <w:tcPr>
            <w:tcW w:w="1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net of cancellations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on employee equity awards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41,042 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July 1, 2023</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50,706</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609,610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284,017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(29,518)</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864,616</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692 </w:t>
            </w:r>
          </w:p>
        </w:tc>
        <w:tc>
          <w:tcPr>
            <w:tcW w:w="1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net of cancellations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on employee equity awards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24,908 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September 30, 2023</w:t>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50,740</w:t>
            </w: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616,960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308,898</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(32,705)</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893,660</w:t>
            </w:r>
            <w:r>
              <w:rPr>
                <w:color w:val="000000"/>
              </w:rPr>
              <w:t>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36"/>
        <w:gridCol w:w="610"/>
        <w:gridCol w:w="616"/>
        <w:gridCol w:w="330"/>
        <w:gridCol w:w="331"/>
        <w:gridCol w:w="171"/>
        <w:gridCol w:w="109"/>
        <w:gridCol w:w="109"/>
        <w:gridCol w:w="109"/>
        <w:gridCol w:w="196"/>
        <w:gridCol w:w="436"/>
        <w:gridCol w:w="109"/>
        <w:gridCol w:w="109"/>
        <w:gridCol w:w="109"/>
        <w:gridCol w:w="109"/>
        <w:gridCol w:w="196"/>
        <w:gridCol w:w="751"/>
        <w:gridCol w:w="109"/>
        <w:gridCol w:w="109"/>
        <w:gridCol w:w="109"/>
        <w:gridCol w:w="109"/>
        <w:gridCol w:w="208"/>
        <w:gridCol w:w="801"/>
        <w:gridCol w:w="116"/>
        <w:gridCol w:w="109"/>
        <w:gridCol w:w="109"/>
        <w:gridCol w:w="109"/>
        <w:gridCol w:w="270"/>
        <w:gridCol w:w="992"/>
        <w:gridCol w:w="150"/>
        <w:gridCol w:w="109"/>
        <w:gridCol w:w="109"/>
        <w:gridCol w:w="109"/>
        <w:gridCol w:w="220"/>
        <w:gridCol w:w="844"/>
        <w:gridCol w:w="178"/>
      </w:tblGrid>
      <w:tr>
        <w:trPr/>
        <w:tc>
          <w:tcPr>
            <w:tcW w:w="93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 (Loss)/Income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 Equity</w:t>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April 2, 2022</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51,124</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572,476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202,391</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(25,954)</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749,424</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plan</w:t>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2,459 </w:t>
            </w:r>
          </w:p>
        </w:tc>
        <w:tc>
          <w:tcPr>
            <w:tcW w:w="1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net of cancellations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19,877 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July 2, 2022</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51,315</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580,359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222,268</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(32,717)</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770,423</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6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2,192 </w:t>
            </w:r>
          </w:p>
        </w:tc>
        <w:tc>
          <w:tcPr>
            <w:tcW w:w="17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repurchased</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(51,101)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net of cancellations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33,197 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33,197 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October 1, 2022</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50,605</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564,394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204,364</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(40,255)</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729,009</w:t>
            </w: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in thousands) </w:t>
      </w:r>
    </w:p>
    <w:tbl>
      <w:tblPr>
        <w:tblW w:w="8911" w:type="dxa"/>
        <w:jc w:val="center"/>
        <w:tblInd w:w="0" w:type="dxa"/>
        <w:tblLayout w:type="fixed"/>
        <w:tblCellMar>
          <w:top w:w="28" w:type="dxa"/>
          <w:left w:w="28" w:type="dxa"/>
          <w:bottom w:w="28" w:type="dxa"/>
          <w:right w:w="28" w:type="dxa"/>
        </w:tblCellMar>
      </w:tblPr>
      <w:tblGrid>
        <w:gridCol w:w="2273"/>
        <w:gridCol w:w="2001"/>
        <w:gridCol w:w="2010"/>
        <w:gridCol w:w="222"/>
        <w:gridCol w:w="854"/>
        <w:gridCol w:w="123"/>
        <w:gridCol w:w="109"/>
        <w:gridCol w:w="109"/>
        <w:gridCol w:w="109"/>
        <w:gridCol w:w="196"/>
        <w:gridCol w:w="751"/>
        <w:gridCol w:w="154"/>
      </w:tblGrid>
      <w:tr>
        <w:trPr/>
        <w:tc>
          <w:tcPr>
            <w:tcW w:w="2273"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1,</w:t>
              <w:br/>
              <w:t>2022</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Adjustments to reconcile net income to net cash provided by operating activities:</w:t>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Non-cash items:</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46,045 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13,695 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assets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financing costs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 reserve adjustment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non-cash operating activities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Change in operating assets and liabilities:</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accounts receivable</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inventories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(30,654)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prepaid income taxes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other assets and other liabilities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(10,291)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accounts payable and accrued expenses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18,762 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118,210 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129,032 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(34,317)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divestiture</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property, plant and equipment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investments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(40,396)</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(89,282)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loan borrowings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loan redemption</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revolving facility</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term loan borrowings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issuance costs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repurchases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Contingent consideration payments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employee stock purchase plan</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used to net share settle employee equity awards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activities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(7,770)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rates on cash and cash equivalents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Cash and Cash Equivalents</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66,539 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Beginning of Period</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284,466 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and Cash Equivalents at End of Period</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351,005</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241,200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Information:</w:t>
            </w:r>
          </w:p>
        </w:tc>
        <w:tc>
          <w:tcPr>
            <w:tcW w:w="119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Non-Cash Investing and Financing Activities:</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Transfers from inventory to fixed assets for placement of Haemonetics equipment</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17,523 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 BASIS OF PRESENTATION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of Haemonetics Corporation (“Haemonetics” or the “Company”) presented herein have been prepared in accordance with generally accepted accounting principles in the United States of America (“U.S. GAAP”) for interim financial information and with the instructions to Form 10-Q and Article 10 of Regulation S-X. Accordingly, they do not include all of the information and footnotes required by U.S. GAAP for complete financial statements. In the opinion of the Company’s management, all adjustments (consisting of normal recurring adjustments) considered necessary for a fair presentation have been included. All intercompany transactions have been eliminated. Operating results for the six months ended September 30, 2023 are not necessarily indicative of the results that may be expected for the full fiscal year ending March 30, 2024 or any other interim period. These unaudited condensed consolidated financial statements should be read in conjunction with the audited consolidated financial statements and footnotes included in the Annual Report on Form 10-K for the fiscal year ended April 1, 2023.</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 considers events or transactions that occur after the balance sheet date but prior to the issuance of the financial statements to provide additional </w:t>
      </w:r>
      <w:r>
        <w:rPr>
          <w:rFonts w:ascii="Times New Roman;sans-serif" w:hAnsi="Times New Roman;sans-serif"/>
          <w:b w:val="false"/>
          <w:color w:val="000000"/>
          <w:sz w:val="20"/>
          <w:shd w:fill="FFFFFF" w:val="clear"/>
        </w:rPr>
        <w:t xml:space="preserve">evidence relative to certain estimates or to identify matters that require additional disclosure. Subsequent events have been evaluated as required. There were no material recognized or unrecognized subsequent events as of or for the six months ended September 30, 2023, except for those discussed in Note 3, </w:t>
      </w:r>
      <w:r>
        <w:rPr>
          <w:rFonts w:ascii="Times New Roman;sans-serif" w:hAnsi="Times New Roman;sans-serif"/>
          <w:b w:val="false"/>
          <w:i/>
          <w:color w:val="000000"/>
          <w:sz w:val="20"/>
          <w:shd w:fill="FFFFFF" w:val="clear"/>
        </w:rPr>
        <w:t>Acquisitions and Strategic Investments</w:t>
      </w:r>
      <w:r>
        <w:rPr>
          <w:rFonts w:ascii="Times New Roman;sans-serif" w:hAnsi="Times New Roman;sans-serif"/>
          <w:b w:val="false"/>
          <w:color w:val="000000"/>
          <w:sz w:val="20"/>
          <w:shd w:fill="FFFFFF" w:val="clear"/>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2. RECENT ACCOUNTING PRONOUNCEMENTS </w:t>
      </w:r>
    </w:p>
    <w:p>
      <w:pPr>
        <w:pStyle w:val="TextBody"/>
        <w:bidi w:val="0"/>
        <w:spacing w:before="0" w:after="0"/>
        <w:jc w:val="left"/>
        <w:rPr/>
      </w:pPr>
      <w:r>
        <w:rPr/>
      </w:r>
    </w:p>
    <w:p>
      <w:pPr>
        <w:pStyle w:val="TextBody"/>
        <w:bidi w:val="0"/>
        <w:spacing w:lineRule="auto" w:line="254"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Standards Implemented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are currently no recent accounting pronouncements that the Company expects to have a material impact on its financial position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3. ACQUISITIONS AND STRATEGIC INVESTMENTS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 part of the Company’s business development activities, it holds strategic investments in certain entities. During fiscal 2024, the Company made strategic investments totaling $7.0 million. During fiscal year 2023, the Company made investments in Vivasure Medical LTD (“Vivasure”), totaling €30 million. The investments in Vivasure include both preferred stock and a special share that allows the Company to acquire Vivasure in accordance with an agreement between the parties. The Company’s strategic investments are classified as other long-term assets on the Company’s Condensed </w:t>
      </w:r>
      <w:r>
        <w:rPr>
          <w:rFonts w:ascii="Times New Roman;sans-serif" w:hAnsi="Times New Roman;sans-serif"/>
          <w:b w:val="false"/>
          <w:color w:val="000000"/>
          <w:sz w:val="20"/>
          <w:shd w:fill="FFFFFF" w:val="clear"/>
        </w:rPr>
        <w:t xml:space="preserve">Consolidated Balance Sheets and the Company has not recorded any adjustments to the carrying value of the strategic investments during </w:t>
      </w:r>
      <w:r>
        <w:rPr>
          <w:rFonts w:ascii="Times New Roman;sans-serif" w:hAnsi="Times New Roman;sans-serif"/>
          <w:b w:val="false"/>
          <w:color w:val="000000"/>
          <w:sz w:val="20"/>
        </w:rPr>
        <w:t>three and six months ended September 30, 2023</w:t>
      </w:r>
      <w:r>
        <w:rPr>
          <w:rFonts w:ascii="Times New Roman;sans-serif" w:hAnsi="Times New Roman;sans-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Agreement to acquire OpSens,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October 10, 2023, the Company announced it has entered into a definitive agreement to acquire all of the issued and outstanding common shares of OpSens, Inc. (“OpSens”) for CAD $2.90 per share in an all-cash transaction, representing a fully diluted equity value of approximately USD $253.0 million at the exchange rate on the date of announcement. Completion of the acquisition is subject to the approval of OpSens shareholders, receipt of court and regulatory approval, as well as certain other closing conditions customary for transactions of this nature. The transaction is expected to close by the end of January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OpSens offers commercially and clinically validated optical technology for use primarily in interventional cardiology. OpSens’ core products include the SavvyWire® that acts as pacing and pressure monitoring wire advancing the workflow of the procedure and enabling potentially shorter hospital stays for patients, and the OptoWire®, a pressure guidewire that aims to improve clinical outcomes by accurately and consistently measuring Fractional Flow Reserve (FFR) and diastolic pressure ratio (dPR) to aid clinicians in the diagnosis and treatment of patients with coronary artery disease. OpSens also manufactures a range of fiber optic sensor solutions used in medical devices and other critical industrial applications. The addition of OpSens will expand the Hospital business unit portfolio in the interventional cardiology market.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4. REVENUE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Company’s revenue recognition policy is to recognize revenues from product sales, software and services in accordance with ASC Topic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Revenue is recognized when obligations under the terms of a contract with a customer are satisfied; this occurs with the transfer of control of the Company’s goods or services. The Company considers revenue to be earned when all of the following criteria are met: it has a contract with a customer that creates enforceable rights and obligations; promised products or services are identified; the transaction price, or the consideration it expects to receive for transferring goods or providing services, is determinable and it has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had $22.0 million of transaction price allocated to remaining performance obligations related to executed contracts with an original duration of one year or more. The Company expects to recognize approximately 78% of this amount as revenue within the next twelve months and the remaining balance thereafter.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Contract Balances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timing of revenue recognition, billings and cash collections results in billed accounts receivable, unbilled receivables and contract assets, as well as customer advances, customer deposits and deferred revenue (contract liabilities) on the Condensed Consolidated Balance Sheets. The difference in timing between billing and revenue recognition primarily occurs in software licensing arrangements, resulting in contract assets and contract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April 1, 2023, the Company had contract liabilities of $31.7 million and $30.2 million, respectively. During the three and six months ended September 30, 2023, the Company recognized $7.0 million and $20.5 million of revenue, respectively, that was included in the above April 1, 2023 contract liability balance. Contract liabilities are classified as other current liabilities on the condensed consolidated balance sheet. As of September 30, 2023 and April 1, 2023, the Company’s contract assets were immaterial.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5. RESTRUCTURING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July 2019, the Board of Directors of the Company approved the Operational Excellence Program (the “2020 Program”) and delegated authority to the Company’s management to determine the detail of the initiatives that will comprise the program. During fiscal 2022, the Company revised the program to improve product and service quality, reduce cost principally in its manufacturing and supply chain operations and ensure sustainability while helping to offset impacts from a previously announced customer loss, rising inflationary pressures and effects of the COVID-19 pandemic. The Company expects to incur aggregate charges between $95 million and $105 million by the end of fiscal 2025 under the program. The majority of charges will result in cash outlays, including severance and other employee costs, and will be incurred as the specific actions required to execute these initiatives are identified and approved. During the three and six months ended September 30, 2023, the Company incurred $2.0 million and $4.2 million, respectively, of restructuring and restructuring related costs under this program. During the three and six months ended October 1, 2022, the Company incurred $3.1 million and $6.6 million, respectively, of restructuring and restructuring related costs under this program. Total cumulative charges under this program are $71.4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for restructuring reserves related to the 2020 Program and prior programs for the six months ended September 30, 2023, substantially all of which relates to employee severance and other employee costs:</w:t>
      </w:r>
    </w:p>
    <w:tbl>
      <w:tblPr>
        <w:tblW w:w="7030" w:type="dxa"/>
        <w:jc w:val="center"/>
        <w:tblInd w:w="0" w:type="dxa"/>
        <w:tblLayout w:type="fixed"/>
        <w:tblCellMar>
          <w:top w:w="28" w:type="dxa"/>
          <w:left w:w="28" w:type="dxa"/>
          <w:bottom w:w="28" w:type="dxa"/>
          <w:right w:w="28" w:type="dxa"/>
        </w:tblCellMar>
      </w:tblPr>
      <w:tblGrid>
        <w:gridCol w:w="956"/>
        <w:gridCol w:w="841"/>
        <w:gridCol w:w="842"/>
        <w:gridCol w:w="109"/>
        <w:gridCol w:w="109"/>
        <w:gridCol w:w="109"/>
        <w:gridCol w:w="263"/>
        <w:gridCol w:w="770"/>
        <w:gridCol w:w="136"/>
        <w:gridCol w:w="109"/>
        <w:gridCol w:w="109"/>
        <w:gridCol w:w="109"/>
        <w:gridCol w:w="337"/>
        <w:gridCol w:w="746"/>
        <w:gridCol w:w="177"/>
        <w:gridCol w:w="109"/>
        <w:gridCol w:w="109"/>
        <w:gridCol w:w="109"/>
        <w:gridCol w:w="211"/>
        <w:gridCol w:w="61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April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 net of reversals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presents the restructuring costs by line item within our accompanying unaudited Condensed Consolidated Statements of Income and Comprehensive Income:</w:t>
      </w:r>
    </w:p>
    <w:tbl>
      <w:tblPr>
        <w:tblW w:w="8807" w:type="dxa"/>
        <w:jc w:val="center"/>
        <w:tblInd w:w="0" w:type="dxa"/>
        <w:tblLayout w:type="fixed"/>
        <w:tblCellMar>
          <w:top w:w="28" w:type="dxa"/>
          <w:left w:w="28" w:type="dxa"/>
          <w:bottom w:w="28" w:type="dxa"/>
          <w:right w:w="28" w:type="dxa"/>
        </w:tblCellMar>
      </w:tblPr>
      <w:tblGrid>
        <w:gridCol w:w="1352"/>
        <w:gridCol w:w="1188"/>
        <w:gridCol w:w="1195"/>
        <w:gridCol w:w="352"/>
        <w:gridCol w:w="603"/>
        <w:gridCol w:w="184"/>
        <w:gridCol w:w="109"/>
        <w:gridCol w:w="109"/>
        <w:gridCol w:w="109"/>
        <w:gridCol w:w="237"/>
        <w:gridCol w:w="525"/>
        <w:gridCol w:w="122"/>
        <w:gridCol w:w="109"/>
        <w:gridCol w:w="109"/>
        <w:gridCol w:w="109"/>
        <w:gridCol w:w="305"/>
        <w:gridCol w:w="675"/>
        <w:gridCol w:w="159"/>
        <w:gridCol w:w="109"/>
        <w:gridCol w:w="109"/>
        <w:gridCol w:w="109"/>
        <w:gridCol w:w="216"/>
        <w:gridCol w:w="555"/>
        <w:gridCol w:w="158"/>
      </w:tblGrid>
      <w:tr>
        <w:trPr/>
        <w:tc>
          <w:tcPr>
            <w:tcW w:w="135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(In thousands) </w:t>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3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As of September 30, 2023, the Company had a restr</w:t>
      </w:r>
      <w:r>
        <w:rPr>
          <w:rFonts w:ascii="Times New Roman;sans-serif" w:hAnsi="Times New Roman;sans-serif"/>
          <w:b w:val="false"/>
          <w:color w:val="000000"/>
          <w:sz w:val="20"/>
          <w:shd w:fill="FFFFFF" w:val="clear"/>
        </w:rPr>
        <w:t xml:space="preserve">ucturing liability of </w:t>
      </w:r>
      <w:r>
        <w:rPr>
          <w:rFonts w:ascii="Times New Roman;sans-serif" w:hAnsi="Times New Roman;sans-serif"/>
          <w:b w:val="false"/>
          <w:color w:val="000000"/>
          <w:sz w:val="20"/>
        </w:rPr>
        <w:t>$1.5 million</w:t>
      </w:r>
      <w:r>
        <w:rPr>
          <w:rFonts w:ascii="Times New Roman;sans-serif" w:hAnsi="Times New Roman;sans-serif"/>
          <w:b w:val="false"/>
          <w:color w:val="000000"/>
          <w:sz w:val="20"/>
          <w:shd w:fill="FFFFFF" w:val="clear"/>
        </w:rPr>
        <w:t xml:space="preserve">, of which approximately </w:t>
      </w:r>
      <w:r>
        <w:rPr>
          <w:rFonts w:ascii="Times New Roman;sans-serif" w:hAnsi="Times New Roman;sans-serif"/>
          <w:b w:val="false"/>
          <w:color w:val="000000"/>
          <w:sz w:val="20"/>
        </w:rPr>
        <w:t>$1.1 million</w:t>
      </w:r>
      <w:r>
        <w:rPr>
          <w:color w:val="000000"/>
          <w:shd w:fill="FFFFFF" w:val="clear"/>
        </w:rPr>
        <w:t xml:space="preserve"> </w:t>
      </w:r>
      <w:r>
        <w:rPr>
          <w:rFonts w:ascii="Times New Roman;sans-serif" w:hAnsi="Times New Roman;sans-serif"/>
          <w:b w:val="false"/>
          <w:color w:val="000000"/>
          <w:sz w:val="20"/>
          <w:shd w:fill="FFFFFF" w:val="clear"/>
        </w:rPr>
        <w:t>is paya</w:t>
      </w:r>
      <w:r>
        <w:rPr>
          <w:rFonts w:ascii="Times New Roman;sans-serif" w:hAnsi="Times New Roman;sans-serif"/>
          <w:b w:val="false"/>
          <w:color w:val="000000"/>
          <w:sz w:val="20"/>
        </w:rPr>
        <w:t xml:space="preserve">ble within the next twelve months.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addition to the restructuring expenses included in the table above, the Company also incurred costs that do not constitute restructuring costs under ASC 420, </w:t>
      </w:r>
      <w:r>
        <w:rPr>
          <w:rFonts w:ascii="Times New Roman;sans-serif" w:hAnsi="Times New Roman;sans-serif"/>
          <w:b w:val="false"/>
          <w:i/>
          <w:color w:val="000000"/>
          <w:sz w:val="20"/>
        </w:rPr>
        <w:t>Exit and Disposal Cost Obligations,</w:t>
      </w:r>
      <w:r>
        <w:rPr>
          <w:color w:val="000000"/>
        </w:rPr>
        <w:t xml:space="preserve"> </w:t>
      </w:r>
      <w:r>
        <w:rPr>
          <w:rFonts w:ascii="Times New Roman;sans-serif" w:hAnsi="Times New Roman;sans-serif"/>
          <w:b w:val="false"/>
          <w:color w:val="000000"/>
          <w:sz w:val="20"/>
        </w:rPr>
        <w:t>and which the Company instead refers to as restructuring related costs. These costs consist primarily of expenditures directly related to the restructuring 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restructuring and restructuring related costs by reportable segment:</w:t>
      </w:r>
    </w:p>
    <w:tbl>
      <w:tblPr>
        <w:tblW w:w="10205" w:type="dxa"/>
        <w:jc w:val="center"/>
        <w:tblInd w:w="0" w:type="dxa"/>
        <w:tblLayout w:type="fixed"/>
        <w:tblCellMar>
          <w:top w:w="28" w:type="dxa"/>
          <w:left w:w="28" w:type="dxa"/>
          <w:bottom w:w="28" w:type="dxa"/>
          <w:right w:w="28" w:type="dxa"/>
        </w:tblCellMar>
      </w:tblPr>
      <w:tblGrid>
        <w:gridCol w:w="1391"/>
        <w:gridCol w:w="1221"/>
        <w:gridCol w:w="1224"/>
        <w:gridCol w:w="319"/>
        <w:gridCol w:w="955"/>
        <w:gridCol w:w="165"/>
        <w:gridCol w:w="109"/>
        <w:gridCol w:w="109"/>
        <w:gridCol w:w="109"/>
        <w:gridCol w:w="272"/>
        <w:gridCol w:w="817"/>
        <w:gridCol w:w="140"/>
        <w:gridCol w:w="109"/>
        <w:gridCol w:w="109"/>
        <w:gridCol w:w="109"/>
        <w:gridCol w:w="319"/>
        <w:gridCol w:w="955"/>
        <w:gridCol w:w="165"/>
        <w:gridCol w:w="109"/>
        <w:gridCol w:w="109"/>
        <w:gridCol w:w="109"/>
        <w:gridCol w:w="270"/>
        <w:gridCol w:w="808"/>
        <w:gridCol w:w="203"/>
      </w:tblGrid>
      <w:tr>
        <w:trPr/>
        <w:tc>
          <w:tcPr>
            <w:tcW w:w="139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Restructuring costs</w:t>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(In thousands) </w:t>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2022</w:t>
            </w:r>
          </w:p>
        </w:tc>
      </w:tr>
      <w:tr>
        <w:trPr/>
        <w:tc>
          <w:tcPr>
            <w:tcW w:w="3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Plasma</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6"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3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Restructuring related costs</w:t>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(In thousands) </w:t>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2022</w:t>
            </w:r>
          </w:p>
        </w:tc>
      </w:tr>
      <w:tr>
        <w:trPr/>
        <w:tc>
          <w:tcPr>
            <w:tcW w:w="3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Plasma</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Blood Center</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restructuring and restructuring related costs</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2,033</w:t>
            </w: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3,194</w:t>
            </w:r>
            <w:r>
              <w:rPr>
                <w:color w:val="000000"/>
              </w:rPr>
              <w:t>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4,226</w:t>
            </w: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6,672</w:t>
            </w:r>
            <w:r>
              <w:rPr>
                <w:color w:val="000000"/>
              </w:rPr>
              <w:t>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6. INCOME TAXES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conducts business globally and reports its results of operations in a number of foreign jurisdictions in addition to the United States. The Company’s reported tax rate is impacted by the jurisdictional mix of earnings in any given period as the foreign jurisdictions in which it operates have tax rates that differ from the U.S. statutory tax rate.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For the three and six months ended September 30, 2023, the Company reported income tax expense of $7.9 million and $18.5 million, respectively, representing effective tax rates of 24.1% an</w:t>
      </w:r>
      <w:r>
        <w:rPr>
          <w:rFonts w:ascii="Times New Roman;sans-serif" w:hAnsi="Times New Roman;sans-serif"/>
          <w:b w:val="false"/>
          <w:color w:val="000000"/>
          <w:sz w:val="20"/>
          <w:shd w:fill="FFFFFF" w:val="clear"/>
        </w:rPr>
        <w:t xml:space="preserve">d 21.9%, respectively. The effective tax rate for the three months ended September 30, 2023 includes $0.1 million of discrete tax benefit primarily related to stock compensation windfalls. The effective tax rate for the six months ended September 30, 2023, includes $1.3 million of discrete tax benefit primarily related to stock compensation windfalls.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For the three and six months ended October 1, 2022, the Company reported inc</w:t>
      </w:r>
      <w:r>
        <w:rPr>
          <w:rFonts w:ascii="Times New Roman;sans-serif" w:hAnsi="Times New Roman;sans-serif"/>
          <w:b w:val="false"/>
          <w:color w:val="000000"/>
          <w:sz w:val="20"/>
          <w:shd w:fill="FFFFFF" w:val="clear"/>
        </w:rPr>
        <w:t xml:space="preserve">ome tax expense of $7.9 million and $13.5 million, respectively, representing effective tax rates of 19.1% and 20.3%, respectively. The effective tax rate for the three months ended October 1, 2022 include a discrete tax benefit of $0.5 million related to tax rate changes enacted in the quarter and $0.3 million of discrete tax benefit relating to stock compensation windfalls. The effective tax rate for the </w:t>
      </w:r>
      <w:r>
        <w:rPr>
          <w:rFonts w:ascii="Times New Roman;sans-serif" w:hAnsi="Times New Roman;sans-serif"/>
          <w:b w:val="false"/>
          <w:color w:val="000000"/>
          <w:sz w:val="20"/>
        </w:rPr>
        <w:t xml:space="preserve">six months ended October 1, 2022, includes a discrete tax benefit of $0.5 million related to tax rate changes enacted in the period and $0.3 million of discrete tax expense relating to stock compensation shortfalls. </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7. EARNINGS PER SHARE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reconciliation of the numerators and denominators of the basic and diluted earnings per share computations. </w:t>
      </w:r>
    </w:p>
    <w:tbl>
      <w:tblPr>
        <w:tblW w:w="8717" w:type="dxa"/>
        <w:jc w:val="left"/>
        <w:tblInd w:w="0" w:type="dxa"/>
        <w:tblLayout w:type="fixed"/>
        <w:tblCellMar>
          <w:top w:w="28" w:type="dxa"/>
          <w:left w:w="28" w:type="dxa"/>
          <w:bottom w:w="28" w:type="dxa"/>
          <w:right w:w="28" w:type="dxa"/>
        </w:tblCellMar>
      </w:tblPr>
      <w:tblGrid>
        <w:gridCol w:w="1204"/>
        <w:gridCol w:w="1059"/>
        <w:gridCol w:w="1066"/>
        <w:gridCol w:w="231"/>
        <w:gridCol w:w="790"/>
        <w:gridCol w:w="119"/>
        <w:gridCol w:w="109"/>
        <w:gridCol w:w="109"/>
        <w:gridCol w:w="109"/>
        <w:gridCol w:w="211"/>
        <w:gridCol w:w="721"/>
        <w:gridCol w:w="109"/>
        <w:gridCol w:w="109"/>
        <w:gridCol w:w="109"/>
        <w:gridCol w:w="109"/>
        <w:gridCol w:w="231"/>
        <w:gridCol w:w="790"/>
        <w:gridCol w:w="119"/>
        <w:gridCol w:w="109"/>
        <w:gridCol w:w="109"/>
        <w:gridCol w:w="109"/>
        <w:gridCol w:w="211"/>
        <w:gridCol w:w="721"/>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i/>
                <w:color w:val="000000"/>
                <w:sz w:val="16"/>
              </w:rPr>
              <w:t>(In thousands, except per share amounts)</w:t>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3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EPS</w:t>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per share</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0.49</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EPS</w:t>
            </w:r>
          </w:p>
        </w:tc>
        <w:tc>
          <w:tcPr>
            <w:tcW w:w="114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effect of common stock equivalents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51,396 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income per share</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0.48</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0.64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Basic earnings per share is calculated using the Company’s weighted-average outstanding common shares. Diluted earnings per share is calculated using its weighted-average outstanding common shares including the dilutive effect of stock awards as determined under the treasury stock method and the convertible senior notes as determined under the net share settlement method. From the time of the issuance of the convertible senior notes, the average market price of the Company's common shares has been less than the initial conversion price, and consequently no shares have been included in diluted earnings per share for the co</w:t>
      </w:r>
      <w:r>
        <w:rPr>
          <w:rFonts w:ascii="Times New Roman;sans-serif" w:hAnsi="Times New Roman;sans-serif"/>
          <w:b w:val="false"/>
          <w:color w:val="000000"/>
          <w:sz w:val="20"/>
          <w:shd w:fill="FFFFFF" w:val="clear"/>
        </w:rPr>
        <w:t xml:space="preserve">nversion value of the convertible senior notes. For the </w:t>
      </w:r>
      <w:r>
        <w:rPr>
          <w:rFonts w:ascii="Times New Roman;sans-serif" w:hAnsi="Times New Roman;sans-serif"/>
          <w:b w:val="false"/>
          <w:color w:val="000000"/>
          <w:sz w:val="20"/>
        </w:rPr>
        <w:t>three and six months ended September 30, 2023</w:t>
      </w:r>
      <w:r>
        <w:rPr>
          <w:rFonts w:ascii="Times New Roman;sans-serif" w:hAnsi="Times New Roman;sans-serif"/>
          <w:b w:val="false"/>
          <w:color w:val="000000"/>
          <w:sz w:val="20"/>
          <w:shd w:fill="FFFFFF" w:val="clear"/>
        </w:rPr>
        <w:t xml:space="preserve">, weighted average shares outstanding, assuming dilution, excludes the impact of 0.7 million and 0.6 million anti-dilutive shares, respectively. For the </w:t>
      </w:r>
      <w:r>
        <w:rPr>
          <w:rFonts w:ascii="Times New Roman;sans-serif" w:hAnsi="Times New Roman;sans-serif"/>
          <w:b w:val="false"/>
          <w:color w:val="000000"/>
          <w:sz w:val="20"/>
        </w:rPr>
        <w:t>three and six months ended October 1, 2022</w:t>
      </w:r>
      <w:r>
        <w:rPr>
          <w:rFonts w:ascii="Times New Roman;sans-serif" w:hAnsi="Times New Roman;sans-serif"/>
          <w:b w:val="false"/>
          <w:color w:val="000000"/>
          <w:sz w:val="20"/>
          <w:shd w:fill="FFFFFF" w:val="clear"/>
        </w:rPr>
        <w:t>, weighted average shares outstanding, assuming dilution, excludes the impact and 0.7 million and 0.8 million anti-dilutive shares, respectively.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Share Repurchase Program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August 2022, the Company announced that its Board of Directors had approved a three-year share repurchase program authorizing the repurchase of up to $300.0 million of Haemonetics common stock, based on market conditions, through August 2025. Under the share repurchase program, the Company is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 The actual timing, number and value of shares repurchased will be determined by the Company at its discretion and will depend on a number of factors, including market conditions, applicable legal requirements and compliance with the terms of loan covenants.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share repurchase program may be suspended, modified or discontinued at any time, and the Company has no obligation to repurchase any amount of its common stock under the program.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 fiscal 2023, the Company completed a $75.0 million repurchase of its common stock pursuant to an accelerated share repurchase agreement entered into with Citibank N.A. in August 2022. As of September 30, 2023</w:t>
      </w:r>
      <w:r>
        <w:rPr>
          <w:rFonts w:ascii="Times New Roman;sans-serif" w:hAnsi="Times New Roman;sans-serif"/>
          <w:b w:val="false"/>
          <w:color w:val="000000"/>
          <w:sz w:val="20"/>
          <w:shd w:fill="FFFFFF" w:val="clear"/>
        </w:rPr>
        <w:t>, the total remaining authorization for repurchases of the Company's common stock under the share repurchase program was $225.0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INVENTORIES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stated at the lower of cost or net realizable value and include the cost of material, labor and manufacturing overhead. Cost is determined with the first-in, first-out method.</w:t>
      </w:r>
    </w:p>
    <w:tbl>
      <w:tblPr>
        <w:tblW w:w="4596" w:type="dxa"/>
        <w:jc w:val="left"/>
        <w:tblInd w:w="0" w:type="dxa"/>
        <w:tblLayout w:type="fixed"/>
        <w:tblCellMar>
          <w:top w:w="28" w:type="dxa"/>
          <w:left w:w="28" w:type="dxa"/>
          <w:bottom w:w="28" w:type="dxa"/>
          <w:right w:w="28" w:type="dxa"/>
        </w:tblCellMar>
      </w:tblPr>
      <w:tblGrid>
        <w:gridCol w:w="605"/>
        <w:gridCol w:w="483"/>
        <w:gridCol w:w="487"/>
        <w:gridCol w:w="109"/>
        <w:gridCol w:w="109"/>
        <w:gridCol w:w="109"/>
        <w:gridCol w:w="211"/>
        <w:gridCol w:w="841"/>
        <w:gridCol w:w="109"/>
        <w:gridCol w:w="109"/>
        <w:gridCol w:w="109"/>
        <w:gridCol w:w="109"/>
        <w:gridCol w:w="211"/>
        <w:gridCol w:w="841"/>
        <w:gridCol w:w="154"/>
      </w:tblGrid>
      <w:tr>
        <w:trPr/>
        <w:tc>
          <w:tcPr>
            <w:tcW w:w="60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r>
      <w:tr>
        <w:trPr/>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285,830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259,379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August 2023, the Company issued a voluntary recall of certain products within the Whole Blood portion of our Blood Center business unit sold to customers in the U.S. and certain foreign jurisdictions. As of September 30, 2023, the Company has recorded charges of $4.3 million related to inventory.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PROPERTY, PLANT AND EQUIPMENT</w:t>
      </w:r>
    </w:p>
    <w:p>
      <w:pPr>
        <w:pStyle w:val="TextBody"/>
        <w:bidi w:val="0"/>
        <w:spacing w:before="0" w:after="0"/>
        <w:jc w:val="left"/>
        <w:rPr/>
      </w:pPr>
      <w:r>
        <w:rPr/>
      </w:r>
    </w:p>
    <w:tbl>
      <w:tblPr>
        <w:tblW w:w="6875" w:type="dxa"/>
        <w:jc w:val="left"/>
        <w:tblInd w:w="0" w:type="dxa"/>
        <w:tblLayout w:type="fixed"/>
        <w:tblCellMar>
          <w:top w:w="28" w:type="dxa"/>
          <w:left w:w="28" w:type="dxa"/>
          <w:bottom w:w="28" w:type="dxa"/>
          <w:right w:w="28" w:type="dxa"/>
        </w:tblCellMar>
      </w:tblPr>
      <w:tblGrid>
        <w:gridCol w:w="1393"/>
        <w:gridCol w:w="1226"/>
        <w:gridCol w:w="1235"/>
        <w:gridCol w:w="109"/>
        <w:gridCol w:w="109"/>
        <w:gridCol w:w="109"/>
        <w:gridCol w:w="211"/>
        <w:gridCol w:w="841"/>
        <w:gridCol w:w="109"/>
        <w:gridCol w:w="109"/>
        <w:gridCol w:w="109"/>
        <w:gridCol w:w="109"/>
        <w:gridCol w:w="211"/>
        <w:gridCol w:w="841"/>
        <w:gridCol w:w="154"/>
      </w:tblGrid>
      <w:tr>
        <w:trPr/>
        <w:tc>
          <w:tcPr>
            <w:tcW w:w="139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r>
      <w:tr>
        <w:trPr/>
        <w:tc>
          <w:tcPr>
            <w:tcW w:w="3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building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equipment and machinery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 and information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944,215 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307,766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310,885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September 30, 2023, depreciation expense was $13.6 million and $26.9 million, respectively. During the three and six months ended October 1, 2022, depreciation expense was $12.9 million and $24.6 million,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the second quarter of fiscal 2024, $4.3 million of the Company’s property, plant and equipment met held for sale accounting criteria and was reclassed to Prepaid expenses and other current assets in the Condensed Consolidated Balance Sheets.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10. LEASES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Lessor Activity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Assets on the Company’s balance sheet classified as Haemonetics equipment primarily consist of medical devices installed at customer sites but owned by Haemonetics. These devices are leased to customers under contractual arrangements that typically include an operating or sales-type lease as well as the purchase and consumption of a certain level of disposable products. Sales-type leases are not significant. Contract terms vary by customer and may include options to terminate the contract or options to extend the contract. Where devices are provided under operating lease arrangements, a substantial majority of the entire lease revenue is variable and subject to subsequent non-lease component (disposable products) sales. The allocation of revenue between the lease and non-lease components is based on stand-alone selling prices. Operating lease revenue represents </w:t>
      </w:r>
      <w:r>
        <w:rPr>
          <w:rFonts w:ascii="Times New Roman;sans-serif" w:hAnsi="Times New Roman;sans-serif"/>
          <w:b w:val="false"/>
          <w:color w:val="000000"/>
          <w:sz w:val="20"/>
          <w:shd w:fill="FFFFFF" w:val="clear"/>
        </w:rPr>
        <w:t>approximately 3 percent o</w:t>
      </w:r>
      <w:r>
        <w:rPr>
          <w:rFonts w:ascii="Times New Roman;sans-serif" w:hAnsi="Times New Roman;sans-serif"/>
          <w:b w:val="false"/>
          <w:color w:val="000000"/>
          <w:sz w:val="20"/>
        </w:rPr>
        <w:t>f the Company’s total net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11. GOODWILL AND INTANGIBLE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by operating segment for fiscal 2024 are as follows:</w:t>
      </w:r>
    </w:p>
    <w:tbl>
      <w:tblPr>
        <w:tblW w:w="9218" w:type="dxa"/>
        <w:jc w:val="left"/>
        <w:tblInd w:w="0" w:type="dxa"/>
        <w:tblLayout w:type="fixed"/>
        <w:tblCellMar>
          <w:top w:w="28" w:type="dxa"/>
          <w:left w:w="28" w:type="dxa"/>
          <w:bottom w:w="28" w:type="dxa"/>
          <w:right w:w="28" w:type="dxa"/>
        </w:tblCellMar>
      </w:tblPr>
      <w:tblGrid>
        <w:gridCol w:w="1359"/>
        <w:gridCol w:w="1194"/>
        <w:gridCol w:w="1197"/>
        <w:gridCol w:w="211"/>
        <w:gridCol w:w="736"/>
        <w:gridCol w:w="109"/>
        <w:gridCol w:w="109"/>
        <w:gridCol w:w="109"/>
        <w:gridCol w:w="109"/>
        <w:gridCol w:w="212"/>
        <w:gridCol w:w="742"/>
        <w:gridCol w:w="110"/>
        <w:gridCol w:w="109"/>
        <w:gridCol w:w="109"/>
        <w:gridCol w:w="109"/>
        <w:gridCol w:w="211"/>
        <w:gridCol w:w="841"/>
        <w:gridCol w:w="109"/>
        <w:gridCol w:w="109"/>
        <w:gridCol w:w="109"/>
        <w:gridCol w:w="109"/>
        <w:gridCol w:w="211"/>
        <w:gridCol w:w="841"/>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Plasma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Blood Center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Hospital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Carrying amount as of April 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466,231 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Carrying amount as of September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29,043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33,491</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402,871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465,405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gross carrying amount of intangible assets and the related accumulated amortization as of September 30, 2023 and April 1, 2023 is as follows:</w:t>
      </w:r>
    </w:p>
    <w:tbl>
      <w:tblPr>
        <w:tblW w:w="7984" w:type="dxa"/>
        <w:jc w:val="left"/>
        <w:tblInd w:w="0" w:type="dxa"/>
        <w:tblLayout w:type="fixed"/>
        <w:tblCellMar>
          <w:top w:w="28" w:type="dxa"/>
          <w:left w:w="28" w:type="dxa"/>
          <w:bottom w:w="28" w:type="dxa"/>
          <w:right w:w="28" w:type="dxa"/>
        </w:tblCellMar>
      </w:tblPr>
      <w:tblGrid>
        <w:gridCol w:w="1344"/>
        <w:gridCol w:w="1182"/>
        <w:gridCol w:w="1193"/>
        <w:gridCol w:w="226"/>
        <w:gridCol w:w="902"/>
        <w:gridCol w:w="116"/>
        <w:gridCol w:w="109"/>
        <w:gridCol w:w="109"/>
        <w:gridCol w:w="109"/>
        <w:gridCol w:w="211"/>
        <w:gridCol w:w="841"/>
        <w:gridCol w:w="109"/>
        <w:gridCol w:w="109"/>
        <w:gridCol w:w="109"/>
        <w:gridCol w:w="109"/>
        <w:gridCol w:w="211"/>
        <w:gridCol w:w="841"/>
        <w:gridCol w:w="154"/>
      </w:tblGrid>
      <w:tr>
        <w:trPr/>
        <w:tc>
          <w:tcPr>
            <w:tcW w:w="134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w:t>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Amortizable:</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developed technology</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contracts and related relationships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659,193</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433,092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226,101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Non-amortizable:</w:t>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software development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patents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24,403</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985" w:type="dxa"/>
        <w:jc w:val="left"/>
        <w:tblInd w:w="0" w:type="dxa"/>
        <w:tblLayout w:type="fixed"/>
        <w:tblCellMar>
          <w:top w:w="28" w:type="dxa"/>
          <w:left w:w="28" w:type="dxa"/>
          <w:bottom w:w="28" w:type="dxa"/>
          <w:right w:w="28" w:type="dxa"/>
        </w:tblCellMar>
      </w:tblPr>
      <w:tblGrid>
        <w:gridCol w:w="1349"/>
        <w:gridCol w:w="1184"/>
        <w:gridCol w:w="1187"/>
        <w:gridCol w:w="226"/>
        <w:gridCol w:w="902"/>
        <w:gridCol w:w="116"/>
        <w:gridCol w:w="109"/>
        <w:gridCol w:w="109"/>
        <w:gridCol w:w="109"/>
        <w:gridCol w:w="211"/>
        <w:gridCol w:w="841"/>
        <w:gridCol w:w="109"/>
        <w:gridCol w:w="109"/>
        <w:gridCol w:w="109"/>
        <w:gridCol w:w="109"/>
        <w:gridCol w:w="211"/>
        <w:gridCol w:w="841"/>
        <w:gridCol w:w="154"/>
      </w:tblGrid>
      <w:tr>
        <w:trPr/>
        <w:tc>
          <w:tcPr>
            <w:tcW w:w="134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 2023</w:t>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Amortizable:</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developed technology</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contracts and related relationships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672,720</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417,422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255,298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Non-amortizable:</w:t>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software development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patents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20,473</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4265" w:type="dxa"/>
            <w:gridSpan w:val="15"/>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Refer to Note 3, </w:t>
      </w:r>
      <w:r>
        <w:rPr>
          <w:rFonts w:ascii="Times New Roman;sans-serif" w:hAnsi="Times New Roman;sans-serif"/>
          <w:b w:val="false"/>
          <w:i/>
          <w:color w:val="000000"/>
          <w:sz w:val="20"/>
        </w:rPr>
        <w:t>Acquisitions and Strategic Investments,</w:t>
      </w:r>
      <w:r>
        <w:rPr>
          <w:color w:val="000000"/>
        </w:rPr>
        <w:t xml:space="preserve"> </w:t>
      </w:r>
      <w:r>
        <w:rPr>
          <w:rFonts w:ascii="Times New Roman;sans-serif" w:hAnsi="Times New Roman;sans-serif"/>
          <w:b w:val="false"/>
          <w:color w:val="000000"/>
          <w:sz w:val="20"/>
        </w:rPr>
        <w:t>for additional information regarding acquisitions.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Intangible assets include the value assigned to license rights and other developed technology, patents, customer contracts and relationship</w:t>
      </w:r>
      <w:r>
        <w:rPr>
          <w:rFonts w:ascii="Times New Roman;sans-serif" w:hAnsi="Times New Roman;sans-serif"/>
          <w:b w:val="false"/>
          <w:color w:val="000000"/>
          <w:sz w:val="20"/>
          <w:shd w:fill="FFFFFF" w:val="clear"/>
        </w:rPr>
        <w:t>s and trade names. The estimated useful lives for all of these intangible assets are approximately 5 to 15 years.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In the second quarter of fiscal 2024, the Company recorded an intangible asset impairment charge of </w:t>
      </w:r>
      <w:r>
        <w:rPr>
          <w:rFonts w:ascii="Times New Roman;sans-serif" w:hAnsi="Times New Roman;sans-serif"/>
          <w:b w:val="false"/>
          <w:color w:val="000000"/>
          <w:sz w:val="20"/>
        </w:rPr>
        <w:t>$10.4 million</w:t>
      </w:r>
      <w:r>
        <w:rPr>
          <w:color w:val="000000"/>
          <w:shd w:fill="FFFFFF" w:val="clear"/>
        </w:rPr>
        <w:t xml:space="preserve"> </w:t>
      </w:r>
      <w:r>
        <w:rPr>
          <w:rFonts w:ascii="Times New Roman;sans-serif" w:hAnsi="Times New Roman;sans-serif"/>
          <w:b w:val="false"/>
          <w:color w:val="000000"/>
          <w:sz w:val="20"/>
          <w:shd w:fill="FFFFFF" w:val="clear"/>
        </w:rPr>
        <w:t>related to the intangibles acquired as part of the enicor GmbH acquisition completed in fiscal 2021 within the Hospital business unit.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September 30, 2023, amortization expense was $9.4 million and $19.2 million, respectively. During the three and six months ended October 1, 2022, amortization expense was $10.6 million and $21.3 million,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Future annual amortization expense on intangible assets is estimated to be as follows:</w:t>
      </w:r>
    </w:p>
    <w:tbl>
      <w:tblPr>
        <w:tblW w:w="3618" w:type="dxa"/>
        <w:jc w:val="left"/>
        <w:tblInd w:w="0" w:type="dxa"/>
        <w:tblLayout w:type="fixed"/>
        <w:tblCellMar>
          <w:top w:w="28" w:type="dxa"/>
          <w:left w:w="28" w:type="dxa"/>
          <w:bottom w:w="28" w:type="dxa"/>
          <w:right w:w="28" w:type="dxa"/>
        </w:tblCellMar>
      </w:tblPr>
      <w:tblGrid>
        <w:gridCol w:w="799"/>
        <w:gridCol w:w="702"/>
        <w:gridCol w:w="704"/>
        <w:gridCol w:w="109"/>
        <w:gridCol w:w="109"/>
        <w:gridCol w:w="109"/>
        <w:gridCol w:w="211"/>
        <w:gridCol w:w="721"/>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Fiscal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12. NOTES PAYABLE AND LONG-TERM DEBT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Convertible Senior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$500.0 million aggregate principal amount of 0% convertible senior notes due 2026 (the “2026 Notes”). The 2026 Notes are governed by the terms of the Indenture between the Company and U.S. Bank National Association, as trustee. The total net proceeds from the sale of the 2026 Notes, after deducting the initial purchasers’ discounts and debt issuance costs, were approximately $486.7 million. The 2026 Notes will mature on March 1, 2026, unless earlier converted, redeemed or repurchased.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second quarter of fiscal 2024, the conditions allowing holders of the 2026 Notes to convert have not been met. The 2026 Notes were therefore not convertible as of September 30, 2023 and were classified as long-term debt on the Company’s Condensed Consolidated Balance Sheets.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$500.0 million principal balance was netted down by the $6.5 million of remaining debt issuance costs, resulting in a net convertible note payable of $493.5 million. Interest expense related to the 2026 Notes was $0.6 million and $1.3 million for the three and six months ended September 30, 2023, respectively, which is entirely attributable to the amortization of the debt issuance costs. The debt issuance costs are amortized at an effective interest rate of 0.5%.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Facilities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On June 15, 2018, the Company entered into a credit agreement with certain lenders that provided for a $350.0 million term loan and a $350.0 million revolving credit facility (together with the term loa</w:t>
      </w:r>
      <w:r>
        <w:rPr>
          <w:rFonts w:ascii="Times New Roman;sans-serif" w:hAnsi="Times New Roman;sans-serif"/>
          <w:b w:val="false"/>
          <w:color w:val="000000"/>
          <w:sz w:val="20"/>
          <w:shd w:fill="FFFFFF" w:val="clear"/>
        </w:rPr>
        <w:t>n, as amended from time to time, the “2018 Credit Facilities”) that were each scheduled to mature on June 15, 2023.</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July 26, 2022, the Company entered into an amended and restated credit agreement with certain lenders to refinance the 2018 Credit Facilities and extend their maturity date through June 2025. The amended and restated credit agreement provides for a $280.0 million senior unsecured term loan, the proceeds of which have been used to settle the balance of the term loan under the 2018 Credit Facilities, and a $420.0 million senior unsecured revolving credit facility (together, the “Revised Credit Facilities”). Loans under the Revised Credit Facilities bear interest at an annual rate equal to the Adjusted Term SOFR Rate (as specified in the amended and restated credit agreement), which is subject to a floor of 0%, plus an applicable rate ranging from 1.125% to 1.750% based on the Company’s consolidated net leverage ratio (as specified in the amended and restated credit agreement) at the applicable measurement date. Adjusted Term SOFR Rate loans are also subject to a credit spread adjustment of 0.10% per annum. The revolving credit facility carries an unused fee that ranges from 0.125% to 0.250% annually based on the Company’s consolidated net leverage ratio at the applicable measurement date. Under the Revised Credit Facilities, the Company is required to maintain certain leverage and interest coverage ratios specified in the amended and restated credit agreement as well as other customary non-financial affirmative and negative covenants. The Revised Credit Facilities mature on June 15, 2025. The principal amount of the term loan under the Revised Credit Facilities is repayable quarterly through the maturity date at a rate of 2.5% for the first year and 5% thereafter, with the unpaid balance due at maturity.</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The Company applied modification accounting for the credit facility refinancing. For the term loan under the Revised Credit Facilities, for fiscal 2023, the Company recognized interest expense of $0.5 million for third party fees incurred and capitalized $0.2 million of lender fees related to the term loan. For fiscal 2023, the Company capitalized </w:t>
      </w:r>
      <w:r>
        <w:rPr>
          <w:rFonts w:ascii="Times New Roman;sans-serif" w:hAnsi="Times New Roman;sans-serif"/>
          <w:b w:val="false"/>
          <w:color w:val="000000"/>
          <w:sz w:val="20"/>
        </w:rPr>
        <w:t>$1.1 million</w:t>
      </w:r>
      <w:r>
        <w:rPr>
          <w:color w:val="000000"/>
          <w:shd w:fill="FFFFFF" w:val="clear"/>
        </w:rPr>
        <w:t xml:space="preserve"> </w:t>
      </w:r>
      <w:r>
        <w:rPr>
          <w:rFonts w:ascii="Times New Roman;sans-serif" w:hAnsi="Times New Roman;sans-serif"/>
          <w:b w:val="false"/>
          <w:color w:val="000000"/>
          <w:sz w:val="20"/>
          <w:shd w:fill="FFFFFF" w:val="clear"/>
        </w:rPr>
        <w:t>of lender fees and third-party costs incurred in the refinancing related to the revolving credit facility under the Revised Credit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$269.5 million was outstanding under the term loan with an effective interest rate of 6.7%. The Company has scheduled principal payments of $14.0 million required during the 12 months following September 30, 2023. There were no outstanding borrowings under the revolving credit facility at September 30, 2023. The Company also had $19.0 million of uncommitted operating lines of credit to fund its global operations under which there were no outstanding borrowings as of September 30,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was in compliance with the leverage and interest coverage ratios specified in the Revised Credit Facilities as well as all other bank covenants as of September 30,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13. FINANCIAL INSTRUMENTS AND FAIR VALUE MEASUREMENTS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manufactures, markets and sells its products globally. During the three and six months ended September 30, 2023, 25.7% and 24.8%, respectively, of the Company’s sales were generated outside the U.S. in local currencies. The Company also incurs certain manufacturing, marketing and selling costs in international markets in local currency.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Japanese Yen and Euro, and to a lesser extent, Swiss Franc and Mexican Peso. This does not eliminate the impact of the volatility of foreign exchange rates. However, because the Company generally enters into forward contracts one year out, rates are fixed for a one-year period, thereby facilitating financial planning and resource allocation.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Designated Foreign Currency Hedge Contracts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All of the Company’s designated foreign currency hedge contracts as of September 30, 2023 and April 1, 2023 were cash flow hedges under ASC 815, </w:t>
      </w:r>
      <w:r>
        <w:rPr>
          <w:rFonts w:ascii="Times New Roman;sans-serif" w:hAnsi="Times New Roman;sans-serif"/>
          <w:b w:val="false"/>
          <w:i/>
          <w:color w:val="000000"/>
          <w:sz w:val="20"/>
        </w:rPr>
        <w:t xml:space="preserve">Derivatives and Hedging </w:t>
      </w:r>
      <w:r>
        <w:rPr>
          <w:rFonts w:ascii="Times New Roman;sans-serif" w:hAnsi="Times New Roman;sans-serif"/>
          <w:b w:val="false"/>
          <w:color w:val="000000"/>
          <w:sz w:val="20"/>
        </w:rPr>
        <w:t>(“ASC 815”). The Company records the effective portion of any change in the fair value of designated foreign currency hedge contracts in other 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will reclassify the amount of any gain or loss on the related cash flow hedge to earnings at that time. The Company had designated foreign currency hedge contracts outstanding in the contract amount of $50.5 million as of September 30, 2023 and $51.8 million as of April 1, 2023. At September 30, 2023, a gain of $2.7 million, net of tax, will be reclassified to earnings within the next twelve months. All currency cash flow hedges outstanding as of September 30, 2023 mature within twelve months.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Non-Designated Foreign Currency Contracts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$27.1 million as of September 30, 2023 and $44.7 million as of April 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Swaps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June 15, 2018, the Company entered into the 2018 Credit Facilities, which provided for a $350.0 million term loan and a $350.0 million revolving credit facility. In August 2018, the Company entered into two interest rate swap agreements to pay an average fixed rate of 2.80% plus the applicable rate on a total notional value of $241.9 million of debt, or 70% of the notional value of the unsecured term loan. As a result of the Company’s refinancing of the 2018 Credit Facilities in July 2022, as discussed below, the 2018 interest rate swaps were amended in September 2022 to align with the Term Secured Overnight Financing Rate (“SOFR”) rate rather than LIBOR (the “Amended Swaps”). In order to avoid dedesignation,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elected certain practical expedients under ASC 848. As a result, the Company’s earnings and cash flows are exposed to interest rate risk from changes to SOFR. The Amended Swaps matured on June 15, 2023.</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July 26, 2022, the Company entered into an amended and restated credit agreement to refinance the 2018 Credit Facilities and extend their maturity date through June 2025. The Revised Credit Facilities include a $280.0 million senior unsecured term loan and a $420.0 million senior unsecured revolving credit facility. Loans under the Revised Credit Facilities bear interest at an annual rate equal to the 1-month USD Term SOFR plus 0.10% and an applicable rate ranging from 1.125% to 1.750% based on the Company’s consolidated net leverage ratio. In September 2022, the Company entered into four additional interest rate swaps, which when combined with the Amended Swaps, resulted in an average blended fixed interest rate of 3.57% plus the applicable rate on 70% of the notional value of the unsecured term loan until mid-June 2023 and 4.12% plus the applicable rate thereafter on 80% of the notional value until the maturity date in June 2025. On June 15, 2023, two of the Company’s interest rate swaps entered into during September 2022 matured concurrently with the Amended Swaps. The Company has concluded that the two remaining interest rate swaps entered into during September 2022, which cover 80% of the notional value of the unsecured term loan through maturity in June 2025, are effective and qualify for hedge accounting treatment.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The Company held the following interest rate swaps as of </w:t>
      </w:r>
      <w:r>
        <w:rPr>
          <w:rFonts w:ascii="Times New Roman;sans-serif" w:hAnsi="Times New Roman;sans-serif"/>
          <w:b w:val="false"/>
          <w:color w:val="000000"/>
          <w:sz w:val="20"/>
        </w:rPr>
        <w:t>September 30, 2023</w:t>
      </w:r>
      <w:r>
        <w:rPr>
          <w:rFonts w:ascii="Times New Roman;sans-serif" w:hAnsi="Times New Roman;sans-serif"/>
          <w:b w:val="false"/>
          <w:color w:val="000000"/>
          <w:sz w:val="20"/>
          <w:shd w:fill="FFFFFF" w:val="clear"/>
        </w:rPr>
        <w: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02"/>
        <w:gridCol w:w="254"/>
        <w:gridCol w:w="241"/>
        <w:gridCol w:w="109"/>
        <w:gridCol w:w="109"/>
        <w:gridCol w:w="109"/>
        <w:gridCol w:w="219"/>
        <w:gridCol w:w="858"/>
        <w:gridCol w:w="113"/>
        <w:gridCol w:w="109"/>
        <w:gridCol w:w="109"/>
        <w:gridCol w:w="109"/>
        <w:gridCol w:w="230"/>
        <w:gridCol w:w="904"/>
        <w:gridCol w:w="119"/>
        <w:gridCol w:w="109"/>
        <w:gridCol w:w="109"/>
        <w:gridCol w:w="109"/>
        <w:gridCol w:w="326"/>
        <w:gridCol w:w="326"/>
        <w:gridCol w:w="327"/>
        <w:gridCol w:w="109"/>
        <w:gridCol w:w="109"/>
        <w:gridCol w:w="109"/>
        <w:gridCol w:w="256"/>
        <w:gridCol w:w="256"/>
        <w:gridCol w:w="257"/>
        <w:gridCol w:w="109"/>
        <w:gridCol w:w="109"/>
        <w:gridCol w:w="109"/>
        <w:gridCol w:w="341"/>
        <w:gridCol w:w="341"/>
        <w:gridCol w:w="342"/>
        <w:gridCol w:w="109"/>
        <w:gridCol w:w="109"/>
        <w:gridCol w:w="109"/>
        <w:gridCol w:w="234"/>
        <w:gridCol w:w="234"/>
        <w:gridCol w:w="235"/>
        <w:gridCol w:w="109"/>
        <w:gridCol w:w="109"/>
        <w:gridCol w:w="109"/>
        <w:gridCol w:w="234"/>
        <w:gridCol w:w="683"/>
        <w:gridCol w:w="184"/>
      </w:tblGrid>
      <w:tr>
        <w:trPr/>
        <w:tc>
          <w:tcPr>
            <w:tcW w:w="40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Hedged Item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 Notional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Notional Amount as of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Designation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Termination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Fixed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 Assets (Liabilities)</w:t>
            </w:r>
          </w:p>
        </w:tc>
      </w:tr>
      <w:tr>
        <w:trPr/>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1-month USD Term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9/23/2022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1-month USD Term SOFR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107,800 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9/23/2022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219,800 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217,000 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For the six months ended September 30, 2023, the Company rec</w:t>
      </w:r>
      <w:r>
        <w:rPr>
          <w:rFonts w:ascii="Times New Roman;sans-serif" w:hAnsi="Times New Roman;sans-serif"/>
          <w:b w:val="false"/>
          <w:color w:val="000000"/>
          <w:sz w:val="20"/>
        </w:rPr>
        <w:t>orded a gain of $3.2 million, ne</w:t>
      </w:r>
      <w:r>
        <w:rPr>
          <w:rFonts w:ascii="Times New Roman;sans-serif" w:hAnsi="Times New Roman;sans-serif"/>
          <w:b w:val="false"/>
          <w:color w:val="000000"/>
          <w:sz w:val="20"/>
          <w:shd w:fill="FFFFFF" w:val="clear"/>
        </w:rPr>
        <w:t>t of tax, in accumulated other comprehensive loss to recognize the effective portion of the fair value of the swaps that qualify as cash flow hedges.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Trade Receivables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grants trade credit to its customers on normal credit terms. In an effort to reduce its credit risk, the Company (i) establishes credit limits for all customers, (ii) performs ongoing credit evaluations of customers’ financial condition, (iii) monitors the payment history and aging of customers’ receivables, and (iv) monitors open orders against an individual customer’s outstanding receivable balance.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Company’s allowance for credit losses is maintained for trade accounts receivable based on the expected collectability, the historical collection experience, the length of time an account is outstanding, the financial position of the customer and information provided by credit rating se</w:t>
      </w:r>
      <w:r>
        <w:rPr>
          <w:rFonts w:ascii="Times New Roman;sans-serif" w:hAnsi="Times New Roman;sans-serif"/>
          <w:b w:val="false"/>
          <w:color w:val="000000"/>
          <w:sz w:val="20"/>
          <w:shd w:fill="FFFFFF" w:val="clear"/>
        </w:rPr>
        <w:t>rvices. To date, the Company has not experienced significant customer payment defaults, or identified other significant collectability concerns.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roll forward of the allowance for credit losses:</w:t>
      </w:r>
    </w:p>
    <w:p>
      <w:pPr>
        <w:pStyle w:val="TextBody"/>
        <w:bidi w:val="0"/>
        <w:spacing w:before="0" w:after="0"/>
        <w:jc w:val="left"/>
        <w:rPr/>
      </w:pPr>
      <w:r>
        <w:rPr/>
      </w:r>
    </w:p>
    <w:tbl>
      <w:tblPr>
        <w:tblW w:w="8390" w:type="dxa"/>
        <w:jc w:val="left"/>
        <w:tblInd w:w="0" w:type="dxa"/>
        <w:tblLayout w:type="fixed"/>
        <w:tblCellMar>
          <w:top w:w="28" w:type="dxa"/>
          <w:left w:w="28" w:type="dxa"/>
          <w:bottom w:w="28" w:type="dxa"/>
          <w:right w:w="28" w:type="dxa"/>
        </w:tblCellMar>
      </w:tblPr>
      <w:tblGrid>
        <w:gridCol w:w="614"/>
        <w:gridCol w:w="540"/>
        <w:gridCol w:w="541"/>
        <w:gridCol w:w="343"/>
        <w:gridCol w:w="1025"/>
        <w:gridCol w:w="177"/>
        <w:gridCol w:w="109"/>
        <w:gridCol w:w="109"/>
        <w:gridCol w:w="109"/>
        <w:gridCol w:w="286"/>
        <w:gridCol w:w="856"/>
        <w:gridCol w:w="147"/>
        <w:gridCol w:w="109"/>
        <w:gridCol w:w="109"/>
        <w:gridCol w:w="109"/>
        <w:gridCol w:w="343"/>
        <w:gridCol w:w="1025"/>
        <w:gridCol w:w="177"/>
        <w:gridCol w:w="109"/>
        <w:gridCol w:w="109"/>
        <w:gridCol w:w="109"/>
        <w:gridCol w:w="283"/>
        <w:gridCol w:w="846"/>
        <w:gridCol w:w="206"/>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2022</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5,047</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2,495</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4,932</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2,475</w:t>
            </w: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Credit loss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Write-offs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5,044</w:t>
            </w:r>
            <w:r>
              <w:rPr>
                <w:color w:val="000000"/>
              </w:rPr>
              <w:t>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2,495</w:t>
            </w: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5,044</w:t>
            </w:r>
            <w:r>
              <w:rPr>
                <w:color w:val="000000"/>
              </w:rPr>
              <w:t> </w:t>
            </w:r>
          </w:p>
        </w:tc>
        <w:tc>
          <w:tcPr>
            <w:tcW w:w="1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2,495</w:t>
            </w:r>
            <w:r>
              <w:rPr>
                <w:color w:val="000000"/>
              </w:rPr>
              <w:t> </w:t>
            </w:r>
          </w:p>
        </w:tc>
        <w:tc>
          <w:tcPr>
            <w:tcW w:w="2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Fair Value Measurements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1 — Inputs to the valuation methodology are quoted market prices for identical assets or liabilities.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2 — Inputs to the valuation methodology are other observable inputs, including quoted market prices for similar assets or liabilities and market-corroborated inputs.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3 — Inputs to the valuation methodology are unobservable inputs based on management’s best estimate of inputs market participants would use in pricing the asset or liability at the measurement date, including assumptions about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money market funds carried at fair value are classified within Level 1 of the fair value hierarchy because they are valued using quoted market prices.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Fair Value of Derivative Instruments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effect of the Company’s derivative instruments designated as cash flow hedges and those not designated as hedging instruments under ASC 815 in its unaudited Condensed Consolidated Statements of Income and Comprehensive Income for the six months ended September 30, 2023:</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47"/>
        <w:gridCol w:w="389"/>
        <w:gridCol w:w="391"/>
        <w:gridCol w:w="109"/>
        <w:gridCol w:w="109"/>
        <w:gridCol w:w="109"/>
        <w:gridCol w:w="304"/>
        <w:gridCol w:w="890"/>
        <w:gridCol w:w="158"/>
        <w:gridCol w:w="109"/>
        <w:gridCol w:w="109"/>
        <w:gridCol w:w="109"/>
        <w:gridCol w:w="307"/>
        <w:gridCol w:w="922"/>
        <w:gridCol w:w="161"/>
        <w:gridCol w:w="109"/>
        <w:gridCol w:w="109"/>
        <w:gridCol w:w="109"/>
        <w:gridCol w:w="503"/>
        <w:gridCol w:w="503"/>
        <w:gridCol w:w="504"/>
        <w:gridCol w:w="109"/>
        <w:gridCol w:w="109"/>
        <w:gridCol w:w="109"/>
        <w:gridCol w:w="253"/>
        <w:gridCol w:w="742"/>
        <w:gridCol w:w="132"/>
        <w:gridCol w:w="109"/>
        <w:gridCol w:w="109"/>
        <w:gridCol w:w="109"/>
        <w:gridCol w:w="455"/>
        <w:gridCol w:w="455"/>
        <w:gridCol w:w="654"/>
      </w:tblGrid>
      <w:tr>
        <w:trPr/>
        <w:tc>
          <w:tcPr>
            <w:tcW w:w="84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Recognized</w:t>
              <w:br/>
              <w:t>in 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(Loss) Reclassified</w:t>
              <w:br/>
              <w:t>from Accumulated Other Comprehensive Loss into</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in</w:t>
              <w:br/>
              <w:t>Condensed Consolidated Statements of Income and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Excluded from</w:t>
              <w:br/>
              <w:t>Effectiveness</w:t>
              <w:br/>
              <w:t>Testing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in</w:t>
              <w:br/>
              <w:t>Condensed Consolidated Statements of Income and Comprehensive Income</w:t>
            </w:r>
          </w:p>
        </w:tc>
      </w:tr>
      <w:tr>
        <w:trPr/>
        <w:tc>
          <w:tcPr>
            <w:tcW w:w="1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 COGS and SG&amp;A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r>
      <w:tr>
        <w:trPr/>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fair value hedges or net investment hedges outstanding as of September 30, 2023 or April 1, 2023. As of September 30, 2023, no material deferred taxes were recognized for designated foreign currency hedges.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ASC 815 requires all derivative instruments to be recognized at their fair values as either assets or liabilities on the balance sheet. The Company determines the fair value of its derivative instruments using the framework prescribed by 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the Company uses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September 30, 2023, the Company has classified its derivative assets and liabilities within Level 2 of the fair value hierarchy prescribed by ASC 815, as discussed below, because these observable inputs are available for substantially the full term of its derivative instruments.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fair value of the Company’s derivative instruments as they appear in its Condensed Consolidated Balance Sheets as of September 30, 2023 and April 1, 2023:</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50"/>
        <w:gridCol w:w="1253"/>
        <w:gridCol w:w="1254"/>
        <w:gridCol w:w="109"/>
        <w:gridCol w:w="109"/>
        <w:gridCol w:w="109"/>
        <w:gridCol w:w="882"/>
        <w:gridCol w:w="882"/>
        <w:gridCol w:w="885"/>
        <w:gridCol w:w="109"/>
        <w:gridCol w:w="109"/>
        <w:gridCol w:w="109"/>
        <w:gridCol w:w="335"/>
        <w:gridCol w:w="1003"/>
        <w:gridCol w:w="173"/>
        <w:gridCol w:w="109"/>
        <w:gridCol w:w="109"/>
        <w:gridCol w:w="109"/>
        <w:gridCol w:w="233"/>
        <w:gridCol w:w="698"/>
        <w:gridCol w:w="176"/>
      </w:tblGrid>
      <w:tr>
        <w:trPr/>
        <w:tc>
          <w:tcPr>
            <w:tcW w:w="145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9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in Condensed Consolidated</w:t>
              <w:br/>
              <w:t>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9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r>
      <w:tr>
        <w:trPr/>
        <w:tc>
          <w:tcPr>
            <w:tcW w:w="39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6,095</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2,813</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3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441</w:t>
            </w: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1,889</w:t>
            </w: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Fair Value Measured on a Recurring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 and financial liabilities measured at fair value on a recurring basis consist of the following as of September 30, 2023 and April 1, 2023.</w:t>
      </w:r>
    </w:p>
    <w:tbl>
      <w:tblPr>
        <w:tblW w:w="9537" w:type="dxa"/>
        <w:jc w:val="left"/>
        <w:tblInd w:w="0" w:type="dxa"/>
        <w:tblLayout w:type="fixed"/>
        <w:tblCellMar>
          <w:top w:w="28" w:type="dxa"/>
          <w:left w:w="28" w:type="dxa"/>
          <w:bottom w:w="28" w:type="dxa"/>
          <w:right w:w="28" w:type="dxa"/>
        </w:tblCellMar>
      </w:tblPr>
      <w:tblGrid>
        <w:gridCol w:w="1489"/>
        <w:gridCol w:w="1308"/>
        <w:gridCol w:w="1313"/>
        <w:gridCol w:w="109"/>
        <w:gridCol w:w="109"/>
        <w:gridCol w:w="109"/>
        <w:gridCol w:w="211"/>
        <w:gridCol w:w="841"/>
        <w:gridCol w:w="109"/>
        <w:gridCol w:w="109"/>
        <w:gridCol w:w="109"/>
        <w:gridCol w:w="109"/>
        <w:gridCol w:w="211"/>
        <w:gridCol w:w="631"/>
        <w:gridCol w:w="109"/>
        <w:gridCol w:w="109"/>
        <w:gridCol w:w="109"/>
        <w:gridCol w:w="109"/>
        <w:gridCol w:w="211"/>
        <w:gridCol w:w="481"/>
        <w:gridCol w:w="109"/>
        <w:gridCol w:w="109"/>
        <w:gridCol w:w="109"/>
        <w:gridCol w:w="109"/>
        <w:gridCol w:w="211"/>
        <w:gridCol w:w="841"/>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 2023</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161,623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167,718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April 1, 2023</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132,341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135,154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1,889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2,752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val="false"/>
          <w:i/>
          <w:color w:val="000000"/>
          <w:sz w:val="20"/>
        </w:rPr>
        <w:t xml:space="preserve">Foreign currency hedge contracts - </w:t>
      </w:r>
      <w:r>
        <w:rPr>
          <w:rFonts w:ascii="Times New Roman;sans-serif" w:hAnsi="Times New Roman;sans-serif"/>
          <w:b w:val="false"/>
          <w:color w:val="000000"/>
          <w:sz w:val="20"/>
        </w:rPr>
        <w:t>The fair value of foreign currency hedge contracts was measured using significant other observable inputs and valued by reference to over-the-counter quoted market prices for similar instruments. The Company does not believe that the fair value of these derivative instruments differs significantly from the amount that could be realized upon settlement or maturity, or that the changes in fair value will have a significant effect on its results of operations, financial condition or cash flows.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Interest rate swaps - </w:t>
      </w:r>
      <w:r>
        <w:rPr>
          <w:rFonts w:ascii="Times New Roman;sans-serif" w:hAnsi="Times New Roman;sans-serif"/>
          <w:b w:val="false"/>
          <w:color w:val="000000"/>
          <w:sz w:val="20"/>
        </w:rPr>
        <w:t>The fair values of interest rate swaps are measured using the present value of expected future cash flows using market-based observable inputs, including credit risk and interest rate yield curves. The Company does not believe that the fair values of these derivative instruments differ significantly from the amounts that could be realized upon settlement or maturity, or that the changes in fair value will have a significant effect on its results of operations, financial condition or cash flows.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Contingent consideration</w:t>
      </w:r>
      <w:r>
        <w:rPr>
          <w:color w:val="000000"/>
        </w:rPr>
        <w:t xml:space="preserve"> </w:t>
      </w:r>
      <w:r>
        <w:rPr>
          <w:rFonts w:ascii="Times New Roman;sans-serif" w:hAnsi="Times New Roman;sans-serif"/>
          <w:b w:val="false"/>
          <w:color w:val="000000"/>
          <w:sz w:val="20"/>
        </w:rPr>
        <w:t xml:space="preserve">- The fair value of contingent consideration liabilities is based on significant unobservable inputs, including management estimates and assumptions, and is measured based on the probability-weighted present value of the payments expected to be made. Accordingly, the fair value of contingent consideration has been classified as level 3 within the fair </w:t>
      </w:r>
      <w:r>
        <w:rPr>
          <w:rFonts w:ascii="Times New Roman;sans-serif" w:hAnsi="Times New Roman;sans-serif"/>
          <w:b w:val="false"/>
          <w:color w:val="000000"/>
          <w:sz w:val="20"/>
          <w:shd w:fill="FFFFFF" w:val="clear"/>
        </w:rPr>
        <w:t>value hierarchy.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Fair Value Disclosures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Term Loan, which is carried at amortized cost, accounts receivable and accounts payable approximate fa</w:t>
      </w:r>
      <w:r>
        <w:rPr>
          <w:rFonts w:ascii="Times New Roman;sans-serif" w:hAnsi="Times New Roman;sans-serif"/>
          <w:b w:val="false"/>
          <w:color w:val="000000"/>
          <w:sz w:val="20"/>
          <w:shd w:fill="FFFFFF" w:val="clear"/>
        </w:rPr>
        <w:t>ir value. The fair value of the 2026 Notes as of September 30, 2023 was $434.1 million, which was determined by using the market price on the last trading day of the reporting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14. COMMITMENTS AND CONTINGENCIES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The Company is a party to various legal proceedings and claims arising out of the ordinary course of its business. The Company believes that, except for those matters described below, there are no other proceedings or claims pending against it the ultimate resolution of which could have a material adverse effect on its financial condition or results of operations. At each reporting period, management evaluates whether or not a potential loss amount or a potential range of loss is probable and reasonably estimable under ASC 450, </w:t>
      </w:r>
      <w:r>
        <w:rPr>
          <w:rFonts w:ascii="Times New Roman;sans-serif" w:hAnsi="Times New Roman;sans-serif"/>
          <w:b w:val="false"/>
          <w:i/>
          <w:color w:val="000000"/>
          <w:sz w:val="20"/>
          <w:shd w:fill="FFFFFF" w:val="clear"/>
        </w:rPr>
        <w:t xml:space="preserve">Contingencies, </w:t>
      </w:r>
      <w:r>
        <w:rPr>
          <w:rFonts w:ascii="Times New Roman;sans-serif" w:hAnsi="Times New Roman;sans-serif"/>
          <w:b w:val="false"/>
          <w:color w:val="000000"/>
          <w:sz w:val="20"/>
          <w:shd w:fill="FFFFFF" w:val="clear"/>
        </w:rPr>
        <w:t>for all matters. Legal costs are expensed as incurred.</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During the third quarter of fiscal 2021, the Company received a subpoena from the U.S. Attorney’s Office for the District of Massachusetts. The subpoena requested certain documents regarding the Company’s apheresis and autotransfusion devices and disposables, including documents relating to product complaints and adverse event reporting, regulatory clearances and product design changes, among other matters. The Company has fully cooperated with this inquiry. On August 16, 2022, the U.S. Department of Justice (“DOJ”) filed a motion on behalf of the United States and 31 states reflecting their decision to not i</w:t>
      </w:r>
      <w:r>
        <w:rPr>
          <w:rFonts w:ascii="Times New Roman;sans-serif" w:hAnsi="Times New Roman;sans-serif"/>
          <w:b w:val="false"/>
          <w:color w:val="000000"/>
          <w:sz w:val="20"/>
        </w:rPr>
        <w:t xml:space="preserve">ntervene in the underlying </w:t>
      </w:r>
      <w:r>
        <w:rPr>
          <w:rFonts w:ascii="Times New Roman;sans-serif" w:hAnsi="Times New Roman;sans-serif"/>
          <w:b w:val="false"/>
          <w:i/>
          <w:color w:val="000000"/>
          <w:sz w:val="20"/>
        </w:rPr>
        <w:t>qui tam</w:t>
      </w:r>
      <w:r>
        <w:rPr>
          <w:color w:val="000000"/>
        </w:rPr>
        <w:t xml:space="preserve"> </w:t>
      </w:r>
      <w:r>
        <w:rPr>
          <w:rFonts w:ascii="Times New Roman;sans-serif" w:hAnsi="Times New Roman;sans-serif"/>
          <w:b w:val="false"/>
          <w:color w:val="000000"/>
          <w:sz w:val="20"/>
        </w:rPr>
        <w:t xml:space="preserve">action captioned </w:t>
      </w:r>
      <w:r>
        <w:rPr>
          <w:rFonts w:ascii="Times New Roman;sans-serif" w:hAnsi="Times New Roman;sans-serif"/>
          <w:b w:val="false"/>
          <w:i/>
          <w:color w:val="000000"/>
          <w:sz w:val="20"/>
        </w:rPr>
        <w:t>United States ex rel. Berthelot et al. v. Haemonetics Corp.,</w:t>
      </w:r>
      <w:r>
        <w:rPr>
          <w:color w:val="000000"/>
        </w:rPr>
        <w:t xml:space="preserve"> </w:t>
      </w:r>
      <w:r>
        <w:rPr>
          <w:rFonts w:ascii="Times New Roman;sans-serif" w:hAnsi="Times New Roman;sans-serif"/>
          <w:b w:val="false"/>
          <w:color w:val="000000"/>
          <w:sz w:val="20"/>
        </w:rPr>
        <w:t>1:20-cv-11062-ADB, pending in the U</w:t>
      </w:r>
      <w:r>
        <w:rPr>
          <w:rFonts w:ascii="Times New Roman;sans-serif" w:hAnsi="Times New Roman;sans-serif"/>
          <w:b w:val="false"/>
          <w:color w:val="000000"/>
          <w:sz w:val="20"/>
          <w:shd w:fill="FFFFFF" w:val="clear"/>
        </w:rPr>
        <w:t>.S. District Court for the District of Massachusetts, indicating that the DOJ had completed its investigative activity based on then available information. The</w:t>
      </w:r>
      <w:r>
        <w:rPr>
          <w:color w:val="000000"/>
          <w:shd w:fill="FFFFFF" w:val="clear"/>
        </w:rPr>
        <w:t xml:space="preserve"> </w:t>
      </w:r>
      <w:r>
        <w:rPr>
          <w:rFonts w:ascii="Times New Roman;sans-serif" w:hAnsi="Times New Roman;sans-serif"/>
          <w:b w:val="false"/>
          <w:i/>
          <w:color w:val="000000"/>
          <w:sz w:val="20"/>
          <w:shd w:fill="FFFFFF" w:val="clear"/>
        </w:rPr>
        <w:t>qui tam</w:t>
      </w:r>
      <w:r>
        <w:rPr>
          <w:color w:val="000000"/>
          <w:shd w:fill="FFFFFF" w:val="clear"/>
        </w:rPr>
        <w:t xml:space="preserve"> </w:t>
      </w:r>
      <w:r>
        <w:rPr>
          <w:rFonts w:ascii="Times New Roman;sans-serif" w:hAnsi="Times New Roman;sans-serif"/>
          <w:b w:val="false"/>
          <w:color w:val="000000"/>
          <w:sz w:val="20"/>
          <w:shd w:fill="FFFFFF" w:val="clear"/>
        </w:rPr>
        <w:t>case was unsealed by order dated August 18, 2022. The Company currently has a loss contingency recorded for this matter and did not record any adjustments during the second quarter of fiscal 2024.</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In the fourth quarter of fiscal 2021, a putative class action complaint was filed against the Company in the Circuit Court of Cook County, Illinois by Mary Crumpton, on behalf of herself and similarly situated individuals. The Company removed the case to the United States District Court for the Northern District Illinois. See </w:t>
      </w:r>
      <w:r>
        <w:rPr>
          <w:rFonts w:ascii="Times New Roman;sans-serif" w:hAnsi="Times New Roman;sans-serif"/>
          <w:b w:val="false"/>
          <w:i/>
          <w:color w:val="000000"/>
          <w:sz w:val="20"/>
        </w:rPr>
        <w:t>Mary Crumpton v. Haemonetics Corporation, Case No. 1:21-cv-1402</w:t>
      </w:r>
      <w:r>
        <w:rPr>
          <w:rFonts w:ascii="Times New Roman;sans-serif" w:hAnsi="Times New Roman;sans-serif"/>
          <w:b w:val="false"/>
          <w:color w:val="000000"/>
          <w:sz w:val="20"/>
        </w:rPr>
        <w:t>. In her complaint, the plaintiff asserts that between June 2017 and August 2018 she donated plasma at a center operated by one of the Company’s customers, that the center required her to scan her fingerprint on a finger scanner that stored her fingerprint to identify her prior to plasma donation, and that the Company’s eQue donor management software sent her biometric information to a Company-owned server to be collected and stored in a manner that violated her rights under the Illinois Biometric Information Privacy Act (“BIPA”). The plaintiff seeks statutory damages, attorneys’ fees and injunctive and equitable relief. In March 2021, the Company moved to dismiss the complaint for lack of personal jurisdiction and concurrently filed a motion to dismiss for fail</w:t>
      </w:r>
      <w:r>
        <w:rPr>
          <w:rFonts w:ascii="Times New Roman;sans-serif" w:hAnsi="Times New Roman;sans-serif"/>
          <w:b w:val="false"/>
          <w:color w:val="000000"/>
          <w:sz w:val="20"/>
          <w:shd w:fill="FFFFFF" w:val="clear"/>
        </w:rPr>
        <w:t>ure to state a claim and a motion to stay. In March 2022, the court denied the Company’s motion to dismiss for lack of personal jurisdiction but did not address the merits of the Company’s other positions. In March 2023, the Company filed a second motion to dismiss the complaint, which is pending before the court. During the second quarter of fiscal 2024, the Company entered into a Memorandum of Understanding providing terms that would resolve the litigation and recorded an additional loss contingency related to this matter, resulting in a total accrual of approximately $8.7 million within Other current liabilities in its condensed consolidated balance sheets.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Product Recall</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August 2023, the Company issued a voluntary recall of certain products within the Whole Blood portion of our Blood Center business unit sold to customers in the U.S. and certain foreign jurisdictions. As of September 30, 2023, the Company has recorded cumulative charges of $6.5 million related to inventory, returns and customer claims associated with this recall. The Company continues to evaluate the impact of this recall and may record additional incremental charges in future periods.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15. ACCUMULATED OTHER COMPREHENSIVE LOSS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Accumulated Other Comprehensive Loss are as follows:</w:t>
      </w:r>
    </w:p>
    <w:tbl>
      <w:tblPr>
        <w:tblW w:w="10205" w:type="dxa"/>
        <w:jc w:val="center"/>
        <w:tblInd w:w="0" w:type="dxa"/>
        <w:tblLayout w:type="fixed"/>
        <w:tblCellMar>
          <w:top w:w="28" w:type="dxa"/>
          <w:left w:w="28" w:type="dxa"/>
          <w:bottom w:w="28" w:type="dxa"/>
          <w:right w:w="28" w:type="dxa"/>
        </w:tblCellMar>
      </w:tblPr>
      <w:tblGrid>
        <w:gridCol w:w="1416"/>
        <w:gridCol w:w="1005"/>
        <w:gridCol w:w="965"/>
        <w:gridCol w:w="109"/>
        <w:gridCol w:w="109"/>
        <w:gridCol w:w="109"/>
        <w:gridCol w:w="234"/>
        <w:gridCol w:w="853"/>
        <w:gridCol w:w="121"/>
        <w:gridCol w:w="109"/>
        <w:gridCol w:w="109"/>
        <w:gridCol w:w="109"/>
        <w:gridCol w:w="278"/>
        <w:gridCol w:w="833"/>
        <w:gridCol w:w="143"/>
        <w:gridCol w:w="109"/>
        <w:gridCol w:w="109"/>
        <w:gridCol w:w="109"/>
        <w:gridCol w:w="425"/>
        <w:gridCol w:w="1271"/>
        <w:gridCol w:w="219"/>
        <w:gridCol w:w="109"/>
        <w:gridCol w:w="109"/>
        <w:gridCol w:w="109"/>
        <w:gridCol w:w="211"/>
        <w:gridCol w:w="762"/>
        <w:gridCol w:w="161"/>
      </w:tblGrid>
      <w:tr>
        <w:trPr/>
        <w:tc>
          <w:tcPr>
            <w:tcW w:w="141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Gain/(Loss)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April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(33,935)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4,075</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(521)</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(30,381)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comprehensive income (loss) before reclassifications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Amounts reclassified from accumulated other comprehensive income</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(40,596)</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4,075</w:t>
            </w:r>
            <w:r>
              <w:rPr>
                <w:color w:val="000000"/>
              </w:rPr>
              <w:t>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3,816</w:t>
            </w:r>
            <w:r>
              <w:rPr>
                <w:color w:val="000000"/>
              </w:rPr>
              <w:t>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(32,705)</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Presented net of income taxes, the amounts of which are insignificant.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16. SEGMENT AND ENTERPRISE-WIDE INFORMATION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its reportable segments by first identifying its operating segments, and then by assessing whether any components of these segments constitute a business for which discrete financial information is available and where segment management regularly reviews the operating results of that component. The Company’s reporting structure aligns with its operating structure of three global business units and the information that is regularly reviewed by the Company’s chief operating decision maker.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reportable and operating segments are as follows: </w:t>
      </w:r>
    </w:p>
    <w:p>
      <w:pPr>
        <w:pStyle w:val="TextBody"/>
        <w:bidi w:val="0"/>
        <w:spacing w:lineRule="auto" w:line="288" w:before="140" w:after="283"/>
        <w:ind w:left="0" w:right="0" w:hanging="360"/>
        <w:jc w:val="left"/>
        <w:rPr/>
      </w:pPr>
      <w:r>
        <w:rPr>
          <w:color w:val="000000"/>
        </w:rPr>
        <w:t>•</w:t>
      </w:r>
      <w:r>
        <w:rPr>
          <w:rFonts w:ascii="Times New Roman;sans-serif" w:hAnsi="Times New Roman;sans-serif"/>
          <w:b w:val="false"/>
          <w:color w:val="000000"/>
          <w:sz w:val="20"/>
        </w:rPr>
        <w:t>Plasma</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Blood Center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Hospital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integration and transaction costs, amortization of acquired intangible assets, restructuring costs, restructuring related costs, digital transformation costs related to the upgrade of our enterprise resource planning system, impairments, accelerated device depreciation and related costs, costs related to compliance with the European Union Medical Device Regulation (“MDR”) and In Vitro Diagnostic Regulation (“IVDR”), unusual or infrequent and material litigation-related charges and gains and losses on dispositions and sale of assets. Although these amounts are excluded from 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Selected information by reportable segment is presented below:</w:t>
      </w:r>
    </w:p>
    <w:tbl>
      <w:tblPr>
        <w:tblW w:w="8234" w:type="dxa"/>
        <w:jc w:val="center"/>
        <w:tblInd w:w="0" w:type="dxa"/>
        <w:tblLayout w:type="fixed"/>
        <w:tblCellMar>
          <w:top w:w="28" w:type="dxa"/>
          <w:left w:w="28" w:type="dxa"/>
          <w:bottom w:w="28" w:type="dxa"/>
          <w:right w:w="28" w:type="dxa"/>
        </w:tblCellMar>
      </w:tblPr>
      <w:tblGrid>
        <w:gridCol w:w="932"/>
        <w:gridCol w:w="815"/>
        <w:gridCol w:w="817"/>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Plasma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Blood Center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 by business unit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555,901 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Service </w:t>
            </w:r>
            <w:r>
              <w:rPr>
                <w:rFonts w:ascii="Times New Roman;sans-serif" w:hAnsi="Times New Roman;sans-serif"/>
                <w:b w:val="false"/>
                <w:color w:val="000000"/>
                <w:sz w:val="13"/>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318,183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297,485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629,515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558,943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3"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Reflects revenue for service, maintenance and parts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94"/>
        <w:gridCol w:w="968"/>
        <w:gridCol w:w="971"/>
        <w:gridCol w:w="267"/>
        <w:gridCol w:w="935"/>
        <w:gridCol w:w="137"/>
        <w:gridCol w:w="132"/>
        <w:gridCol w:w="132"/>
        <w:gridCol w:w="132"/>
        <w:gridCol w:w="257"/>
        <w:gridCol w:w="897"/>
        <w:gridCol w:w="132"/>
        <w:gridCol w:w="132"/>
        <w:gridCol w:w="132"/>
        <w:gridCol w:w="132"/>
        <w:gridCol w:w="257"/>
        <w:gridCol w:w="1007"/>
        <w:gridCol w:w="132"/>
        <w:gridCol w:w="132"/>
        <w:gridCol w:w="132"/>
        <w:gridCol w:w="132"/>
        <w:gridCol w:w="257"/>
        <w:gridCol w:w="1007"/>
        <w:gridCol w:w="199"/>
      </w:tblGrid>
      <w:tr>
        <w:trPr/>
        <w:tc>
          <w:tcPr>
            <w:tcW w:w="159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3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Plasma</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71,607 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153,740 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126,733 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Blood Center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67,705 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82,777 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73,205 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147,183 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147,418 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290,107 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267,643 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Corporate expenses </w:t>
            </w:r>
            <w:r>
              <w:rPr>
                <w:rFonts w:ascii="Times New Roman;sans-serif" w:hAnsi="Times New Roman;sans-serif"/>
                <w:b w:val="false"/>
                <w:color w:val="000000"/>
                <w:sz w:val="13"/>
              </w:rPr>
              <w:t>(1)</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(75,750)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(86,769)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(151,059)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(168,353)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Effect of exchange rates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acquired intangible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Integration and transaction costs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Restructuring costs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Restructuring related costs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Digital transformation costs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Impairment of assets and PCS2 related charges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MDR and IVDR costs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Litigation-related charges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Impairment of intangible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Gains on divestiture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35,303</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46,732</w:t>
            </w: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88,962</w:t>
            </w: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77,499</w:t>
            </w:r>
            <w:r>
              <w:rPr>
                <w:color w:val="000000"/>
              </w:rPr>
              <w:t>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Reflects shared service expenses including quality and regulatory, customer and field service, research and development, manufacturing and supply chain, as well as other corporate support functions.</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 by business unit are as follows:</w:t>
      </w:r>
    </w:p>
    <w:tbl>
      <w:tblPr>
        <w:tblW w:w="10205" w:type="dxa"/>
        <w:jc w:val="left"/>
        <w:tblInd w:w="0" w:type="dxa"/>
        <w:tblLayout w:type="fixed"/>
        <w:tblCellMar>
          <w:top w:w="28" w:type="dxa"/>
          <w:left w:w="28" w:type="dxa"/>
          <w:bottom w:w="28" w:type="dxa"/>
          <w:right w:w="28" w:type="dxa"/>
        </w:tblCellMar>
      </w:tblPr>
      <w:tblGrid>
        <w:gridCol w:w="281"/>
        <w:gridCol w:w="246"/>
        <w:gridCol w:w="246"/>
        <w:gridCol w:w="924"/>
        <w:gridCol w:w="924"/>
        <w:gridCol w:w="943"/>
        <w:gridCol w:w="288"/>
        <w:gridCol w:w="1149"/>
        <w:gridCol w:w="148"/>
        <w:gridCol w:w="148"/>
        <w:gridCol w:w="148"/>
        <w:gridCol w:w="148"/>
        <w:gridCol w:w="288"/>
        <w:gridCol w:w="1149"/>
        <w:gridCol w:w="148"/>
        <w:gridCol w:w="109"/>
        <w:gridCol w:w="109"/>
        <w:gridCol w:w="109"/>
        <w:gridCol w:w="211"/>
        <w:gridCol w:w="841"/>
        <w:gridCol w:w="109"/>
        <w:gridCol w:w="109"/>
        <w:gridCol w:w="109"/>
        <w:gridCol w:w="109"/>
        <w:gridCol w:w="211"/>
        <w:gridCol w:w="841"/>
        <w:gridCol w:w="160"/>
      </w:tblGrid>
      <w:tr>
        <w:trPr/>
        <w:tc>
          <w:tcPr>
            <w:tcW w:w="2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5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Plasma</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141,900</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127,893</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280,510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230,274</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 Blood</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Apheresis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Blood Center</w:t>
            </w:r>
          </w:p>
        </w:tc>
        <w:tc>
          <w:tcPr>
            <w:tcW w:w="1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68,098</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73,683</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135,438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139,377</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Hemostasis Management</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Vascular Closure</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59,143 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Hospital</w:t>
            </w:r>
          </w:p>
        </w:tc>
        <w:tc>
          <w:tcPr>
            <w:tcW w:w="1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103,143</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90,856</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202,751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179,349</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business unit revenues</w:t>
            </w:r>
          </w:p>
        </w:tc>
        <w:tc>
          <w:tcPr>
            <w:tcW w:w="1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313,141</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292,432</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618,699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549,000</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318,183</w:t>
            </w:r>
            <w:r>
              <w:rPr>
                <w:color w:val="000000"/>
              </w:rPr>
              <w:t>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297,485</w:t>
            </w:r>
            <w:r>
              <w:rPr>
                <w:color w:val="000000"/>
              </w:rPr>
              <w:t>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629,515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558,943</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178"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Other includes the Cell Salvage and Transfusion Management product lines of the Hospital business unit.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9"/>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 generated in the Company’s principle operating regions on a reported basis are as follows:</w:t>
      </w:r>
    </w:p>
    <w:tbl>
      <w:tblPr>
        <w:tblW w:w="6870" w:type="dxa"/>
        <w:jc w:val="left"/>
        <w:tblInd w:w="0" w:type="dxa"/>
        <w:tblLayout w:type="fixed"/>
        <w:tblCellMar>
          <w:top w:w="28" w:type="dxa"/>
          <w:left w:w="28" w:type="dxa"/>
          <w:bottom w:w="28" w:type="dxa"/>
          <w:right w:w="28" w:type="dxa"/>
        </w:tblCellMar>
      </w:tblPr>
      <w:tblGrid>
        <w:gridCol w:w="435"/>
        <w:gridCol w:w="382"/>
        <w:gridCol w:w="383"/>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Asia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318,183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297,485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629,515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558,943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Financial Condition and Results of Operations (“MD&amp;A”) should be read in conjunction with both our interim condensed consolidated financial statements and notes thereto which appear elsewhere in this Quarterly Report on Form 10-Q and our annual consolidated financial statements, notes thereto and the MD&amp;A contained in our Annual Report on Form 10-K for the fiscal year ended April 1, 2023. The following discussion may contain forward-looking statements and should be read in conjunction with the “Cautionary Statement Regarding Forward-Looking Information” in this discussion.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Corporation is a global healthcare company dedicated to providing a suite of innovative medical products and solutions for customers to help them improve patient care and reduce the cost of healthcare. Our technology addresses important medical markets: blood and plasma component collection, the surgical suite and hospital transfusion services. When used in this report, the terms “we,” “us,” “our,” “Haemonetics” and the “Company” mean Haemonetics Corporation.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view our operations and manage our business in three principal reporting segments: Plasma, Blood Center and Hospital. For that purpose, “Plasma” includes plasma collection devices and disposables, plasma donor management software and anticoagulant and saline sold to plasma customers. “Blood Center” includes blood collection and processing devices and disposables for red cells, platelets and whole blood. “Hospital”, which is comprised of Hemostasis Management, Vascular </w:t>
      </w:r>
      <w:r>
        <w:rPr>
          <w:rFonts w:ascii="Times New Roman;sans-serif" w:hAnsi="Times New Roman;sans-serif"/>
          <w:b w:val="false"/>
          <w:color w:val="000000"/>
          <w:sz w:val="20"/>
          <w:shd w:fill="FFFFFF" w:val="clear"/>
        </w:rPr>
        <w:t>Closure, Cell Salvage and Transfusion Management products, inclu</w:t>
      </w:r>
      <w:r>
        <w:rPr>
          <w:rFonts w:ascii="Times New Roman;sans-serif" w:hAnsi="Times New Roman;sans-serif"/>
          <w:b w:val="false"/>
          <w:color w:val="000000"/>
          <w:sz w:val="20"/>
        </w:rPr>
        <w:t>des devices and methodologies for measuring coagulation characteristics of blood, vascular closure devices, specialized blood cell processing systems and disposables, surgical blood salvage systems and blood transfusion management software.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We believe that Plasma and Hospital have growth potential, while Blood Center competes in challenging markets that require us to manage the business differently, including reducing costs, shrinking the scope of the current product line, and evaluating opport</w:t>
      </w:r>
      <w:r>
        <w:rPr>
          <w:rFonts w:ascii="Times New Roman;sans-serif" w:hAnsi="Times New Roman;sans-serif"/>
          <w:b w:val="false"/>
          <w:color w:val="000000"/>
          <w:sz w:val="20"/>
          <w:shd w:fill="FFFFFF" w:val="clear"/>
        </w:rPr>
        <w:t>unities to exit unfavorable customer contracts.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 Developments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Agreement to Acquire OpSens,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October 10, 2023, the Company announced it has entered into a definitive agreement to acquire all of the issued and outstanding common shares of OpSens, Inc. (“OpSens”) for CAD $2.90 per share in an all-cash transaction, representing a fully diluted equity value of approximately USD $253.0 million at the exchange rate on the date of announcement. Completion of the acquisition is subject to the approval of OpSens shareholders, receipt of court and regulatory approval, as well as certain other closing conditions customary for transactions of this nature. The transaction is expected to close by the end of January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OpSens offers commercially and clinically validated optical technology for use primarily in interventional cardiology. OpSens’ core products include the SavvyWire® that acts as pacing and pressure monitoring wire advancing the workflow of the procedure and enabling potentially shorter hospital stays for patients, and the OptoWire®, a pressure guidewire that aims to improve clinical outcomes by accurately and consistently measuring Fractional Flow Reserve (FFR) and diastolic pressure ratio (dPR) to aid clinicians in the diagnosis and treatment of patients with coronary artery disease. OpSens also manufactures a range of fiber optic sensor solutions used in medical devices and other critical industrial applications. The addition of OpSens will expand the Hospital business unit portfolio in the interventional cardiology market.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Portfolio Rationalization Initiatives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November 2023, the Company announced its plans to end of life the ClotPro system within the Hospital business unit and whole blood inline collection products within the Blood Center business unit, and the associated manufacturing operations. We do not envision these product rationalization initiatives to materially impact our fiscal 2024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Financial Summary</w:t>
      </w:r>
    </w:p>
    <w:tbl>
      <w:tblPr>
        <w:tblW w:w="10205" w:type="dxa"/>
        <w:jc w:val="left"/>
        <w:tblInd w:w="0" w:type="dxa"/>
        <w:tblLayout w:type="fixed"/>
        <w:tblCellMar>
          <w:top w:w="28" w:type="dxa"/>
          <w:left w:w="28" w:type="dxa"/>
          <w:bottom w:w="28" w:type="dxa"/>
          <w:right w:w="28" w:type="dxa"/>
        </w:tblCellMar>
      </w:tblPr>
      <w:tblGrid>
        <w:gridCol w:w="426"/>
        <w:gridCol w:w="325"/>
        <w:gridCol w:w="327"/>
        <w:gridCol w:w="211"/>
        <w:gridCol w:w="826"/>
        <w:gridCol w:w="271"/>
        <w:gridCol w:w="109"/>
        <w:gridCol w:w="109"/>
        <w:gridCol w:w="109"/>
        <w:gridCol w:w="211"/>
        <w:gridCol w:w="826"/>
        <w:gridCol w:w="271"/>
        <w:gridCol w:w="109"/>
        <w:gridCol w:w="109"/>
        <w:gridCol w:w="109"/>
        <w:gridCol w:w="316"/>
        <w:gridCol w:w="223"/>
        <w:gridCol w:w="557"/>
        <w:gridCol w:w="109"/>
        <w:gridCol w:w="109"/>
        <w:gridCol w:w="109"/>
        <w:gridCol w:w="211"/>
        <w:gridCol w:w="826"/>
        <w:gridCol w:w="271"/>
        <w:gridCol w:w="109"/>
        <w:gridCol w:w="109"/>
        <w:gridCol w:w="109"/>
        <w:gridCol w:w="211"/>
        <w:gridCol w:w="826"/>
        <w:gridCol w:w="271"/>
        <w:gridCol w:w="109"/>
        <w:gridCol w:w="109"/>
        <w:gridCol w:w="109"/>
        <w:gridCol w:w="323"/>
        <w:gridCol w:w="214"/>
        <w:gridCol w:w="627"/>
      </w:tblGrid>
      <w:tr>
        <w:trPr/>
        <w:tc>
          <w:tcPr>
            <w:tcW w:w="42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Increase/ (Decrease)</w:t>
            </w:r>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7.0 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629,515 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12.6 </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8.0 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12.5 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21.6 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11.8 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(24.5)</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14.8 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(56.4)</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(58.5)</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(20.0)</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26.8 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0.8 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37.0 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pre-tax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(25.0)</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24.3 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(24.6)</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25.0 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(25.0)</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24.3 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Net revenue</w:t>
      </w:r>
      <w:r>
        <w:rPr>
          <w:rFonts w:ascii="Times New Roman;sans-serif" w:hAnsi="Times New Roman;sans-serif"/>
          <w:b w:val="false"/>
          <w:color w:val="000000"/>
          <w:sz w:val="20"/>
        </w:rPr>
        <w:t xml:space="preserve">s increased </w:t>
      </w:r>
      <w:r>
        <w:rPr>
          <w:rFonts w:ascii="Times New Roman;sans-serif" w:hAnsi="Times New Roman;sans-serif"/>
          <w:b w:val="false"/>
          <w:color w:val="000000"/>
          <w:sz w:val="20"/>
          <w:shd w:fill="FFFFFF" w:val="clear"/>
        </w:rPr>
        <w:t>7.0% and 12.6% during the three and six months ended September 30, 2023, respectively, as compared with the same periods of fiscal 2023. Without the effects of foreign exchange, net revenues</w:t>
      </w:r>
      <w:r>
        <w:rPr>
          <w:color w:val="000000"/>
        </w:rPr>
        <w:t xml:space="preserve"> </w:t>
      </w:r>
      <w:r>
        <w:rPr>
          <w:rFonts w:ascii="Times New Roman;sans-serif" w:hAnsi="Times New Roman;sans-serif"/>
          <w:b w:val="false"/>
          <w:color w:val="000000"/>
          <w:sz w:val="20"/>
        </w:rPr>
        <w:t xml:space="preserve">increased </w:t>
      </w:r>
      <w:r>
        <w:rPr>
          <w:rFonts w:ascii="Times New Roman;sans-serif" w:hAnsi="Times New Roman;sans-serif"/>
          <w:b w:val="false"/>
          <w:color w:val="000000"/>
          <w:sz w:val="20"/>
          <w:shd w:fill="FFFFFF" w:val="clear"/>
        </w:rPr>
        <w:t>7.6% and 13.6% during the three and six months ended September 30, 2023, respectively, as compared with the same periods of fiscal 2023.</w:t>
      </w:r>
      <w:r>
        <w:rPr>
          <w:color w:val="000000"/>
        </w:rPr>
        <w:t xml:space="preserve"> </w:t>
      </w:r>
      <w:r>
        <w:rPr>
          <w:rFonts w:ascii="Times New Roman;sans-serif" w:hAnsi="Times New Roman;sans-serif"/>
          <w:b w:val="false"/>
          <w:color w:val="000000"/>
          <w:sz w:val="20"/>
        </w:rPr>
        <w:t xml:space="preserve">Revenue increases in our Plasma and Hospital businesses, primarily related to volume and price benefits, drove the overall increase in revenue during the three and six months ended September 30, 2023.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Operating income de</w:t>
      </w:r>
      <w:r>
        <w:rPr>
          <w:rFonts w:ascii="Times New Roman;sans-serif" w:hAnsi="Times New Roman;sans-serif"/>
          <w:b w:val="false"/>
          <w:color w:val="000000"/>
          <w:sz w:val="20"/>
        </w:rPr>
        <w:t xml:space="preserve">creased </w:t>
      </w:r>
      <w:r>
        <w:rPr>
          <w:rFonts w:ascii="Times New Roman;sans-serif" w:hAnsi="Times New Roman;sans-serif"/>
          <w:b w:val="false"/>
          <w:color w:val="000000"/>
          <w:sz w:val="20"/>
          <w:shd w:fill="FFFFFF" w:val="clear"/>
        </w:rPr>
        <w:t xml:space="preserve">24.5% and during the </w:t>
      </w:r>
      <w:r>
        <w:rPr>
          <w:rFonts w:ascii="Times New Roman;sans-serif" w:hAnsi="Times New Roman;sans-serif"/>
          <w:b w:val="false"/>
          <w:color w:val="000000"/>
          <w:sz w:val="20"/>
        </w:rPr>
        <w:t xml:space="preserve">three months ended September 30, 2023 and increased 14.8% during the six months ended September 30, 2023 </w:t>
      </w:r>
      <w:r>
        <w:rPr>
          <w:rFonts w:ascii="Times New Roman;sans-serif" w:hAnsi="Times New Roman;sans-serif"/>
          <w:b w:val="false"/>
          <w:color w:val="000000"/>
          <w:sz w:val="20"/>
          <w:shd w:fill="FFFFFF" w:val="clear"/>
        </w:rPr>
        <w:t xml:space="preserve">as compared with the same periods of fiscal </w:t>
      </w:r>
      <w:r>
        <w:rPr>
          <w:rFonts w:ascii="Times New Roman;sans-serif" w:hAnsi="Times New Roman;sans-serif"/>
          <w:b w:val="false"/>
          <w:color w:val="000000"/>
          <w:sz w:val="20"/>
        </w:rPr>
        <w:t>2023. The decrease during the three months ended September 30, 2023 was primarily due to continuous growth investme</w:t>
      </w:r>
      <w:r>
        <w:rPr>
          <w:rFonts w:ascii="Times New Roman;sans-serif" w:hAnsi="Times New Roman;sans-serif"/>
          <w:b w:val="false"/>
          <w:color w:val="000000"/>
          <w:sz w:val="20"/>
          <w:shd w:fill="FFFFFF" w:val="clear"/>
        </w:rPr>
        <w:t xml:space="preserve">nts, impairments of intangible assets and digital transformation costs related to the upgrade of our enterprise resource planning system, partially offset by increased </w:t>
      </w:r>
      <w:r>
        <w:rPr>
          <w:rFonts w:ascii="Times New Roman;sans-serif" w:hAnsi="Times New Roman;sans-serif"/>
          <w:b w:val="false"/>
          <w:color w:val="000000"/>
          <w:sz w:val="20"/>
        </w:rPr>
        <w:t>revenues in Plasma</w:t>
      </w:r>
      <w:r>
        <w:rPr>
          <w:color w:val="000000"/>
          <w:shd w:fill="FFFFFF" w:val="clear"/>
        </w:rPr>
        <w:t xml:space="preserve"> </w:t>
      </w:r>
      <w:r>
        <w:rPr>
          <w:rFonts w:ascii="Times New Roman;sans-serif" w:hAnsi="Times New Roman;sans-serif"/>
          <w:b w:val="false"/>
          <w:color w:val="000000"/>
          <w:sz w:val="20"/>
          <w:shd w:fill="FFFFFF" w:val="clear"/>
        </w:rPr>
        <w:t>and Hospital. The increase during the six months ended September 30, 2023 was due to increa</w:t>
      </w:r>
      <w:r>
        <w:rPr>
          <w:rFonts w:ascii="Times New Roman;sans-serif" w:hAnsi="Times New Roman;sans-serif"/>
          <w:b w:val="false"/>
          <w:color w:val="000000"/>
          <w:sz w:val="20"/>
        </w:rPr>
        <w:t>sed revenues in Plasma and Hospital and operating leverage, partially offset by continuous growth investments, impairments of intangible assets and digital transformation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Management’s Use of Non-GAAP Measures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Net Revenues by Geography</w:t>
      </w:r>
    </w:p>
    <w:tbl>
      <w:tblPr>
        <w:tblW w:w="10205" w:type="dxa"/>
        <w:jc w:val="left"/>
        <w:tblInd w:w="0" w:type="dxa"/>
        <w:tblLayout w:type="fixed"/>
        <w:tblCellMar>
          <w:top w:w="28" w:type="dxa"/>
          <w:left w:w="28" w:type="dxa"/>
          <w:bottom w:w="28" w:type="dxa"/>
          <w:right w:w="28" w:type="dxa"/>
        </w:tblCellMar>
      </w:tblPr>
      <w:tblGrid>
        <w:gridCol w:w="504"/>
        <w:gridCol w:w="443"/>
        <w:gridCol w:w="424"/>
        <w:gridCol w:w="126"/>
        <w:gridCol w:w="126"/>
        <w:gridCol w:w="126"/>
        <w:gridCol w:w="244"/>
        <w:gridCol w:w="958"/>
        <w:gridCol w:w="126"/>
        <w:gridCol w:w="126"/>
        <w:gridCol w:w="126"/>
        <w:gridCol w:w="126"/>
        <w:gridCol w:w="244"/>
        <w:gridCol w:w="958"/>
        <w:gridCol w:w="126"/>
        <w:gridCol w:w="126"/>
        <w:gridCol w:w="126"/>
        <w:gridCol w:w="126"/>
        <w:gridCol w:w="347"/>
        <w:gridCol w:w="287"/>
        <w:gridCol w:w="655"/>
        <w:gridCol w:w="126"/>
        <w:gridCol w:w="126"/>
        <w:gridCol w:w="126"/>
        <w:gridCol w:w="308"/>
        <w:gridCol w:w="263"/>
        <w:gridCol w:w="657"/>
        <w:gridCol w:w="126"/>
        <w:gridCol w:w="126"/>
        <w:gridCol w:w="126"/>
        <w:gridCol w:w="455"/>
        <w:gridCol w:w="332"/>
        <w:gridCol w:w="984"/>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growth</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 impact</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Constant currency growth</w:t>
            </w:r>
            <w:r>
              <w:rPr>
                <w:color w:val="000000"/>
              </w:rPr>
              <w:t xml:space="preserve"> </w:t>
            </w:r>
            <w:r>
              <w:rPr>
                <w:rFonts w:ascii="Times New Roman;sans-serif" w:hAnsi="Times New Roman;sans-serif"/>
                <w:b/>
                <w:color w:val="000000"/>
                <w:sz w:val="10"/>
              </w:rPr>
              <w:t>(1)</w:t>
            </w:r>
          </w:p>
        </w:tc>
      </w:tr>
      <w:tr>
        <w:trPr/>
        <w:tc>
          <w:tcPr>
            <w:tcW w:w="13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236,345 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211,724 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81,838 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85,761 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6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318,183 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297,485 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1" w:type="dxa"/>
            <w:gridSpan w:val="3"/>
            <w:tcBorders/>
            <w:vAlign w:val="center"/>
          </w:tcPr>
          <w:p>
            <w:pPr>
              <w:pStyle w:val="TableContents"/>
              <w:bidi w:val="0"/>
              <w:spacing w:before="0" w:after="283"/>
              <w:jc w:val="left"/>
              <w:rPr>
                <w:sz w:val="4"/>
                <w:szCs w:val="4"/>
              </w:rPr>
            </w:pPr>
            <w:r>
              <w:rPr>
                <w:sz w:val="4"/>
                <w:szCs w:val="4"/>
              </w:rPr>
            </w:r>
          </w:p>
        </w:tc>
        <w:tc>
          <w:tcPr>
            <w:tcW w:w="8834" w:type="dxa"/>
            <w:gridSpan w:val="30"/>
            <w:tcBorders/>
          </w:tcPr>
          <w:p>
            <w:pPr>
              <w:pStyle w:val="TableContents"/>
              <w:bidi w:val="0"/>
              <w:spacing w:before="0" w:after="283"/>
              <w:jc w:val="left"/>
              <w:rPr>
                <w:sz w:val="4"/>
                <w:szCs w:val="4"/>
              </w:rPr>
            </w:pPr>
            <w:r>
              <w:rPr>
                <w:sz w:val="4"/>
                <w:szCs w:val="4"/>
              </w:rPr>
            </w:r>
          </w:p>
        </w:tc>
      </w:tr>
      <w:tr>
        <w:trPr/>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growth</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 impact</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Constant currency growth</w:t>
            </w:r>
            <w:r>
              <w:rPr>
                <w:color w:val="000000"/>
              </w:rPr>
              <w:t xml:space="preserve"> </w:t>
            </w:r>
            <w:r>
              <w:rPr>
                <w:rFonts w:ascii="Times New Roman;sans-serif" w:hAnsi="Times New Roman;sans-serif"/>
                <w:b/>
                <w:color w:val="000000"/>
                <w:sz w:val="10"/>
              </w:rPr>
              <w:t>(1)</w:t>
            </w:r>
          </w:p>
        </w:tc>
      </w:tr>
      <w:tr>
        <w:trPr/>
        <w:tc>
          <w:tcPr>
            <w:tcW w:w="13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473,418 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393,720 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156,097 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165,223 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6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629,515 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558,943 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Constant currency growth, a non-GAAP financial measure, measures the change in revenue between the current and prior year periods using a constant currency. See “</w:t>
            </w:r>
            <w:r>
              <w:rPr>
                <w:rFonts w:ascii="Times New Roman;sans-serif" w:hAnsi="Times New Roman;sans-serif"/>
                <w:b w:val="false"/>
                <w:i/>
                <w:color w:val="000000"/>
                <w:sz w:val="16"/>
              </w:rPr>
              <w:t>Management’s Use of Non-GAAP Measures.</w:t>
            </w: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principal operations are in the United States, Europe, Japan and other parts of Asia. Our products are marketed in approximately 90 countries around the world through a combination of our direct sales force and independent distributors and agents. During the three and six months ended September 30, 2023 our revenue generated outside the U.S. was 25.7% and 24.8% of total net revenues, respectively, as compared with 28.8% and 29.6%, respectively, during the three and six months ended October 1, 2022. International sales are generally conducted in local currencies, primarily Japanese Yen, Euro and Chinese Yuan. Our results of operations are impacted by changes in foreign exchange rates, particularly in the value of the Yen and Euro relative to the U.S. Dollar. We have placed foreign currency hedges on certain foreign currencies to mitigate our exposure to foreign currency fluctuations.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Please see the section entitled “Foreign Exchange” in this discussion for a more complete explanation of how foreign currency affects our business and our strategy for managing this exposure.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Revenues by Business Unit</w:t>
      </w:r>
    </w:p>
    <w:tbl>
      <w:tblPr>
        <w:tblW w:w="10205" w:type="dxa"/>
        <w:jc w:val="left"/>
        <w:tblInd w:w="0" w:type="dxa"/>
        <w:tblLayout w:type="fixed"/>
        <w:tblCellMar>
          <w:top w:w="28" w:type="dxa"/>
          <w:left w:w="28" w:type="dxa"/>
          <w:bottom w:w="28" w:type="dxa"/>
          <w:right w:w="28" w:type="dxa"/>
        </w:tblCellMar>
      </w:tblPr>
      <w:tblGrid>
        <w:gridCol w:w="660"/>
        <w:gridCol w:w="579"/>
        <w:gridCol w:w="540"/>
        <w:gridCol w:w="120"/>
        <w:gridCol w:w="120"/>
        <w:gridCol w:w="120"/>
        <w:gridCol w:w="233"/>
        <w:gridCol w:w="930"/>
        <w:gridCol w:w="120"/>
        <w:gridCol w:w="120"/>
        <w:gridCol w:w="120"/>
        <w:gridCol w:w="120"/>
        <w:gridCol w:w="233"/>
        <w:gridCol w:w="930"/>
        <w:gridCol w:w="120"/>
        <w:gridCol w:w="120"/>
        <w:gridCol w:w="120"/>
        <w:gridCol w:w="120"/>
        <w:gridCol w:w="317"/>
        <w:gridCol w:w="289"/>
        <w:gridCol w:w="638"/>
        <w:gridCol w:w="120"/>
        <w:gridCol w:w="120"/>
        <w:gridCol w:w="120"/>
        <w:gridCol w:w="292"/>
        <w:gridCol w:w="231"/>
        <w:gridCol w:w="641"/>
        <w:gridCol w:w="120"/>
        <w:gridCol w:w="120"/>
        <w:gridCol w:w="120"/>
        <w:gridCol w:w="433"/>
        <w:gridCol w:w="286"/>
        <w:gridCol w:w="933"/>
      </w:tblGrid>
      <w:tr>
        <w:trPr/>
        <w:tc>
          <w:tcPr>
            <w:tcW w:w="66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growth</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 impact</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Constant currency growth</w:t>
            </w:r>
            <w:r>
              <w:rPr>
                <w:rFonts w:ascii="Times New Roman;sans-serif" w:hAnsi="Times New Roman;sans-serif"/>
                <w:b/>
                <w:color w:val="000000"/>
                <w:sz w:val="10"/>
              </w:rPr>
              <w:t>(1)</w:t>
            </w:r>
          </w:p>
        </w:tc>
      </w:tr>
      <w:tr>
        <w:trPr/>
        <w:tc>
          <w:tcPr>
            <w:tcW w:w="1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Plasma</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141,900</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127,893</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w:t>
            </w:r>
            <w:r>
              <w:rPr>
                <w:color w:val="000000"/>
              </w:rPr>
              <w:t> </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0.3</w:t>
            </w:r>
            <w:r>
              <w:rPr>
                <w:color w:val="000000"/>
              </w:rPr>
              <w:t>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10.7</w:t>
            </w:r>
            <w:r>
              <w:rPr>
                <w:color w:val="000000"/>
              </w:rPr>
              <w:t> </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 Blood</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Apheresis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Blood Center</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68,098</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73,683</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(7.6)</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(5.1)</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Hemostasis Management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Vascular Closure</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Hospital</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103,143</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90,856</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w:t>
            </w:r>
            <w:r>
              <w:rPr>
                <w:color w:val="000000"/>
              </w:rPr>
              <w:t>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(0.5)</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14.0</w:t>
            </w:r>
            <w:r>
              <w:rPr>
                <w:color w:val="000000"/>
              </w:rPr>
              <w:t> </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business unit revenues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313,141</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292,432</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w:t>
            </w:r>
            <w:r>
              <w:rPr>
                <w:color w:val="000000"/>
              </w:rPr>
              <w:t>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(0.7)</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w:t>
            </w:r>
            <w:r>
              <w:rPr>
                <w:color w:val="000000"/>
              </w:rPr>
              <w:t> </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318,183</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297,485</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w:t>
            </w:r>
            <w:r>
              <w:rPr>
                <w:color w:val="000000"/>
              </w:rPr>
              <w:t>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(0.6)</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w:t>
            </w:r>
            <w:r>
              <w:rPr>
                <w:color w:val="000000"/>
              </w:rPr>
              <w:t> </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growth</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 impact</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Constant currency growth </w:t>
            </w:r>
            <w:r>
              <w:rPr>
                <w:rFonts w:ascii="Times New Roman;sans-serif" w:hAnsi="Times New Roman;sans-serif"/>
                <w:b/>
                <w:color w:val="000000"/>
                <w:sz w:val="10"/>
              </w:rPr>
              <w:t>(1)</w:t>
            </w:r>
          </w:p>
        </w:tc>
      </w:tr>
      <w:tr>
        <w:trPr/>
        <w:tc>
          <w:tcPr>
            <w:tcW w:w="1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Plasma</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280,510</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230,274</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21.8</w:t>
            </w:r>
            <w:r>
              <w:rPr>
                <w:color w:val="000000"/>
              </w:rPr>
              <w:t> </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0.1</w:t>
            </w:r>
            <w:r>
              <w:rPr>
                <w:color w:val="000000"/>
              </w:rPr>
              <w:t>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21.7</w:t>
            </w:r>
            <w:r>
              <w:rPr>
                <w:color w:val="000000"/>
              </w:rPr>
              <w:t> </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 Blood</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Apheresis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Blood Center</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135,438</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139,377</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Hemostasis Management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Vascular Closure</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Hospital</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202,751</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179,349</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w:t>
            </w:r>
            <w:r>
              <w:rPr>
                <w:color w:val="000000"/>
              </w:rPr>
              <w:t>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(0.9)</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w:t>
            </w:r>
            <w:r>
              <w:rPr>
                <w:color w:val="000000"/>
              </w:rPr>
              <w:t> </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business unit revenues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618,699</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549,000</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w:t>
            </w:r>
            <w:r>
              <w:rPr>
                <w:color w:val="000000"/>
              </w:rPr>
              <w:t>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13.7</w:t>
            </w:r>
            <w:r>
              <w:rPr>
                <w:color w:val="000000"/>
              </w:rPr>
              <w:t> </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629,515</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558,943</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w:t>
            </w:r>
            <w:r>
              <w:rPr>
                <w:color w:val="000000"/>
              </w:rPr>
              <w:t>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13.6</w:t>
            </w:r>
            <w:r>
              <w:rPr>
                <w:color w:val="000000"/>
              </w:rPr>
              <w:t> </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Constant currency growth, a non-GAAP financial measure, measures the change in revenue between the current and prior year periods using a constant currency. See “</w:t>
            </w:r>
            <w:r>
              <w:rPr>
                <w:rFonts w:ascii="Times New Roman;sans-serif" w:hAnsi="Times New Roman;sans-serif"/>
                <w:b w:val="false"/>
                <w:i/>
                <w:color w:val="000000"/>
                <w:sz w:val="16"/>
              </w:rPr>
              <w:t>Management’s Use of Non-GAAP Measures.</w:t>
            </w:r>
            <w:r>
              <w:rPr>
                <w:color w:val="000000"/>
              </w:rPr>
              <w:t>”</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 xml:space="preserve">Other includes the Cell Salvage and Transfusion Management product lines of the Hospital business unit. </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Plasma</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Plasma revenue</w:t>
      </w:r>
      <w:r>
        <w:rPr>
          <w:color w:val="000000"/>
        </w:rPr>
        <w:t xml:space="preserve"> </w:t>
      </w:r>
      <w:r>
        <w:rPr>
          <w:rFonts w:ascii="Times New Roman;sans-serif" w:hAnsi="Times New Roman;sans-serif"/>
          <w:b w:val="false"/>
          <w:color w:val="000000"/>
          <w:sz w:val="20"/>
        </w:rPr>
        <w:t xml:space="preserve">increased </w:t>
      </w:r>
      <w:r>
        <w:rPr>
          <w:rFonts w:ascii="Times New Roman;sans-serif" w:hAnsi="Times New Roman;sans-serif"/>
          <w:b w:val="false"/>
          <w:color w:val="000000"/>
          <w:sz w:val="20"/>
          <w:shd w:fill="FFFFFF" w:val="clear"/>
        </w:rPr>
        <w:t xml:space="preserve">11.0% and 21.8% during the three and six months ended September 30, 2023, respectively, as compared with the same periods of fiscal 2023. Without the effects of foreign exchange, Plasma revenue increased 10.7% and 21.7% during the three and six months ended September 30, 2023, respectively, as compared with the same periods of fiscal 2023. </w:t>
      </w:r>
      <w:r>
        <w:rPr>
          <w:rFonts w:ascii="Times New Roman;sans-serif" w:hAnsi="Times New Roman;sans-serif"/>
          <w:b w:val="false"/>
          <w:color w:val="000000"/>
          <w:sz w:val="20"/>
        </w:rPr>
        <w:t>The increases during the three and six months ended September 30, 2023 were primarily driven by volume and price.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fiscal 2023, we amended our supply agreement with CSL, which was scheduled to expire in December 2023, to extend the term through December 2025. CSL has a minimum purchase commitment under the non-exclusive supply agreement that slightly exceeds $100.0 million in fiscal 2024, and we expect that CSL will continue to provide a meaningful contribution to our Plasma business revenue in fiscal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Blood Center</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Blood Center revenu</w:t>
      </w:r>
      <w:r>
        <w:rPr>
          <w:rFonts w:ascii="Times New Roman;sans-serif" w:hAnsi="Times New Roman;sans-serif"/>
          <w:b w:val="false"/>
          <w:color w:val="000000"/>
          <w:sz w:val="20"/>
        </w:rPr>
        <w:t>e decreased</w:t>
      </w:r>
      <w:r>
        <w:rPr>
          <w:color w:val="000000"/>
          <w:shd w:fill="FFFFFF" w:val="clear"/>
        </w:rPr>
        <w:t xml:space="preserve"> </w:t>
      </w:r>
      <w:r>
        <w:rPr>
          <w:rFonts w:ascii="Times New Roman;sans-serif" w:hAnsi="Times New Roman;sans-serif"/>
          <w:b w:val="false"/>
          <w:color w:val="000000"/>
          <w:sz w:val="20"/>
          <w:shd w:fill="FFFFFF" w:val="clear"/>
        </w:rPr>
        <w:t>7.6% and 2.8% during the three and six months ended September 30, 2023, respectively, as compared with the same periods of fiscal 2023. Without the effects of foreign exchange, Blood Center revenue</w:t>
      </w:r>
      <w:r>
        <w:rPr>
          <w:color w:val="000000"/>
        </w:rPr>
        <w:t xml:space="preserve"> </w:t>
      </w:r>
      <w:r>
        <w:rPr>
          <w:rFonts w:ascii="Times New Roman;sans-serif" w:hAnsi="Times New Roman;sans-serif"/>
          <w:b w:val="false"/>
          <w:color w:val="000000"/>
          <w:sz w:val="20"/>
        </w:rPr>
        <w:t>decreased</w:t>
      </w:r>
      <w:r>
        <w:rPr>
          <w:color w:val="000000"/>
          <w:shd w:fill="FFFFFF" w:val="clear"/>
        </w:rPr>
        <w:t xml:space="preserve"> </w:t>
      </w:r>
      <w:r>
        <w:rPr>
          <w:rFonts w:ascii="Times New Roman;sans-serif" w:hAnsi="Times New Roman;sans-serif"/>
          <w:b w:val="false"/>
          <w:color w:val="000000"/>
          <w:sz w:val="20"/>
          <w:shd w:fill="FFFFFF" w:val="clear"/>
        </w:rPr>
        <w:t xml:space="preserve">5.1% during the </w:t>
      </w:r>
      <w:r>
        <w:rPr>
          <w:rFonts w:ascii="Times New Roman;sans-serif" w:hAnsi="Times New Roman;sans-serif"/>
          <w:b w:val="false"/>
          <w:color w:val="000000"/>
          <w:sz w:val="20"/>
        </w:rPr>
        <w:t xml:space="preserve">three months ended September 30, 2023 </w:t>
      </w:r>
      <w:r>
        <w:rPr>
          <w:rFonts w:ascii="Times New Roman;sans-serif" w:hAnsi="Times New Roman;sans-serif"/>
          <w:b w:val="false"/>
          <w:color w:val="000000"/>
          <w:sz w:val="20"/>
          <w:shd w:fill="FFFFFF" w:val="clear"/>
        </w:rPr>
        <w:t xml:space="preserve">as compared with the same period of fiscal 2023 and was flat for the </w:t>
      </w:r>
      <w:r>
        <w:rPr>
          <w:rFonts w:ascii="Times New Roman;sans-serif" w:hAnsi="Times New Roman;sans-serif"/>
          <w:b w:val="false"/>
          <w:color w:val="000000"/>
          <w:sz w:val="20"/>
        </w:rPr>
        <w:t>six months ended September 30, 2023 as compared with the same period of</w:t>
      </w:r>
      <w:r>
        <w:rPr>
          <w:color w:val="000000"/>
          <w:shd w:fill="FFFFFF" w:val="clear"/>
        </w:rPr>
        <w:t xml:space="preserve"> </w:t>
      </w:r>
      <w:r>
        <w:rPr>
          <w:rFonts w:ascii="Times New Roman;sans-serif" w:hAnsi="Times New Roman;sans-serif"/>
          <w:b w:val="false"/>
          <w:color w:val="000000"/>
          <w:sz w:val="20"/>
          <w:shd w:fill="FFFFFF" w:val="clear"/>
        </w:rPr>
        <w:t>fiscal 2023</w:t>
      </w:r>
      <w:r>
        <w:rPr>
          <w:rFonts w:ascii="Times New Roman;sans-serif" w:hAnsi="Times New Roman;sans-serif"/>
          <w:b w:val="false"/>
          <w:color w:val="000000"/>
          <w:sz w:val="20"/>
        </w:rPr>
        <w:t xml:space="preserve">. The decreases </w:t>
      </w:r>
      <w:r>
        <w:rPr>
          <w:rFonts w:ascii="Times New Roman;sans-serif" w:hAnsi="Times New Roman;sans-serif"/>
          <w:b w:val="false"/>
          <w:color w:val="000000"/>
          <w:sz w:val="20"/>
          <w:shd w:fill="FFFFFF" w:val="clear"/>
        </w:rPr>
        <w:t xml:space="preserve">during the three and six months ended September 30, 2023 </w:t>
      </w:r>
      <w:r>
        <w:rPr>
          <w:rFonts w:ascii="Times New Roman;sans-serif" w:hAnsi="Times New Roman;sans-serif"/>
          <w:b w:val="false"/>
          <w:color w:val="000000"/>
          <w:sz w:val="20"/>
        </w:rPr>
        <w:t>were primarily driven by declines in our Whole Blood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Hospital</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Hospital revenue</w:t>
      </w:r>
      <w:r>
        <w:rPr>
          <w:color w:val="000000"/>
        </w:rPr>
        <w:t xml:space="preserve"> </w:t>
      </w:r>
      <w:r>
        <w:rPr>
          <w:rFonts w:ascii="Times New Roman;sans-serif" w:hAnsi="Times New Roman;sans-serif"/>
          <w:b w:val="false"/>
          <w:color w:val="000000"/>
          <w:sz w:val="20"/>
        </w:rPr>
        <w:t xml:space="preserve">increased </w:t>
      </w:r>
      <w:r>
        <w:rPr>
          <w:rFonts w:ascii="Times New Roman;sans-serif" w:hAnsi="Times New Roman;sans-serif"/>
          <w:b w:val="false"/>
          <w:color w:val="000000"/>
          <w:sz w:val="20"/>
          <w:shd w:fill="FFFFFF" w:val="clear"/>
        </w:rPr>
        <w:t xml:space="preserve">13.5% and 13.0% during the three and six months ended September 30, 2023, respectively, as compared with the same periods of fiscal 2023. Without the effects of foreign exchange, Hospital revenue increased 14.0% and 13.9% during the three and six months ended September 30, 2023, respectively, as compared with the same periods of fiscal 2023. </w:t>
      </w:r>
      <w:r>
        <w:rPr>
          <w:rFonts w:ascii="Times New Roman;sans-serif" w:hAnsi="Times New Roman;sans-serif"/>
          <w:b w:val="false"/>
          <w:color w:val="000000"/>
          <w:sz w:val="20"/>
        </w:rPr>
        <w:t>The increases during the three and six months ended September 30, 2023 were primarily attributable to increased Vascular Closure and Hemostasis Management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Gross Profit</w:t>
      </w:r>
    </w:p>
    <w:tbl>
      <w:tblPr>
        <w:tblW w:w="10205" w:type="dxa"/>
        <w:jc w:val="left"/>
        <w:tblInd w:w="0" w:type="dxa"/>
        <w:tblLayout w:type="fixed"/>
        <w:tblCellMar>
          <w:top w:w="28" w:type="dxa"/>
          <w:left w:w="28" w:type="dxa"/>
          <w:bottom w:w="28" w:type="dxa"/>
          <w:right w:w="28" w:type="dxa"/>
        </w:tblCellMar>
      </w:tblPr>
      <w:tblGrid>
        <w:gridCol w:w="488"/>
        <w:gridCol w:w="426"/>
        <w:gridCol w:w="427"/>
        <w:gridCol w:w="211"/>
        <w:gridCol w:w="826"/>
        <w:gridCol w:w="271"/>
        <w:gridCol w:w="109"/>
        <w:gridCol w:w="109"/>
        <w:gridCol w:w="109"/>
        <w:gridCol w:w="211"/>
        <w:gridCol w:w="826"/>
        <w:gridCol w:w="271"/>
        <w:gridCol w:w="109"/>
        <w:gridCol w:w="109"/>
        <w:gridCol w:w="109"/>
        <w:gridCol w:w="204"/>
        <w:gridCol w:w="204"/>
        <w:gridCol w:w="508"/>
        <w:gridCol w:w="109"/>
        <w:gridCol w:w="109"/>
        <w:gridCol w:w="109"/>
        <w:gridCol w:w="211"/>
        <w:gridCol w:w="826"/>
        <w:gridCol w:w="271"/>
        <w:gridCol w:w="109"/>
        <w:gridCol w:w="109"/>
        <w:gridCol w:w="109"/>
        <w:gridCol w:w="211"/>
        <w:gridCol w:w="826"/>
        <w:gridCol w:w="271"/>
        <w:gridCol w:w="109"/>
        <w:gridCol w:w="109"/>
        <w:gridCol w:w="109"/>
        <w:gridCol w:w="255"/>
        <w:gridCol w:w="256"/>
        <w:gridCol w:w="570"/>
      </w:tblGrid>
      <w:tr>
        <w:trPr/>
        <w:tc>
          <w:tcPr>
            <w:tcW w:w="48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Increase</w:t>
            </w:r>
          </w:p>
        </w:tc>
      </w:tr>
      <w:tr>
        <w:trPr/>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Gross profit </w:t>
      </w:r>
      <w:r>
        <w:rPr>
          <w:rFonts w:ascii="Times New Roman;sans-serif" w:hAnsi="Times New Roman;sans-serif"/>
          <w:b w:val="false"/>
          <w:color w:val="000000"/>
          <w:sz w:val="20"/>
        </w:rPr>
        <w:t xml:space="preserve">increased </w:t>
      </w:r>
      <w:r>
        <w:rPr>
          <w:rFonts w:ascii="Times New Roman;sans-serif" w:hAnsi="Times New Roman;sans-serif"/>
          <w:b w:val="false"/>
          <w:color w:val="000000"/>
          <w:sz w:val="20"/>
          <w:shd w:fill="FFFFFF" w:val="clear"/>
        </w:rPr>
        <w:t>8.0% and 12.5% for the three and six months ended September 30, 2023, respectively, as compared with the same periods of fiscal 2023. Without the effects of foreign exchange, gross profit</w:t>
      </w:r>
      <w:r>
        <w:rPr>
          <w:color w:val="000000"/>
        </w:rPr>
        <w:t xml:space="preserve"> </w:t>
      </w:r>
      <w:r>
        <w:rPr>
          <w:rFonts w:ascii="Times New Roman;sans-serif" w:hAnsi="Times New Roman;sans-serif"/>
          <w:b w:val="false"/>
          <w:color w:val="000000"/>
          <w:sz w:val="20"/>
        </w:rPr>
        <w:t>increased 10.2% and 14.5% d</w:t>
      </w:r>
      <w:r>
        <w:rPr>
          <w:rFonts w:ascii="Times New Roman;sans-serif" w:hAnsi="Times New Roman;sans-serif"/>
          <w:b w:val="false"/>
          <w:color w:val="000000"/>
          <w:sz w:val="20"/>
          <w:shd w:fill="FFFFFF" w:val="clear"/>
        </w:rPr>
        <w:t xml:space="preserve">uring the three and six months ended September 30, 2023, respectively, as compared with the same periods of fiscal 2023. The </w:t>
      </w:r>
      <w:r>
        <w:rPr>
          <w:rFonts w:ascii="Times New Roman;sans-serif" w:hAnsi="Times New Roman;sans-serif"/>
          <w:b w:val="false"/>
          <w:color w:val="000000"/>
          <w:sz w:val="20"/>
        </w:rPr>
        <w:t xml:space="preserve">increases </w:t>
      </w:r>
      <w:r>
        <w:rPr>
          <w:rFonts w:ascii="Times New Roman;sans-serif" w:hAnsi="Times New Roman;sans-serif"/>
          <w:b w:val="false"/>
          <w:color w:val="000000"/>
          <w:sz w:val="20"/>
          <w:shd w:fill="FFFFFF" w:val="clear"/>
        </w:rPr>
        <w:t>during the three and six months ended September 30, 2023</w:t>
      </w:r>
      <w:r>
        <w:rPr>
          <w:color w:val="000000"/>
        </w:rPr>
        <w:t xml:space="preserve"> </w:t>
      </w:r>
      <w:r>
        <w:rPr>
          <w:rFonts w:ascii="Times New Roman;sans-serif" w:hAnsi="Times New Roman;sans-serif"/>
          <w:b w:val="false"/>
          <w:color w:val="000000"/>
          <w:sz w:val="20"/>
        </w:rPr>
        <w:t>were primarily driven by price, volume and geographic and product mix, partially offset by increases in inventory reserves, investments in operations and increased depreciation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Operating Expenses</w:t>
      </w:r>
    </w:p>
    <w:tbl>
      <w:tblPr>
        <w:tblW w:w="10339" w:type="dxa"/>
        <w:jc w:val="left"/>
        <w:tblInd w:w="0" w:type="dxa"/>
        <w:tblLayout w:type="fixed"/>
        <w:tblCellMar>
          <w:top w:w="28" w:type="dxa"/>
          <w:left w:w="28" w:type="dxa"/>
          <w:bottom w:w="28" w:type="dxa"/>
          <w:right w:w="28" w:type="dxa"/>
        </w:tblCellMar>
      </w:tblPr>
      <w:tblGrid>
        <w:gridCol w:w="534"/>
        <w:gridCol w:w="377"/>
        <w:gridCol w:w="380"/>
        <w:gridCol w:w="211"/>
        <w:gridCol w:w="826"/>
        <w:gridCol w:w="271"/>
        <w:gridCol w:w="109"/>
        <w:gridCol w:w="109"/>
        <w:gridCol w:w="109"/>
        <w:gridCol w:w="211"/>
        <w:gridCol w:w="826"/>
        <w:gridCol w:w="271"/>
        <w:gridCol w:w="109"/>
        <w:gridCol w:w="109"/>
        <w:gridCol w:w="109"/>
        <w:gridCol w:w="262"/>
        <w:gridCol w:w="264"/>
        <w:gridCol w:w="533"/>
        <w:gridCol w:w="109"/>
        <w:gridCol w:w="109"/>
        <w:gridCol w:w="109"/>
        <w:gridCol w:w="211"/>
        <w:gridCol w:w="826"/>
        <w:gridCol w:w="271"/>
        <w:gridCol w:w="109"/>
        <w:gridCol w:w="109"/>
        <w:gridCol w:w="109"/>
        <w:gridCol w:w="211"/>
        <w:gridCol w:w="826"/>
        <w:gridCol w:w="271"/>
        <w:gridCol w:w="109"/>
        <w:gridCol w:w="109"/>
        <w:gridCol w:w="109"/>
        <w:gridCol w:w="262"/>
        <w:gridCol w:w="264"/>
        <w:gridCol w:w="596"/>
      </w:tblGrid>
      <w:tr>
        <w:trPr/>
        <w:tc>
          <w:tcPr>
            <w:tcW w:w="53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Increase/</w:t>
              <w:br/>
              <w:t>(Decrease)</w:t>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16.2 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16.1 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14.0 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7.7 </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intangible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(12.2)</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(11.4)</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n/m</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21.6 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11.8 </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39.5 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Research and Development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Research and development expenses increased 16.2% and 16.1% during the three and six months ended September 30, 2023, respectively, as compared with the same periods of fiscal 2023. Without the effects of foreign exchange, research and development expenses increased</w:t>
      </w:r>
      <w:r>
        <w:rPr>
          <w:color w:val="000000"/>
          <w:shd w:fill="FFFFFF" w:val="clear"/>
        </w:rPr>
        <w:t xml:space="preserve"> </w:t>
      </w:r>
      <w:r>
        <w:rPr>
          <w:rFonts w:ascii="Times New Roman;sans-serif" w:hAnsi="Times New Roman;sans-serif"/>
          <w:b w:val="false"/>
          <w:color w:val="000000"/>
          <w:sz w:val="20"/>
          <w:shd w:fill="FFFFFF" w:val="clear"/>
        </w:rPr>
        <w:t>15.5% and 15.6% during the three and six months ended September 30, 2023, respectively, as compared with the same periods of fiscal 2023.</w:t>
      </w:r>
      <w:r>
        <w:rPr>
          <w:color w:val="000000"/>
        </w:rPr>
        <w:t xml:space="preserve"> </w:t>
      </w:r>
      <w:r>
        <w:rPr>
          <w:rFonts w:ascii="Times New Roman;sans-serif" w:hAnsi="Times New Roman;sans-serif"/>
          <w:b w:val="false"/>
          <w:color w:val="000000"/>
          <w:sz w:val="20"/>
        </w:rPr>
        <w:t>The increases during the three and six months ended September 30, 2023 were due to increased investments into product innovation across our product portfolio.</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Selling, General and Administrative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Selling, general and administrativ</w:t>
      </w:r>
      <w:r>
        <w:rPr>
          <w:rFonts w:ascii="Times New Roman;sans-serif" w:hAnsi="Times New Roman;sans-serif"/>
          <w:b w:val="false"/>
          <w:color w:val="000000"/>
          <w:sz w:val="20"/>
        </w:rPr>
        <w:t>e expenses increased 14.0% and 7.7% during the three and six months ended September 30, 2023, respectively, as compared with the same periods of fiscal 2023. Without the effects of foreign exchange, selling, general, and administrative expenses increased 13.9% and 7.7% during th</w:t>
      </w:r>
      <w:r>
        <w:rPr>
          <w:rFonts w:ascii="Times New Roman;sans-serif" w:hAnsi="Times New Roman;sans-serif"/>
          <w:b w:val="false"/>
          <w:color w:val="000000"/>
          <w:sz w:val="20"/>
          <w:shd w:fill="FFFFFF" w:val="clear"/>
        </w:rPr>
        <w:t>e three and six months ended September 30, 2023, respectively, as compared with the same periods of fiscal 2023. T</w:t>
      </w:r>
      <w:r>
        <w:rPr>
          <w:rFonts w:ascii="Times New Roman;sans-serif" w:hAnsi="Times New Roman;sans-serif"/>
          <w:b w:val="false"/>
          <w:color w:val="000000"/>
          <w:sz w:val="20"/>
        </w:rPr>
        <w:t xml:space="preserve">he increases </w:t>
      </w:r>
      <w:r>
        <w:rPr>
          <w:rFonts w:ascii="Times New Roman;sans-serif" w:hAnsi="Times New Roman;sans-serif"/>
          <w:b w:val="false"/>
          <w:color w:val="000000"/>
          <w:sz w:val="20"/>
          <w:shd w:fill="FFFFFF" w:val="clear"/>
        </w:rPr>
        <w:t>during the three and six months ended September 30, 2023</w:t>
      </w:r>
      <w:r>
        <w:rPr>
          <w:color w:val="000000"/>
        </w:rPr>
        <w:t xml:space="preserve"> </w:t>
      </w:r>
      <w:r>
        <w:rPr>
          <w:rFonts w:ascii="Times New Roman;sans-serif" w:hAnsi="Times New Roman;sans-serif"/>
          <w:b w:val="false"/>
          <w:color w:val="000000"/>
          <w:sz w:val="20"/>
        </w:rPr>
        <w:t>were primarily driven by higher investments in sales and marketing, costs associated with the upgrade of our enterprise resource planning system and litigation-related charges, partially offset by operating leverage.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Amortization of Acquired Intangible Assets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We recognized amortization expense related to our acquired intangible assets of $7.2 million and $14.7 million during the three and six months ended September 30, 2023, respectively, and $8.2 million and $16.6 million during the </w:t>
      </w:r>
      <w:r>
        <w:rPr>
          <w:rFonts w:ascii="Times New Roman;sans-serif" w:hAnsi="Times New Roman;sans-serif"/>
          <w:b w:val="false"/>
          <w:color w:val="000000"/>
          <w:sz w:val="20"/>
        </w:rPr>
        <w:t>three and six months ended October 1, 2022</w:t>
      </w:r>
      <w:r>
        <w:rPr>
          <w:rFonts w:ascii="Times New Roman;sans-serif" w:hAnsi="Times New Roman;sans-serif"/>
          <w:b w:val="false"/>
          <w:color w:val="000000"/>
          <w:sz w:val="20"/>
          <w:shd w:fill="FFFFFF" w:val="clear"/>
        </w:rPr>
        <w:t xml:space="preserve">, respectively. </w:t>
      </w:r>
      <w:r>
        <w:rPr>
          <w:rFonts w:ascii="Times New Roman;sans-serif" w:hAnsi="Times New Roman;sans-serif"/>
          <w:b w:val="false"/>
          <w:color w:val="000000"/>
          <w:sz w:val="20"/>
        </w:rPr>
        <w:t>The decreases were primarily the result of intangible assets that became fully amortized during fiscal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Impairment of Intangible Assets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recognized a </w:t>
      </w:r>
      <w:r>
        <w:rPr>
          <w:rFonts w:ascii="Times New Roman;sans-serif" w:hAnsi="Times New Roman;sans-serif"/>
          <w:b w:val="false"/>
          <w:color w:val="000000"/>
          <w:sz w:val="20"/>
          <w:shd w:fill="FFFFFF" w:val="clear"/>
        </w:rPr>
        <w:t>$10.4 million</w:t>
      </w:r>
      <w:r>
        <w:rPr>
          <w:color w:val="000000"/>
        </w:rPr>
        <w:t xml:space="preserve"> </w:t>
      </w:r>
      <w:r>
        <w:rPr>
          <w:rFonts w:ascii="Times New Roman;sans-serif" w:hAnsi="Times New Roman;sans-serif"/>
          <w:b w:val="false"/>
          <w:color w:val="000000"/>
          <w:sz w:val="20"/>
        </w:rPr>
        <w:t>impairment of intan</w:t>
      </w:r>
      <w:r>
        <w:rPr>
          <w:rFonts w:ascii="Times New Roman;sans-serif" w:hAnsi="Times New Roman;sans-serif"/>
          <w:b w:val="false"/>
          <w:color w:val="000000"/>
          <w:sz w:val="20"/>
          <w:shd w:fill="FFFFFF" w:val="clear"/>
        </w:rPr>
        <w:t>gible assets in the second quarter of fiscal 2024 related to the enicor GmbH acquisition completed in fiscal 2021 within our Hospital business unit.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Interest and Other Expense, Net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Interest and other expenses </w:t>
      </w:r>
      <w:r>
        <w:rPr>
          <w:rFonts w:ascii="Times New Roman;sans-serif" w:hAnsi="Times New Roman;sans-serif"/>
          <w:b w:val="false"/>
          <w:color w:val="000000"/>
          <w:sz w:val="20"/>
        </w:rPr>
        <w:t>decreased</w:t>
      </w:r>
      <w:r>
        <w:rPr>
          <w:color w:val="000000"/>
          <w:shd w:fill="FFFFFF" w:val="clear"/>
        </w:rPr>
        <w:t xml:space="preserve"> </w:t>
      </w:r>
      <w:r>
        <w:rPr>
          <w:rFonts w:ascii="Times New Roman;sans-serif" w:hAnsi="Times New Roman;sans-serif"/>
          <w:b w:val="false"/>
          <w:color w:val="000000"/>
          <w:sz w:val="20"/>
          <w:shd w:fill="FFFFFF" w:val="clear"/>
        </w:rPr>
        <w:t xml:space="preserve">56.4% and 58.5% during the three and six months ended September 30, 2023, respectively, as compared with the same periods of fiscal 2023. </w:t>
      </w:r>
      <w:r>
        <w:rPr>
          <w:rFonts w:ascii="Times New Roman;sans-serif" w:hAnsi="Times New Roman;sans-serif"/>
          <w:b w:val="false"/>
          <w:color w:val="000000"/>
          <w:sz w:val="20"/>
        </w:rPr>
        <w:t>The decreases were primarily driven by increased interest income on investments due to higher interest rates and foreign currency impact due to market and rate volatility, partially offset by higher interest incurred on our term loan.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Income Taxes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conduct business globally and report our results of operations in a number of foreign jurisdictions in addition to the United States. Our reported tax rate is impacted by the jurisdictional mix of earnings in any given period as the foreign jurisdictions in which we operate have tax rates that differ from the U.S. statutory tax rate.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For the three and six months ended September 30, 2023</w:t>
      </w:r>
      <w:r>
        <w:rPr>
          <w:rFonts w:ascii="Times New Roman;sans-serif" w:hAnsi="Times New Roman;sans-serif"/>
          <w:b w:val="false"/>
          <w:color w:val="000000"/>
          <w:sz w:val="20"/>
          <w:shd w:fill="FFFFFF" w:val="clear"/>
        </w:rPr>
        <w:t xml:space="preserve">, the Company reported income tax expense of $7.9 million and $18.5 million, respectively, representing effective tax rates of 24.1% and 21.9%, respectively. The effective tax rate for the three months ended September 30, 2023, includes $0.1 million of discrete tax benefit primarily related to stock compensation windfalls. The effective tax rate for the six months ended September 30, 2023 includes $1.3 million of discrete tax benefit primarily related to stock compensation windfalls.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October 1, 2022, the Company reported income tax expense of $7.9 million and $13.5 million, respectively, representing effective tax rates of 19.1% and 20.3%, respectively. The effective tax rate for the three months ended October 1, 2022, include a discrete tax benefit of $0.5 million related to tax rate changes enacted in the quarter and $0.3 million of discrete tax benefit relating to stock compensation windfalls. The effective tax rate for the six months ended October 1, 2022 includes a discrete tax benefit of $0.5 million related to tax rate changes enacted in the period and $0.3 million of discrete tax expense relating to stock compensation shortfalls.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contains certain key performance indicators we believe depict our liquidity and cash flow position:</w:t>
      </w:r>
    </w:p>
    <w:tbl>
      <w:tblPr>
        <w:tblW w:w="5660" w:type="dxa"/>
        <w:jc w:val="left"/>
        <w:tblInd w:w="0" w:type="dxa"/>
        <w:tblLayout w:type="fixed"/>
        <w:tblCellMar>
          <w:top w:w="28" w:type="dxa"/>
          <w:left w:w="28" w:type="dxa"/>
          <w:bottom w:w="28" w:type="dxa"/>
          <w:right w:w="28" w:type="dxa"/>
        </w:tblCellMar>
      </w:tblPr>
      <w:tblGrid>
        <w:gridCol w:w="912"/>
        <w:gridCol w:w="802"/>
        <w:gridCol w:w="805"/>
        <w:gridCol w:w="109"/>
        <w:gridCol w:w="109"/>
        <w:gridCol w:w="109"/>
        <w:gridCol w:w="211"/>
        <w:gridCol w:w="901"/>
        <w:gridCol w:w="109"/>
        <w:gridCol w:w="109"/>
        <w:gridCol w:w="109"/>
        <w:gridCol w:w="109"/>
        <w:gridCol w:w="211"/>
        <w:gridCol w:w="901"/>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r>
      <w:tr>
        <w:trPr/>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debt position</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Days sales outstanding (DSO)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turnover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Net debt position is the sum of cash and cash equivalents less total debt.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Our primary sources of liquidity are cash and cash equivalents, internally generated cash flow from operations and our revolving credit facility. We believe these sources are sufficient to fund our cash requirements over at least the next twelve months. In addition to the approximately </w:t>
      </w:r>
      <w:r>
        <w:rPr>
          <w:rFonts w:ascii="Times New Roman;sans-serif" w:hAnsi="Times New Roman;sans-serif"/>
          <w:b w:val="false"/>
          <w:color w:val="000000"/>
          <w:sz w:val="20"/>
        </w:rPr>
        <w:t>$253.0 million</w:t>
      </w:r>
      <w:r>
        <w:rPr>
          <w:color w:val="000000"/>
          <w:shd w:fill="FFFFFF" w:val="clear"/>
        </w:rPr>
        <w:t xml:space="preserve"> </w:t>
      </w:r>
      <w:r>
        <w:rPr>
          <w:rFonts w:ascii="Times New Roman;sans-serif" w:hAnsi="Times New Roman;sans-serif"/>
          <w:b w:val="false"/>
          <w:color w:val="000000"/>
          <w:sz w:val="20"/>
          <w:shd w:fill="FFFFFF" w:val="clear"/>
        </w:rPr>
        <w:t>acquisition of OpSens expected to close by January 2024, our expected cash outlays relate primarily to additional acquisitions, investments, capital expenditures, including enhancements to our North American manufacturing facilities, share repurchases and cash principal and interest payments under our revised credit agreement.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The Company has $500.0 million aggregate principal amount of 0% convertible senior notes due in 2026, or the 2026 Notes. The 2026 Notes are governed by the terms of the Indenture between the Company and U.S. Bank National Association, as trustee. </w:t>
      </w:r>
      <w:r>
        <w:rPr>
          <w:rFonts w:ascii="Times New Roman;sans-serif" w:hAnsi="Times New Roman;sans-serif"/>
          <w:b w:val="false"/>
          <w:color w:val="000000"/>
          <w:sz w:val="20"/>
        </w:rPr>
        <w:t xml:space="preserve">The total net proceeds from the sale of the 2026 Notes, after deducting the initial purchasers’ discounts and debt issuance costs, were approximately $486.7 million. </w:t>
      </w:r>
      <w:r>
        <w:rPr>
          <w:rFonts w:ascii="Times New Roman;sans-serif" w:hAnsi="Times New Roman;sans-serif"/>
          <w:b w:val="false"/>
          <w:color w:val="000000"/>
          <w:sz w:val="20"/>
          <w:shd w:fill="FFFFFF" w:val="clear"/>
        </w:rPr>
        <w:t xml:space="preserve">The 2026 Notes will mature on March 1, 2026, unless earlier converted, redeemed or repurchased. The 2026 Notes have an effective interest rate of </w:t>
      </w:r>
      <w:r>
        <w:rPr>
          <w:rFonts w:ascii="Times New Roman;sans-serif" w:hAnsi="Times New Roman;sans-serif"/>
          <w:b w:val="false"/>
          <w:color w:val="000000"/>
          <w:sz w:val="20"/>
        </w:rPr>
        <w:t>0.5%</w:t>
      </w:r>
      <w:r>
        <w:rPr>
          <w:color w:val="000000"/>
          <w:shd w:fill="FFFFFF" w:val="clear"/>
        </w:rPr>
        <w:t xml:space="preserve"> </w:t>
      </w:r>
      <w:r>
        <w:rPr>
          <w:rFonts w:ascii="Times New Roman;sans-serif" w:hAnsi="Times New Roman;sans-serif"/>
          <w:b w:val="false"/>
          <w:color w:val="000000"/>
          <w:sz w:val="20"/>
          <w:shd w:fill="FFFFFF" w:val="clear"/>
        </w:rPr>
        <w:t>as of September 30,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September 30, 2023, we had $351.0 million in cash and cash equivalents, the majority of which is held in the U.S. or in countries from which it can be repatriated to the U.S. On July 26, 2022, we entered into an amended and restated credit agreement with certain lenders to refinance our prior credit agreement entered into on June 15, 2018, which consisted of a $350.0 million term loan and a $350.0 million revolving credit facility (together, as amended from time to time, the “2018 Credit Facilities”), and extend the maturity date through June 2025. Our Revised Credit Facilities include a $280.0 million senior unsecured term loan, the proceeds of which have been used to retire the balance of the term loan under the 2018 Credit Facilities, and a $420.0 million senior unsecured revolving credit facility. Loans under the Revised Credit Facilities bear interest at an annual rate equal to the Adjusted Term SOFR Rate (as specified in the amended and restated credit agreement), which is subject to a floor of 0%, plus an applicable rate ranging from 1.125% to 1.750% based on the Company’s consolidated net leverage ratio (as specified in the amended and restated credit agreement) at the applicable measurement date. Adjusted Term SOFR Rate loans are also subject to a credit spread adjustment of 0.10% per annum. The revolving credit facility carries an unused fee that ranges from 0.125% to 0.250% annually based on the Company’s consolidated net leverage ratio at the applicable measurement date. Under the Revised Credit Facilities, the Company is required to maintain certain leverage and interest coverage ratios specified in the amended and restated credit agreement as well as other customary non-financial affirmative and negative covenants. The Revised Credit Facilities mature on June 15, 2025. The principal amount of the term loan under the Revised Credit Facilities is repayable quarterly through the maturity date at a rate of 2.5% for the first year and 5% thereafter, with the unpaid balance due at maturity.</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As of September 30, 2023, $269.5 million was outstanding under the term loan with an effective interest rate of 6.7%. There were </w:t>
      </w:r>
      <w:r>
        <w:rPr>
          <w:rFonts w:ascii="Times New Roman;sans-serif" w:hAnsi="Times New Roman;sans-serif"/>
          <w:b w:val="false"/>
          <w:color w:val="000000"/>
          <w:sz w:val="20"/>
        </w:rPr>
        <w:t>no</w:t>
      </w:r>
      <w:r>
        <w:rPr>
          <w:color w:val="000000"/>
          <w:shd w:fill="FFFFFF" w:val="clear"/>
        </w:rPr>
        <w:t xml:space="preserve"> </w:t>
      </w:r>
      <w:r>
        <w:rPr>
          <w:rFonts w:ascii="Times New Roman;sans-serif" w:hAnsi="Times New Roman;sans-serif"/>
          <w:b w:val="false"/>
          <w:color w:val="000000"/>
          <w:sz w:val="20"/>
          <w:shd w:fill="FFFFFF" w:val="clear"/>
        </w:rPr>
        <w:t xml:space="preserve">borrowings outstanding on the revolving credit facility. We also had $19.0 million of uncommitted operating lines of credit to fund our global operations under which there were </w:t>
      </w:r>
      <w:r>
        <w:rPr>
          <w:rFonts w:ascii="Times New Roman;sans-serif" w:hAnsi="Times New Roman;sans-serif"/>
          <w:b w:val="false"/>
          <w:color w:val="000000"/>
          <w:sz w:val="20"/>
        </w:rPr>
        <w:t>no</w:t>
      </w:r>
      <w:r>
        <w:rPr>
          <w:color w:val="000000"/>
          <w:shd w:fill="FFFFFF" w:val="clear"/>
        </w:rPr>
        <w:t xml:space="preserve"> </w:t>
      </w:r>
      <w:r>
        <w:rPr>
          <w:rFonts w:ascii="Times New Roman;sans-serif" w:hAnsi="Times New Roman;sans-serif"/>
          <w:b w:val="false"/>
          <w:color w:val="000000"/>
          <w:sz w:val="20"/>
          <w:shd w:fill="FFFFFF" w:val="clear"/>
        </w:rPr>
        <w:t>outstanding borrowings as of September 30, 2023. Additionally, the Company was in compliance with the leverage and interest coverage ratios specified in the credit agreement as well as all other bank covenants as of September 30,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scheduled principal payments of $7.0 million required during the remainder of fiscal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fiscal 2022, our Board of Directors approved a revised Operational Excellence Program. We estimate that we will incur aggregate charges between $95 million and $105 million in connection with the Operational Excellence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2025. During the three and six months ended September 30, 2023, we incurred $2.0 million and $4.2 million, respectively, of restructuring and restructuring related costs under this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Cash Flows</w:t>
      </w:r>
    </w:p>
    <w:tbl>
      <w:tblPr>
        <w:tblW w:w="8459" w:type="dxa"/>
        <w:jc w:val="left"/>
        <w:tblInd w:w="0" w:type="dxa"/>
        <w:tblLayout w:type="fixed"/>
        <w:tblCellMar>
          <w:top w:w="28" w:type="dxa"/>
          <w:left w:w="28" w:type="dxa"/>
          <w:bottom w:w="28" w:type="dxa"/>
          <w:right w:w="28" w:type="dxa"/>
        </w:tblCellMar>
      </w:tblPr>
      <w:tblGrid>
        <w:gridCol w:w="1902"/>
        <w:gridCol w:w="1671"/>
        <w:gridCol w:w="1677"/>
        <w:gridCol w:w="109"/>
        <w:gridCol w:w="109"/>
        <w:gridCol w:w="109"/>
        <w:gridCol w:w="211"/>
        <w:gridCol w:w="826"/>
        <w:gridCol w:w="109"/>
        <w:gridCol w:w="109"/>
        <w:gridCol w:w="109"/>
        <w:gridCol w:w="109"/>
        <w:gridCol w:w="211"/>
        <w:gridCol w:w="826"/>
        <w:gridCol w:w="109"/>
        <w:gridCol w:w="109"/>
        <w:gridCol w:w="154"/>
      </w:tblGrid>
      <w:tr>
        <w:trPr/>
        <w:tc>
          <w:tcPr>
            <w:tcW w:w="1902"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Effect of exchange rate changes on cash and cash equivalents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66,539 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The balance sheet is affected by spot exchange rates used to translate local currency amounts into U.S. Dollars. In accordance with U.S. GAAP, we have eliminated the effect of foreign currency throughout our cash flow statement, except for its effect on our cash and cash equivalents.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decreased by $10.8 million during the six months ended September 30, 2023, as compared with the six months ended October 1, 2022. The decrease in cash provided by operating activities was primarily the result of an increase in inventory, partially offset by a decrease in accounts receivable and an increase in net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decreased by $48.9 million during the six months ended September 30, 2023, as compared with the six months ended October 1, 2022. The decrease in cash used in investing activities was primarily the result of lower capital expenditures driven by NexSys PCS device placements that occurred during fiscal 2023 and decreased other investments compared to the six months ended October 1,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decreased by $41.3 million during the six months ended September 30, 2023, as compared with the six months ended October 1, 2022, primarily due to share repurchases and higher contingent consideration payments in fiscal 2023, which were partially offset by the draw down on the revolving credit facility during the six months ended October 1, 2022.</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shd w:fill="FFFFFF" w:val="clear"/>
        </w:rPr>
        <w:t>Concentration of Credit Risk</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business unit, sales are concentrated with several large customers. As a result, accounts receivable extended to any one of these biopharmaceutical customers can be significant at any point in time. In addition, a portion of our trade accounts receivable outside the U.S. include sales to government-owned or supported healthcare systems in several countries, which are subject to payment delays and local economic conditions. Payment is dependent upon the financial stability and creditworthiness of those countries’ national economies.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not incurred significant losses on trade accounts or other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Inflation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continue to monitor inflationary pressures generally and raw materials indices that may affect our procurement and production costs. Increases in the price of petroleum derivatives could result in corresponding increases in our costs to procure plastic raw materials. Historically, we have been able to limit the impact of the effects of inflation by improving our manufacturing and purchasing efficiencies, by increasing employee productivity and by adjusting the selling prices of products, but we may not be able to fully mitigate these increases in our operational costs in the future.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Foreign Exchange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three and six months ended September 30, 2023, 25.7% and 24.8%, respectively,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Japanese Yen, Euro and Chinese Yuan. We also have foreign currency exposure related to manufacturing and other operational costs denominated in Swiss Francs, Canadian Dollars, Mexican Pesos and Malaysian Ringgit. The Yen, Euro and Yuan sales exposure is partially mitigated by costs and expenses for foreign operations and sourcing products denominated in foreign currencies.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Since our foreign currency denominated Yen, Euro and Yuan sales exceed the foreign currency denominated costs, whenever the U.S. Dollar strengthens relative to the Yen, Euro or Yuan, there is an adverse effect on our results of operations and, conversely, whenever the U.S. Dollar weakens relative to the Yen, Euro or Yuan,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 and Mexican Peso.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are currently no recent accounting pronouncements that we expect to have a material impact on our financial position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Cautionary Statement Regarding Forward-Looking Information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Certain statements that we make from time to time, including statements contained in this Quarterly Report on Form 10-Q and incorporated by reference into this report, constitute “forward looking-statements” within the meaning of Section 27A of the Securities Act of 1933 and Section 21E of the Securities Exchange Act of 1934.</w:t>
      </w:r>
      <w:r>
        <w:rPr>
          <w:color w:val="212121"/>
          <w:shd w:fill="FFFFFF" w:val="clear"/>
        </w:rPr>
        <w:t> </w:t>
      </w:r>
      <w:r>
        <w:rPr>
          <w:rFonts w:ascii="Times New Roman;sans-serif" w:hAnsi="Times New Roman;sans-serif"/>
          <w:b w:val="false"/>
          <w:color w:val="000000"/>
          <w:sz w:val="20"/>
          <w:shd w:fill="FFFFFF" w:val="clear"/>
        </w:rPr>
        <w:t>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“foresees,” “potential” and other words of similar meaning in conjunction with, among other things: discussions of future operations; expected operating results and financial performance; the Company’s strategy for growth; product development, commercialization and anticipated performance and benefits; regulatory approvals; impacts of acquisitions or dispositions; and market position and expenditures.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Because forward-looking statements are based on current beliefs, expectations and assumptions regarding future events, they are subject to uncertainties, risks and changes that are difficult to predict and many of which are outside of the Company</w:t>
      </w:r>
      <w:r>
        <w:rPr>
          <w:color w:val="000000"/>
        </w:rPr>
        <w:t>’</w:t>
      </w:r>
      <w:r>
        <w:rPr>
          <w:rFonts w:ascii="Times New Roman;sans-serif" w:hAnsi="Times New Roman;sans-serif"/>
          <w:b w:val="false"/>
          <w:color w:val="000000"/>
          <w:sz w:val="20"/>
          <w:shd w:fill="FFFFFF" w:val="clear"/>
        </w:rPr>
        <w:t xml:space="preserve">s control. Investors should realize that if underlying assumptions prove inaccurate, or known or unknown risks or uncertainties materialize, the Company’s actual results and financial condition could vary materially from expectations and projections expressed or implied in its forward-looking statements. Investors are therefore cautioned not to rely on these forward-looking statements.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are some important factors that could cause our actual results to differ from our expectations in any forward-looking statements. For further discussion of these and other factors, see Item 1A. Risk Factors in our most recent Annual Report on Form 10-K.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achieve our long-term strategic and financial-improvement goals;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Demand for and market acceptance risks for new and existing products, including material reductions in purchasing from or loss of a significant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develop, manufacture and market new products and technologies successfully and in a timely manner and the ability of our competitors and other third parties to develop products or technologies that render our products or technologies noncompetitive or obsolete;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Product quality or safety concerns, leading to product recalls, withdrawals, regulatory action by the FDA (or similar non-U.S. regulatory agencies), reputational damage, declining sales or litigation;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Security breaches of our information technology systems or our products, which could impair our ability to conduct business or compromise sensitive information of the Company or its customers, suppliers and other business partners, or of customers’ patients;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Pricing pressures resulting from trends toward healthcare cost containment, including the continued consolidation among healthcare providers and other market participants;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continuity, availability and pricing of plastic and other raw materials, finished goods and components used in the manufacturing of our products (including those purchased from sole-source suppliers) and the related continuity of our manufacturing, sterilization, supply and distribution;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obtain the anticipated benefits of restructuring programs that we have or may undertake, including the Operational Excellence Program;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potential that the expected strategic benefits and opportunities from the Company’s pending acquisition of OpSens and any other planned or completed acquisitions, divestitures or other strategic investments by the Company may not be realized or may take longer to realize than expected;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impact of enhanced requirements to obtain regulatory approval in the U.S. and around the world and the associated timing and cost of product approval;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comply with established and developing U.S. and foreign legal and regulatory requirements, including the U.S. Foreign Corrupt Practices Act, European Union Medical Device Regulation and In Vitro Diagnostic Regulation and similar laws in other jurisdictions, as well as U.S. and foreign export and import restrictions and tariffs;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meet our debt obligations and raise additional capital when desired on terms reasonably acceptable to us;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potential impact of our convertible senior notes and related capped call transactions;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Geopolitical and economic conditions in China, Russia and other foreign jurisdictions where we do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execute and realize anticipated benefits from our investments in emerging economies;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potential effect of foreign currency fluctuations and interest rate fluctuations on our net sales, expenses and resulting margins;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impact of changes in U.S. and international tax laws;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protect intellectual property and the outcome of patent litigation;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Costs and risks associated with product liability and other litigation claims we may be subject to now or in the future;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impact of actual or threatened public health emergencies;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retain and attract key personnel;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Market conditions impacting our stock price and/or our share repurchase program, and the possibility that such share repurchase program may be delayed, suspended or discontinued;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Our ability to achieve against our corporate responsibility initiatives and meet evolving stakeholder expectations concerning corporate responsibility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Investors should understand that it is not possible to predict or identify all such factors and should not consider the risks described above and in Item 1A. Risk Factors in our Annual Report on Form 10-K to be a complete statement of all potential risks and uncertainties. The Company does not undertake to publicly update any forward-looking statement that may be made from time to time, whether as a result of new information or future events or developments.</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3.</w:t>
      </w:r>
      <w:r>
        <w:rPr>
          <w:color w:val="000000"/>
        </w:rPr>
        <w:t xml:space="preserve"> </w:t>
      </w:r>
      <w:r>
        <w:rPr>
          <w:rFonts w:ascii="Times New Roman;sans-serif" w:hAnsi="Times New Roman;sans-serif"/>
          <w:b/>
          <w:color w:val="000000"/>
          <w:sz w:val="20"/>
        </w:rPr>
        <w:t>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exposures relative to market risk are due to foreign exchange risk and interest rate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Foreign Exchange Risk</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w:t>
      </w:r>
      <w:r>
        <w:rPr>
          <w:rFonts w:ascii="Times New Roman;sans-serif" w:hAnsi="Times New Roman;sans-serif"/>
          <w:b w:val="false"/>
          <w:color w:val="000000"/>
          <w:sz w:val="20"/>
          <w:shd w:fill="FFFFFF" w:val="clear"/>
        </w:rPr>
        <w:t xml:space="preserve">t use the financial instruments for speculative or trading activities.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October 2023, we entered into a foreign currency option contract in connection with the pending OpSens transaction to mitigate the risk of foreign currency fluctuations. The foreign currency option contract is for the purchase of CAD $345.0 million at a protection rate of CAD $1.3570 to USD $1.00 and expires on January 10, 2024.</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We estimate the change in the fair value of all forward con</w:t>
      </w:r>
      <w:r>
        <w:rPr>
          <w:rFonts w:ascii="Times New Roman;sans-serif" w:hAnsi="Times New Roman;sans-serif"/>
          <w:b w:val="false"/>
          <w:color w:val="000000"/>
          <w:sz w:val="20"/>
        </w:rPr>
        <w:t>tracts assuming both a 10% strengthening and weakening of the U.S. Dollar relative to all other major cu</w:t>
      </w:r>
      <w:r>
        <w:rPr>
          <w:rFonts w:ascii="Times New Roman;sans-serif" w:hAnsi="Times New Roman;sans-serif"/>
          <w:b w:val="false"/>
          <w:color w:val="000000"/>
          <w:sz w:val="20"/>
          <w:shd w:fill="FFFFFF" w:val="clear"/>
        </w:rPr>
        <w:t xml:space="preserve">rrencies. As of September 30, 2023, in the event of a 10% strengthening of the U.S. Dollar, the change in fair value of all forward contracts would result in a </w:t>
      </w:r>
      <w:r>
        <w:rPr>
          <w:rFonts w:ascii="Times New Roman;sans-serif" w:hAnsi="Times New Roman;sans-serif"/>
          <w:b w:val="false"/>
          <w:color w:val="000000"/>
          <w:sz w:val="20"/>
        </w:rPr>
        <w:t xml:space="preserve">$2.9 million increase in the fair value of the forward contracts, whereas a 10% weakening of the U.S. Dollar would result in a $3.4 million </w:t>
      </w:r>
      <w:r>
        <w:rPr>
          <w:rFonts w:ascii="Times New Roman;sans-serif" w:hAnsi="Times New Roman;sans-serif"/>
          <w:b w:val="false"/>
          <w:color w:val="000000"/>
          <w:sz w:val="20"/>
          <w:shd w:fill="FFFFFF" w:val="clear"/>
        </w:rPr>
        <w:t>decr</w:t>
      </w:r>
      <w:r>
        <w:rPr>
          <w:rFonts w:ascii="Times New Roman;sans-serif" w:hAnsi="Times New Roman;sans-serif"/>
          <w:b w:val="false"/>
          <w:color w:val="000000"/>
          <w:sz w:val="20"/>
        </w:rPr>
        <w:t>ease in the fair value of the forward contracts.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Interest Rate Risk</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Our exposure to changes in interest rates is associated with borrowings under our credit facilities, all of which is variable rate debt. Total outstanding debt under our Revised Credit Facilities as of September 30, 2023 was $269.5 million with an effective interest rate of 6.7% based on prevailing Term SOFR rates. An increase of 100 basis points in Term SOFR rates would result in additional annual interest expense of </w:t>
      </w:r>
      <w:r>
        <w:rPr>
          <w:rFonts w:ascii="Times New Roman;sans-serif" w:hAnsi="Times New Roman;sans-serif"/>
          <w:b w:val="false"/>
          <w:color w:val="000000"/>
          <w:sz w:val="20"/>
        </w:rPr>
        <w:t>$0.5 million</w:t>
      </w:r>
      <w:r>
        <w:rPr>
          <w:rFonts w:ascii="Times New Roman;sans-serif" w:hAnsi="Times New Roman;sans-serif"/>
          <w:b w:val="false"/>
          <w:color w:val="000000"/>
          <w:sz w:val="20"/>
          <w:shd w:fill="FFFFFF" w:val="clear"/>
        </w:rPr>
        <w:t>. As of September 30, 2023</w:t>
      </w:r>
      <w:r>
        <w:rPr>
          <w:rFonts w:ascii="Times New Roman;sans-serif" w:hAnsi="Times New Roman;sans-serif"/>
          <w:b w:val="false"/>
          <w:color w:val="000000"/>
          <w:sz w:val="20"/>
        </w:rPr>
        <w:t xml:space="preserve">, the notional amount </w:t>
      </w:r>
      <w:r>
        <w:rPr>
          <w:rFonts w:ascii="Times New Roman;sans-serif" w:hAnsi="Times New Roman;sans-serif"/>
          <w:b w:val="false"/>
          <w:color w:val="000000"/>
          <w:sz w:val="20"/>
          <w:shd w:fill="FFFFFF" w:val="clear"/>
        </w:rPr>
        <w:t>on our two active in</w:t>
      </w:r>
      <w:r>
        <w:rPr>
          <w:rFonts w:ascii="Times New Roman;sans-serif" w:hAnsi="Times New Roman;sans-serif"/>
          <w:b w:val="false"/>
          <w:color w:val="000000"/>
          <w:sz w:val="20"/>
        </w:rPr>
        <w:t xml:space="preserve">terest rate swap agreements to effectively convert borrowings under our Credit Facilities from a variable rate to a fixed rate were $217 million. </w:t>
      </w:r>
      <w:r>
        <w:rPr>
          <w:rFonts w:ascii="Times New Roman;sans-serif" w:hAnsi="Times New Roman;sans-serif"/>
          <w:b w:val="false"/>
          <w:color w:val="000000"/>
          <w:sz w:val="20"/>
          <w:shd w:fill="FFFFFF" w:val="clear"/>
        </w:rPr>
        <w:t>These interest rate swaps are intended to mitigate the exposure to fluctuations in interest rates and qualify for hedge accounting treatment as cash flow hedges.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4.</w:t>
      </w:r>
      <w:r>
        <w:rPr>
          <w:color w:val="000000"/>
        </w:rPr>
        <w:t xml:space="preserve"> </w:t>
      </w:r>
      <w:r>
        <w:rPr>
          <w:rFonts w:ascii="Times New Roman;sans-serif" w:hAnsi="Times New Roman;sans-serif"/>
          <w:b/>
          <w:color w:val="000000"/>
          <w:sz w:val="20"/>
        </w:rPr>
        <w:t>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We conducted an evaluation, as of September 30, 2023,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under the Securities Exchange Act of 1934. Based upon that evaluation, the Chief Executive Officer and Chief Financial Offi</w:t>
      </w:r>
      <w:r>
        <w:rPr>
          <w:rFonts w:ascii="Times New Roman;sans-serif" w:hAnsi="Times New Roman;sans-serif"/>
          <w:b w:val="false"/>
          <w:color w:val="000000"/>
          <w:sz w:val="20"/>
          <w:shd w:fill="FFFFFF" w:val="clear"/>
        </w:rPr>
        <w:t xml:space="preserve">cer concluded that our disclosure controls and procedures were effective as of September 30,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Changes in Internal Control Over Financial Reporting</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were no changes in our internal control over financial reporting during the three months ended September 30, 2023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second quarter of fiscal 2024, we implemented the first phase of a new global enterprise resource planning (“ERP”) system, which will continue to be implemented in phases through fiscal 2025. The ERP will replace existing financial systems we have historically relied on. As each phase of the implementation occurs, we will reassess our processes and procedures, which may result in changes to our internal control over financial reporting.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Information with respect to this Item may be found in Note 14,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to the Unaudited Condensed Consolidated Financial Statements in this Quarterly Report on Form 10-Q, which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material changes from the Risk Factors previously disclosed in our Annual Report on Form 10-K for the fiscal year ended April 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certain of our directors and officers (as defined under Rule 16a-1(f) under the Securities Exchange Act of 1934) adopted or terminated trading arrangements for the sale of shares of our common stock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98"/>
        <w:gridCol w:w="701"/>
        <w:gridCol w:w="629"/>
        <w:gridCol w:w="114"/>
        <w:gridCol w:w="114"/>
        <w:gridCol w:w="114"/>
        <w:gridCol w:w="309"/>
        <w:gridCol w:w="309"/>
        <w:gridCol w:w="313"/>
        <w:gridCol w:w="114"/>
        <w:gridCol w:w="114"/>
        <w:gridCol w:w="114"/>
        <w:gridCol w:w="215"/>
        <w:gridCol w:w="215"/>
        <w:gridCol w:w="217"/>
        <w:gridCol w:w="114"/>
        <w:gridCol w:w="114"/>
        <w:gridCol w:w="114"/>
        <w:gridCol w:w="268"/>
        <w:gridCol w:w="268"/>
        <w:gridCol w:w="202"/>
        <w:gridCol w:w="160"/>
        <w:gridCol w:w="160"/>
        <w:gridCol w:w="160"/>
        <w:gridCol w:w="365"/>
        <w:gridCol w:w="365"/>
        <w:gridCol w:w="377"/>
        <w:gridCol w:w="114"/>
        <w:gridCol w:w="114"/>
        <w:gridCol w:w="114"/>
        <w:gridCol w:w="397"/>
        <w:gridCol w:w="397"/>
        <w:gridCol w:w="399"/>
        <w:gridCol w:w="114"/>
        <w:gridCol w:w="114"/>
        <w:gridCol w:w="114"/>
        <w:gridCol w:w="365"/>
        <w:gridCol w:w="365"/>
        <w:gridCol w:w="541"/>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Arrangement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and Title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Action</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Date</w:t>
            </w:r>
            <w:r>
              <w:rPr>
                <w:rFonts w:ascii="Times New Roman;sans-serif" w:hAnsi="Times New Roman;sans-serif"/>
                <w:b/>
                <w:color w:val="000000"/>
                <w:sz w:val="13"/>
              </w:rPr>
              <w:t>(1)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Rule 10b5-1*</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Non-Rule 10b5-1**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Number of Shares to be Sold</w:t>
            </w:r>
            <w:r>
              <w:rPr>
                <w:rFonts w:ascii="Times New Roman;sans-serif" w:hAnsi="Times New Roman;sans-serif"/>
                <w:b/>
                <w:color w:val="000000"/>
                <w:sz w:val="13"/>
              </w:rPr>
              <w:t>(2)</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Expiration Date</w:t>
            </w:r>
            <w:r>
              <w:rPr>
                <w:rFonts w:ascii="Times New Roman;sans-serif" w:hAnsi="Times New Roman;sans-serif"/>
                <w:b/>
                <w:color w:val="000000"/>
                <w:sz w:val="13"/>
              </w:rPr>
              <w:t>(3)</w:t>
            </w:r>
          </w:p>
        </w:tc>
      </w:tr>
      <w:tr>
        <w:trPr/>
        <w:tc>
          <w:tcPr>
            <w:tcW w:w="21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Josep Llorens, EVP, Global Manufacturing and Supply Chain</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8/31/2023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8/16/2024</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Intended to satisfy the affirmative defense conditions of Rule 10b5-1(c) under the Securities Exchange Act of 1934.</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Not intended to satisfy the affirmative defense conditions of Rule 10b5-1(c) under the Securities Exchange Act of 1934.</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Reflects the fully-executed date of each trading arrangement, which may differ from the date of first execution by an officer or director. </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The number of shares of common stock sold under each trading arrangement, if any, will be net of shares withheld for applicable tax obligations upon the vesting and/or exercise of covered securities as well as for payment of the exercise price upon the exercise of stock options, which amounts are not yet determinable.</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 xml:space="preserve">Except as otherwise indicated by footnote, each trading arrangement expires upon the earlier of (a) completion of all authorized transactions thereunder and (b) the expiration date listed above. </w:t>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8077" w:type="dxa"/>
            <w:gridSpan w:val="36"/>
            <w:tcBorders/>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188"/>
        <w:gridCol w:w="166"/>
        <w:gridCol w:w="170"/>
        <w:gridCol w:w="2950"/>
        <w:gridCol w:w="2785"/>
        <w:gridCol w:w="3946"/>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vAlign w:val="center"/>
          </w:tcPr>
          <w:p>
            <w:pPr>
              <w:pStyle w:val="TableContents"/>
              <w:bidi w:val="0"/>
              <w:spacing w:before="0" w:after="283"/>
              <w:jc w:val="left"/>
              <w:rPr>
                <w:sz w:val="4"/>
                <w:szCs w:val="4"/>
              </w:rPr>
            </w:pPr>
            <w:r>
              <w:rPr>
                <w:sz w:val="4"/>
                <w:szCs w:val="4"/>
              </w:rPr>
            </w:r>
          </w:p>
        </w:tc>
        <w:tc>
          <w:tcPr>
            <w:tcW w:w="9681" w:type="dxa"/>
            <w:gridSpan w:val="3"/>
            <w:tcBorders/>
            <w:vAlign w:val="center"/>
          </w:tcPr>
          <w:p>
            <w:pPr>
              <w:pStyle w:val="TableContents"/>
              <w:bidi w:val="0"/>
              <w:spacing w:before="0" w:after="283"/>
              <w:jc w:val="left"/>
              <w:rPr>
                <w:sz w:val="4"/>
                <w:szCs w:val="4"/>
              </w:rPr>
            </w:pPr>
            <w:r>
              <w:rPr>
                <w:sz w:val="4"/>
                <w:szCs w:val="4"/>
              </w:rPr>
            </w:r>
          </w:p>
        </w:tc>
      </w:tr>
      <w:tr>
        <w:trPr/>
        <w:tc>
          <w:tcPr>
            <w:tcW w:w="524" w:type="dxa"/>
            <w:gridSpan w:val="3"/>
            <w:tcBorders/>
            <w:vAlign w:val="center"/>
          </w:tcPr>
          <w:p>
            <w:pPr>
              <w:pStyle w:val="TableContents"/>
              <w:bidi w:val="0"/>
              <w:spacing w:before="0" w:after="283"/>
              <w:jc w:val="left"/>
              <w:rPr>
                <w:sz w:val="4"/>
                <w:szCs w:val="4"/>
              </w:rPr>
            </w:pPr>
            <w:r>
              <w:rPr>
                <w:sz w:val="4"/>
                <w:szCs w:val="4"/>
              </w:rPr>
            </w:r>
          </w:p>
        </w:tc>
        <w:tc>
          <w:tcPr>
            <w:tcW w:w="9681" w:type="dxa"/>
            <w:gridSpan w:val="3"/>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Restated Articles of Organization of the Company, reflecting Articles of Amendment dated August 23, 1993, August 21, 2006, July 26, 2018 and July 25, 2019 (filed as Exhibit 3.1 to the Company’s Form 8-K dated July 29, 2019 and incorporated herein by reference).</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3.2</w:t>
              </w:r>
            </w:hyperlink>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By-Laws of the Company, as amended through June 29, 2020 (filed as Exhibit 3.1 to the Company’s Form 8-K dated June 30, 2020 and incorporated herein by reference).</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10.1</w:t>
              </w:r>
            </w:hyperlink>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Corporation Amended and Restated 2019 Long-Term Incentive Compensation Plan (filed as Exhibit 10.1 to the Company’s Current Report on Form 8-K dated August 7, 2023 and incorporated herein by reference) (1).</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aefy24q2sepex311.htm">
              <w:r>
                <w:rPr>
                  <w:rStyle w:val="InternetLink"/>
                  <w:rFonts w:ascii="Times New Roman;sans-serif" w:hAnsi="Times New Roman;sans-serif"/>
                  <w:b w:val="false"/>
                  <w:color w:val="0000FF"/>
                  <w:sz w:val="20"/>
                  <w:u w:val="single"/>
                </w:rPr>
                <w:t>31.1</w:t>
              </w:r>
            </w:hyperlink>
            <w:r>
              <w:rPr>
                <w:rFonts w:ascii="Times New Roman;sans-serif" w:hAnsi="Times New Roman;sans-serif"/>
                <w:b w:val="false"/>
                <w:color w:val="000000"/>
                <w:sz w:val="20"/>
              </w:rPr>
              <w:t>*</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302 of Sarbanes-Oxley Act of 2002, of Christopher A. Simon, President and Chief Executive Officer of the Company.</w:t>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aefy24q2sepex312.htm">
              <w:r>
                <w:rPr>
                  <w:rStyle w:val="InternetLink"/>
                  <w:rFonts w:ascii="Times New Roman;sans-serif" w:hAnsi="Times New Roman;sans-serif"/>
                  <w:b w:val="false"/>
                  <w:color w:val="0000FF"/>
                  <w:sz w:val="20"/>
                  <w:u w:val="single"/>
                </w:rPr>
                <w:t>31.2</w:t>
              </w:r>
            </w:hyperlink>
            <w:r>
              <w:rPr>
                <w:rFonts w:ascii="Times New Roman;sans-serif" w:hAnsi="Times New Roman;sans-serif"/>
                <w:b w:val="false"/>
                <w:color w:val="000000"/>
                <w:sz w:val="20"/>
              </w:rPr>
              <w:t>*</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302 of Sarbanes-Oxley of 2002, of James C. D'Arecca, Executive Vice President, Chief Financial Officer of the Company.</w:t>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aefy24q2sepex321.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United States Code Section 1350, as adopted Pursuant to Section 906 of the Sarbanes-Oxley Act of 2002, of Christopher A. Simon, President and Chief Executive Officer of the Company.</w:t>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aefy24q2sepex322.htm">
              <w:r>
                <w:rPr>
                  <w:rStyle w:val="InternetLink"/>
                  <w:rFonts w:ascii="Times New Roman;sans-serif" w:hAnsi="Times New Roman;sans-serif"/>
                  <w:b w:val="false"/>
                  <w:color w:val="0000FF"/>
                  <w:sz w:val="20"/>
                  <w:u w:val="single"/>
                </w:rPr>
                <w:t>32.2</w:t>
              </w:r>
            </w:hyperlink>
            <w:r>
              <w:rPr>
                <w:rFonts w:ascii="Times New Roman;sans-serif" w:hAnsi="Times New Roman;sans-serif"/>
                <w:b w:val="false"/>
                <w:color w:val="000000"/>
                <w:sz w:val="20"/>
              </w:rPr>
              <w:t>**</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United States Code Section 1350, as adopted Pursuant to Section 906 of the Sarbanes-Oxley Act of 2002, of James C. D'Arecca, Executive Vice President, Chief Financial Officer of the Company.</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Haemonetics Corporation on Form 10-Q for the quarter ended July 2, 2022 formatted in inline Extensible Business Reporting Language (XBRL) includes: (i) Condensed Consolidated Statements of Income and Comprehensive Income, (ii) Condensed Consolidated Balance Sheets, (iii) Condensed Consolidated Statement of Stockholders' Equity, (iv) Condensed Consolidated Statements of Cash Flows, and (v) Notes to Condensed Consolidated Financial Statements.</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and contained in Exhibit 101).</w:t>
            </w:r>
          </w:p>
        </w:tc>
      </w:tr>
    </w:tbl>
    <w:tbl>
      <w:tblPr>
        <w:tblW w:w="7616" w:type="dxa"/>
        <w:jc w:val="left"/>
        <w:tblInd w:w="0" w:type="dxa"/>
        <w:tblLayout w:type="fixed"/>
        <w:tblCellMar>
          <w:top w:w="28" w:type="dxa"/>
          <w:left w:w="28" w:type="dxa"/>
          <w:bottom w:w="28" w:type="dxa"/>
          <w:right w:w="28" w:type="dxa"/>
        </w:tblCellMar>
      </w:tblPr>
      <w:tblGrid>
        <w:gridCol w:w="125"/>
        <w:gridCol w:w="110"/>
        <w:gridCol w:w="110"/>
        <w:gridCol w:w="109"/>
        <w:gridCol w:w="109"/>
        <w:gridCol w:w="109"/>
        <w:gridCol w:w="2032"/>
        <w:gridCol w:w="2032"/>
        <w:gridCol w:w="2880"/>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4"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4"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4"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Document filed with this report.</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Document furnished with this report.</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Agreement, plan, or arrangement related to the compensation of officers or directors.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0c8c80de79b455cb4e0b491d485eb4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9120" w:type="dxa"/>
        <w:jc w:val="left"/>
        <w:tblInd w:w="0" w:type="dxa"/>
        <w:tblLayout w:type="fixed"/>
        <w:tblCellMar>
          <w:top w:w="28" w:type="dxa"/>
          <w:left w:w="28" w:type="dxa"/>
          <w:bottom w:w="28" w:type="dxa"/>
          <w:right w:w="28" w:type="dxa"/>
        </w:tblCellMar>
      </w:tblPr>
      <w:tblGrid>
        <w:gridCol w:w="587"/>
        <w:gridCol w:w="516"/>
        <w:gridCol w:w="517"/>
        <w:gridCol w:w="481"/>
        <w:gridCol w:w="481"/>
        <w:gridCol w:w="481"/>
        <w:gridCol w:w="1885"/>
        <w:gridCol w:w="1885"/>
        <w:gridCol w:w="1915"/>
        <w:gridCol w:w="109"/>
        <w:gridCol w:w="109"/>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2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CORPORATION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 2023</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A. Simon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A. Simon,</w:t>
              <w:b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 2023</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C. D’Arecca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C. D’Arecca, 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1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36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31.1</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Christopher A. Simon, certify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Haemonetics Corporation;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November 2, 2023 </w:t>
      </w:r>
    </w:p>
    <w:tbl>
      <w:tblPr>
        <w:tblW w:w="5718" w:type="dxa"/>
        <w:jc w:val="left"/>
        <w:tblInd w:w="0" w:type="dxa"/>
        <w:tblLayout w:type="fixed"/>
        <w:tblCellMar>
          <w:top w:w="28" w:type="dxa"/>
          <w:left w:w="28" w:type="dxa"/>
          <w:bottom w:w="28" w:type="dxa"/>
          <w:right w:w="28" w:type="dxa"/>
        </w:tblCellMar>
      </w:tblPr>
      <w:tblGrid>
        <w:gridCol w:w="124"/>
        <w:gridCol w:w="109"/>
        <w:gridCol w:w="109"/>
        <w:gridCol w:w="556"/>
        <w:gridCol w:w="556"/>
        <w:gridCol w:w="556"/>
        <w:gridCol w:w="556"/>
        <w:gridCol w:w="556"/>
        <w:gridCol w:w="556"/>
        <w:gridCol w:w="556"/>
        <w:gridCol w:w="556"/>
        <w:gridCol w:w="5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A. Simon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A. Simon, 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31.2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James C. D'Arecca, certify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Haemonetics Corporation;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2, 2023</w:t>
      </w:r>
    </w:p>
    <w:tbl>
      <w:tblPr>
        <w:tblW w:w="6366" w:type="dxa"/>
        <w:jc w:val="left"/>
        <w:tblInd w:w="0" w:type="dxa"/>
        <w:tblLayout w:type="fixed"/>
        <w:tblCellMar>
          <w:top w:w="28" w:type="dxa"/>
          <w:left w:w="28" w:type="dxa"/>
          <w:bottom w:w="28" w:type="dxa"/>
          <w:right w:w="28" w:type="dxa"/>
        </w:tblCellMar>
      </w:tblPr>
      <w:tblGrid>
        <w:gridCol w:w="124"/>
        <w:gridCol w:w="109"/>
        <w:gridCol w:w="109"/>
        <w:gridCol w:w="628"/>
        <w:gridCol w:w="628"/>
        <w:gridCol w:w="628"/>
        <w:gridCol w:w="628"/>
        <w:gridCol w:w="628"/>
        <w:gridCol w:w="628"/>
        <w:gridCol w:w="628"/>
        <w:gridCol w:w="628"/>
        <w:gridCol w:w="62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C. D'Arecca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C. D'Arecca, 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32.1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Haemonetics Corporation (the “Company”) on Form 10-Q for the period ended September 30, 2023 as filed with the Securities and Exchange Commission on the date hereof (the “Report”), I, Christopher A.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November 2, 2023 </w:t>
      </w:r>
    </w:p>
    <w:tbl>
      <w:tblPr>
        <w:tblW w:w="3918" w:type="dxa"/>
        <w:jc w:val="left"/>
        <w:tblInd w:w="0" w:type="dxa"/>
        <w:tblLayout w:type="fixed"/>
        <w:tblCellMar>
          <w:top w:w="28" w:type="dxa"/>
          <w:left w:w="28" w:type="dxa"/>
          <w:bottom w:w="28" w:type="dxa"/>
          <w:right w:w="28" w:type="dxa"/>
        </w:tblCellMar>
      </w:tblPr>
      <w:tblGrid>
        <w:gridCol w:w="124"/>
        <w:gridCol w:w="109"/>
        <w:gridCol w:w="109"/>
        <w:gridCol w:w="356"/>
        <w:gridCol w:w="356"/>
        <w:gridCol w:w="356"/>
        <w:gridCol w:w="356"/>
        <w:gridCol w:w="356"/>
        <w:gridCol w:w="356"/>
        <w:gridCol w:w="356"/>
        <w:gridCol w:w="356"/>
        <w:gridCol w:w="3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A. Simon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A. Simon,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32.2</w:t>
      </w:r>
    </w:p>
    <w:p>
      <w:pPr>
        <w:pStyle w:val="TextBody"/>
        <w:bidi w:val="0"/>
        <w:spacing w:before="240" w:after="283"/>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Haemonetics Corporation (the “Company”) on Form 10-Q for the period ended September 30, 2023 as filed with the Securities and Exchange Commission on the date hereof (the “Report”), I, James C. D'Arecca,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November 2, 2023 </w:t>
      </w:r>
    </w:p>
    <w:tbl>
      <w:tblPr>
        <w:tblW w:w="4809" w:type="dxa"/>
        <w:jc w:val="left"/>
        <w:tblInd w:w="0" w:type="dxa"/>
        <w:tblLayout w:type="fixed"/>
        <w:tblCellMar>
          <w:top w:w="28" w:type="dxa"/>
          <w:left w:w="28" w:type="dxa"/>
          <w:bottom w:w="28" w:type="dxa"/>
          <w:right w:w="28" w:type="dxa"/>
        </w:tblCellMar>
      </w:tblPr>
      <w:tblGrid>
        <w:gridCol w:w="124"/>
        <w:gridCol w:w="109"/>
        <w:gridCol w:w="109"/>
        <w:gridCol w:w="455"/>
        <w:gridCol w:w="455"/>
        <w:gridCol w:w="455"/>
        <w:gridCol w:w="455"/>
        <w:gridCol w:w="455"/>
        <w:gridCol w:w="455"/>
        <w:gridCol w:w="455"/>
        <w:gridCol w:w="455"/>
        <w:gridCol w:w="45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C. D'Arecca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C. D'Arecca,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313143/000031314319000035/exhibit31-restatedarticles.htm" TargetMode="External"/><Relationship Id="rId3" Type="http://schemas.openxmlformats.org/officeDocument/2006/relationships/hyperlink" Target="http://www.sec.gov/Archives/edgar/data/313143/000031314320000052/by-lawsasamended62920.htm" TargetMode="External"/><Relationship Id="rId4" Type="http://schemas.openxmlformats.org/officeDocument/2006/relationships/hyperlink" Target="https://www.sec.gov/Archives/edgar/data/313143/000031314323000037/a8kex101-ar2019ltiplan8723.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18004</Words>
  <Characters>99974</Characters>
  <CharactersWithSpaces>116582</CharactersWithSpaces>
  <Paragraphs>2944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