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September 29, 2012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1-14041</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460" w:type="dxa"/>
        <w:tblCellMar>
          <w:top w:w="0" w:type="dxa"/>
          <w:left w:w="0" w:type="dxa"/>
          <w:bottom w:w="0" w:type="dxa"/>
          <w:right w:w="0" w:type="dxa"/>
        </w:tblCellMar>
      </w:tblPr>
      <w:tr>
        <w:trPr>
          <w:trHeight w:val="220"/>
        </w:trPr>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Massachusetts</w:t>
            </w:r>
          </w:p>
        </w:tc>
        <w:tc>
          <w:tcPr>
            <w:tcW w:w="600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04-2882273</w:t>
            </w:r>
          </w:p>
        </w:tc>
        <w:tc>
          <w:tcPr>
            <w:tcW w:w="0" w:type="dxa"/>
            <w:vAlign w:val="bottom"/>
          </w:tcPr>
          <w:p>
            <w:pPr>
              <w:spacing w:after="0"/>
              <w:rPr>
                <w:sz w:val="1"/>
                <w:szCs w:val="1"/>
                <w:color w:val="auto"/>
              </w:rPr>
            </w:pPr>
          </w:p>
        </w:tc>
      </w:tr>
      <w:tr>
        <w:trPr>
          <w:trHeight w:val="108"/>
        </w:trPr>
        <w:tc>
          <w:tcPr>
            <w:tcW w:w="258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(State or other jurisdiction</w:t>
            </w:r>
          </w:p>
        </w:tc>
        <w:tc>
          <w:tcPr>
            <w:tcW w:w="6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vMerge w:val="restart"/>
          </w:tcPr>
          <w:p>
            <w:pPr>
              <w:jc w:val="center"/>
              <w:ind w:left="331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122"/>
        </w:trPr>
        <w:tc>
          <w:tcPr>
            <w:tcW w:w="258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of incorporation or organization)</w:t>
            </w:r>
          </w:p>
        </w:tc>
        <w:tc>
          <w:tcPr>
            <w:tcW w:w="6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b w:val="1"/>
                <w:bCs w:val="1"/>
                <w:color w:val="auto"/>
                <w:w w:val="92"/>
              </w:rPr>
              <w:t>400 Wood Road, Braintree, MA 02184</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color w:val="auto"/>
                <w:w w:val="92"/>
              </w:rPr>
              <w:t>(Address of principal executive offices)</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848-7100</w:t>
      </w:r>
    </w:p>
    <w:p>
      <w:pPr>
        <w:spacing w:after="0" w:line="121"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37" w:lineRule="exact"/>
        <w:rPr>
          <w:sz w:val="24"/>
          <w:szCs w:val="24"/>
          <w:color w:val="auto"/>
        </w:rPr>
      </w:pPr>
    </w:p>
    <w:p>
      <w:pPr>
        <w:ind w:left="420"/>
        <w:spacing w:after="0" w:line="207" w:lineRule="exact"/>
        <w:tabs>
          <w:tab w:leader="none" w:pos="3400" w:val="left"/>
          <w:tab w:leader="none" w:pos="5960" w:val="left"/>
          <w:tab w:leader="none" w:pos="8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9" w:lineRule="exact"/>
        <w:rPr>
          <w:sz w:val="24"/>
          <w:szCs w:val="24"/>
          <w:color w:val="auto"/>
        </w:rPr>
      </w:pPr>
    </w:p>
    <w:p>
      <w:pPr>
        <w:ind w:left="5060"/>
        <w:spacing w:after="0" w:line="207" w:lineRule="exact"/>
        <w:tabs>
          <w:tab w:leader="none" w:pos="59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number of shares of $.01 par value common stock outstanding as of September 29, 2012: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25,788,683</w:t>
      </w:r>
    </w:p>
    <w:p>
      <w:pPr>
        <w:sectPr>
          <w:pgSz w:w="11900" w:h="16838" w:orient="portrait"/>
          <w:cols w:equalWidth="0" w:num="1">
            <w:col w:w="11420"/>
          </w:cols>
          <w:pgMar w:left="240" w:top="225"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w:t>
            </w:r>
          </w:p>
        </w:tc>
      </w:tr>
      <w:tr>
        <w:trPr>
          <w:trHeight w:val="203"/>
        </w:trPr>
        <w:tc>
          <w:tcPr>
            <w:tcW w:w="10360" w:type="dxa"/>
            <w:vAlign w:val="bottom"/>
            <w:gridSpan w:val="18"/>
          </w:tcPr>
          <w:p>
            <w:pPr>
              <w:spacing w:after="0" w:line="202"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520"/>
        </w:trPr>
        <w:tc>
          <w:tcPr>
            <w:tcW w:w="2320" w:type="dxa"/>
            <w:vAlign w:val="bottom"/>
            <w:tcBorders>
              <w:top w:val="single" w:sz="8" w:color="0000FF"/>
              <w:bottom w:val="single" w:sz="8" w:color="0000FF"/>
            </w:tcBorders>
            <w:gridSpan w:val="7"/>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ITEM 1. Financial Statements</w:t>
              </w:r>
            </w:hyperlink>
          </w:p>
        </w:tc>
        <w:tc>
          <w:tcPr>
            <w:tcW w:w="740" w:type="dxa"/>
            <w:vAlign w:val="bottom"/>
            <w:tcBorders>
              <w:top w:val="single" w:sz="8" w:color="0000FF"/>
            </w:tcBorders>
            <w:gridSpan w:val="3"/>
          </w:tcPr>
          <w:p>
            <w:pPr>
              <w:spacing w:after="0"/>
              <w:rPr>
                <w:sz w:val="24"/>
                <w:szCs w:val="24"/>
                <w:color w:val="auto"/>
              </w:rPr>
            </w:pPr>
          </w:p>
        </w:tc>
        <w:tc>
          <w:tcPr>
            <w:tcW w:w="730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10220" w:type="dxa"/>
            <w:vAlign w:val="bottom"/>
            <w:gridSpan w:val="17"/>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Unaudited Consolidated Statements of Income and Comprehensive Income— Three and Six Months Ended September 29, 2012 and October</w:t>
              </w:r>
            </w:hyperlink>
          </w:p>
        </w:tc>
        <w:tc>
          <w:tcPr>
            <w:tcW w:w="560" w:type="dxa"/>
            <w:vAlign w:val="bottom"/>
            <w:gridSpan w:val="2"/>
          </w:tcPr>
          <w:p>
            <w:pPr>
              <w:jc w:val="center"/>
              <w:ind w:left="37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6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660" w:type="dxa"/>
            <w:vAlign w:val="bottom"/>
            <w:gridSpan w:val="2"/>
          </w:tcPr>
          <w:p>
            <w:pPr>
              <w:ind w:left="140"/>
              <w:spacing w:after="0" w:line="196" w:lineRule="exact"/>
              <w:rPr>
                <w:rFonts w:ascii="Arial" w:cs="Arial" w:eastAsia="Arial" w:hAnsi="Arial"/>
                <w:sz w:val="18"/>
                <w:szCs w:val="18"/>
                <w:color w:val="0000FF"/>
                <w:w w:val="83"/>
              </w:rPr>
            </w:pPr>
            <w:hyperlink w:anchor="page3">
              <w:r>
                <w:rPr>
                  <w:rFonts w:ascii="Arial" w:cs="Arial" w:eastAsia="Arial" w:hAnsi="Arial"/>
                  <w:sz w:val="18"/>
                  <w:szCs w:val="18"/>
                  <w:color w:val="0000FF"/>
                  <w:w w:val="83"/>
                </w:rPr>
                <w:t>1, 2011</w:t>
              </w:r>
            </w:hyperlink>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22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Unaudited Consolidated Balance Sheets — September 29, 2012 and March 31, 201</w:t>
              </w:r>
            </w:hyperlink>
            <w:r>
              <w:rPr>
                <w:rFonts w:ascii="Arial" w:cs="Arial" w:eastAsia="Arial" w:hAnsi="Arial"/>
                <w:sz w:val="18"/>
                <w:szCs w:val="18"/>
                <w:color w:val="000000"/>
              </w:rPr>
              <w:t>2</w:t>
            </w:r>
          </w:p>
        </w:tc>
        <w:tc>
          <w:tcPr>
            <w:tcW w:w="560" w:type="dxa"/>
            <w:vAlign w:val="bottom"/>
            <w:gridSpan w:val="2"/>
          </w:tcPr>
          <w:p>
            <w:pPr>
              <w:jc w:val="center"/>
              <w:ind w:left="37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460" w:type="dxa"/>
            <w:vAlign w:val="bottom"/>
          </w:tcPr>
          <w:p>
            <w:pPr>
              <w:spacing w:after="0"/>
              <w:rPr>
                <w:sz w:val="21"/>
                <w:szCs w:val="21"/>
                <w:color w:val="auto"/>
              </w:rPr>
            </w:pPr>
          </w:p>
        </w:tc>
      </w:tr>
      <w:tr>
        <w:trPr>
          <w:trHeight w:val="20"/>
        </w:trPr>
        <w:tc>
          <w:tcPr>
            <w:tcW w:w="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22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Unaudited Consolidated Statements of Cash Flows — Six Months Ended September 29, 2012 and October 1, 2011</w:t>
              </w:r>
            </w:hyperlink>
          </w:p>
        </w:tc>
        <w:tc>
          <w:tcPr>
            <w:tcW w:w="560" w:type="dxa"/>
            <w:vAlign w:val="bottom"/>
            <w:gridSpan w:val="2"/>
          </w:tcPr>
          <w:p>
            <w:pPr>
              <w:jc w:val="center"/>
              <w:ind w:left="371"/>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46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394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Notes to Unaudited Consolidated Financial Statements</w:t>
              </w:r>
            </w:hyperlink>
          </w:p>
        </w:tc>
        <w:tc>
          <w:tcPr>
            <w:tcW w:w="4320" w:type="dxa"/>
            <w:vAlign w:val="bottom"/>
            <w:tcBorders>
              <w:top w:val="single" w:sz="8" w:color="0000FF"/>
            </w:tcBorders>
            <w:gridSpan w:val="4"/>
          </w:tcPr>
          <w:p>
            <w:pPr>
              <w:spacing w:after="0"/>
              <w:rPr>
                <w:sz w:val="21"/>
                <w:szCs w:val="21"/>
                <w:color w:val="auto"/>
              </w:rPr>
            </w:pPr>
          </w:p>
        </w:tc>
        <w:tc>
          <w:tcPr>
            <w:tcW w:w="196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460" w:type="dxa"/>
            <w:vAlign w:val="bottom"/>
          </w:tcPr>
          <w:p>
            <w:pPr>
              <w:spacing w:after="0"/>
              <w:rPr>
                <w:sz w:val="21"/>
                <w:szCs w:val="21"/>
                <w:color w:val="auto"/>
              </w:rPr>
            </w:pPr>
          </w:p>
        </w:tc>
      </w:tr>
      <w:tr>
        <w:trPr>
          <w:trHeight w:val="520"/>
        </w:trPr>
        <w:tc>
          <w:tcPr>
            <w:tcW w:w="7540" w:type="dxa"/>
            <w:vAlign w:val="bottom"/>
            <w:gridSpan w:val="15"/>
          </w:tcPr>
          <w:p>
            <w:pPr>
              <w:spacing w:after="0"/>
              <w:rPr>
                <w:rFonts w:ascii="Arial" w:cs="Arial" w:eastAsia="Arial" w:hAnsi="Arial"/>
                <w:sz w:val="18"/>
                <w:szCs w:val="18"/>
                <w:b w:val="1"/>
                <w:bCs w:val="1"/>
                <w:color w:val="0000FF"/>
                <w:w w:val="90"/>
              </w:rPr>
            </w:pPr>
            <w:hyperlink w:anchor="page19">
              <w:r>
                <w:rPr>
                  <w:rFonts w:ascii="Arial" w:cs="Arial" w:eastAsia="Arial" w:hAnsi="Arial"/>
                  <w:sz w:val="18"/>
                  <w:szCs w:val="18"/>
                  <w:b w:val="1"/>
                  <w:bCs w:val="1"/>
                  <w:color w:val="0000FF"/>
                  <w:w w:val="90"/>
                </w:rPr>
                <w:t>ITEM 2. Management’s Discussion and Analysis of Financial Condition and Results of Operations</w:t>
              </w:r>
            </w:hyperlink>
          </w:p>
        </w:tc>
        <w:tc>
          <w:tcPr>
            <w:tcW w:w="2820" w:type="dxa"/>
            <w:vAlign w:val="bottom"/>
            <w:gridSpan w:val="3"/>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18</w:t>
              </w:r>
            </w:hyperlink>
          </w:p>
        </w:tc>
        <w:tc>
          <w:tcPr>
            <w:tcW w:w="460" w:type="dxa"/>
            <w:vAlign w:val="bottom"/>
          </w:tcPr>
          <w:p>
            <w:pPr>
              <w:spacing w:after="0"/>
              <w:rPr>
                <w:sz w:val="24"/>
                <w:szCs w:val="24"/>
                <w:color w:val="auto"/>
              </w:rPr>
            </w:pPr>
          </w:p>
        </w:tc>
      </w:tr>
      <w:tr>
        <w:trPr>
          <w:trHeight w:val="20"/>
        </w:trPr>
        <w:tc>
          <w:tcPr>
            <w:tcW w:w="88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280" w:type="dxa"/>
            <w:vAlign w:val="bottom"/>
            <w:tcBorders>
              <w:left w:val="single" w:sz="8" w:color="0000FF"/>
            </w:tcBorders>
            <w:gridSpan w:val="2"/>
            <w:shd w:val="clear" w:color="auto" w:fill="0000FF"/>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7540" w:type="dxa"/>
            <w:vAlign w:val="bottom"/>
            <w:gridSpan w:val="15"/>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3. Quantitative and Qualitative Disclosures about Market Risk</w:t>
              </w:r>
            </w:hyperlink>
          </w:p>
        </w:tc>
        <w:tc>
          <w:tcPr>
            <w:tcW w:w="2820" w:type="dxa"/>
            <w:vAlign w:val="bottom"/>
            <w:gridSpan w:val="3"/>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30</w:t>
              </w:r>
            </w:hyperlink>
          </w:p>
        </w:tc>
        <w:tc>
          <w:tcPr>
            <w:tcW w:w="460" w:type="dxa"/>
            <w:vAlign w:val="bottom"/>
          </w:tcPr>
          <w:p>
            <w:pPr>
              <w:spacing w:after="0"/>
              <w:rPr>
                <w:sz w:val="24"/>
                <w:szCs w:val="24"/>
                <w:color w:val="auto"/>
              </w:rPr>
            </w:pPr>
          </w:p>
        </w:tc>
      </w:tr>
      <w:tr>
        <w:trPr>
          <w:trHeight w:val="20"/>
        </w:trPr>
        <w:tc>
          <w:tcPr>
            <w:tcW w:w="88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5100" w:type="dxa"/>
            <w:vAlign w:val="bottom"/>
            <w:tcBorders>
              <w:left w:val="single" w:sz="8" w:color="0000FF"/>
            </w:tcBorders>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620" w:type="dxa"/>
            <w:vAlign w:val="bottom"/>
            <w:gridSpan w:val="8"/>
          </w:tcPr>
          <w:p>
            <w:pPr>
              <w:spacing w:after="0"/>
              <w:rPr>
                <w:rFonts w:ascii="Arial" w:cs="Arial" w:eastAsia="Arial" w:hAnsi="Arial"/>
                <w:sz w:val="18"/>
                <w:szCs w:val="18"/>
                <w:b w:val="1"/>
                <w:bCs w:val="1"/>
                <w:color w:val="0000FF"/>
                <w:w w:val="91"/>
              </w:rPr>
            </w:pPr>
            <w:hyperlink w:anchor="page31">
              <w:r>
                <w:rPr>
                  <w:rFonts w:ascii="Arial" w:cs="Arial" w:eastAsia="Arial" w:hAnsi="Arial"/>
                  <w:sz w:val="18"/>
                  <w:szCs w:val="18"/>
                  <w:b w:val="1"/>
                  <w:bCs w:val="1"/>
                  <w:color w:val="0000FF"/>
                  <w:w w:val="91"/>
                </w:rPr>
                <w:t>ITEM 4. Controls and Procedures</w:t>
              </w:r>
            </w:hyperlink>
          </w:p>
        </w:tc>
        <w:tc>
          <w:tcPr>
            <w:tcW w:w="2640" w:type="dxa"/>
            <w:vAlign w:val="bottom"/>
            <w:gridSpan w:val="5"/>
          </w:tcPr>
          <w:p>
            <w:pPr>
              <w:spacing w:after="0"/>
              <w:rPr>
                <w:sz w:val="24"/>
                <w:szCs w:val="24"/>
                <w:color w:val="auto"/>
              </w:rPr>
            </w:pPr>
          </w:p>
        </w:tc>
        <w:tc>
          <w:tcPr>
            <w:tcW w:w="5100" w:type="dxa"/>
            <w:vAlign w:val="bottom"/>
            <w:gridSpan w:val="5"/>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30</w:t>
              </w:r>
            </w:hyperlink>
          </w:p>
        </w:tc>
        <w:tc>
          <w:tcPr>
            <w:tcW w:w="460" w:type="dxa"/>
            <w:vAlign w:val="bottom"/>
          </w:tcPr>
          <w:p>
            <w:pPr>
              <w:spacing w:after="0"/>
              <w:rPr>
                <w:sz w:val="24"/>
                <w:szCs w:val="24"/>
                <w:color w:val="auto"/>
              </w:rPr>
            </w:pPr>
          </w:p>
        </w:tc>
      </w:tr>
      <w:tr>
        <w:trPr>
          <w:trHeight w:val="20"/>
        </w:trPr>
        <w:tc>
          <w:tcPr>
            <w:tcW w:w="88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0360" w:type="dxa"/>
            <w:vAlign w:val="bottom"/>
            <w:gridSpan w:val="18"/>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PART II. OTHER INFORMATION</w:t>
              </w:r>
            </w:hyperlink>
          </w:p>
        </w:tc>
        <w:tc>
          <w:tcPr>
            <w:tcW w:w="560" w:type="dxa"/>
            <w:vAlign w:val="bottom"/>
            <w:gridSpan w:val="2"/>
          </w:tcPr>
          <w:p>
            <w:pPr>
              <w:jc w:val="center"/>
              <w:ind w:left="29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60" w:type="dxa"/>
            <w:vAlign w:val="bottom"/>
          </w:tcPr>
          <w:p>
            <w:pPr>
              <w:spacing w:after="0"/>
              <w:rPr>
                <w:sz w:val="24"/>
                <w:szCs w:val="24"/>
                <w:color w:val="auto"/>
              </w:rPr>
            </w:pPr>
          </w:p>
        </w:tc>
      </w:tr>
      <w:tr>
        <w:trPr>
          <w:trHeight w:val="20"/>
        </w:trPr>
        <w:tc>
          <w:tcPr>
            <w:tcW w:w="88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760" w:type="dxa"/>
            <w:vAlign w:val="bottom"/>
            <w:gridSpan w:val="9"/>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1. Legal Proceedings</w:t>
              </w:r>
            </w:hyperlink>
          </w:p>
        </w:tc>
        <w:tc>
          <w:tcPr>
            <w:tcW w:w="7600" w:type="dxa"/>
            <w:vAlign w:val="bottom"/>
            <w:gridSpan w:val="9"/>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32</w:t>
              </w:r>
            </w:hyperlink>
          </w:p>
        </w:tc>
        <w:tc>
          <w:tcPr>
            <w:tcW w:w="460" w:type="dxa"/>
            <w:vAlign w:val="bottom"/>
          </w:tcPr>
          <w:p>
            <w:pPr>
              <w:spacing w:after="0"/>
              <w:rPr>
                <w:sz w:val="24"/>
                <w:szCs w:val="24"/>
                <w:color w:val="auto"/>
              </w:rPr>
            </w:pPr>
          </w:p>
        </w:tc>
      </w:tr>
      <w:tr>
        <w:trPr>
          <w:trHeight w:val="20"/>
        </w:trPr>
        <w:tc>
          <w:tcPr>
            <w:tcW w:w="88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100" w:type="dxa"/>
            <w:vAlign w:val="bottom"/>
            <w:gridSpan w:val="6"/>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1A. Risk Factors</w:t>
              </w:r>
            </w:hyperlink>
          </w:p>
        </w:tc>
        <w:tc>
          <w:tcPr>
            <w:tcW w:w="8260" w:type="dxa"/>
            <w:vAlign w:val="bottom"/>
            <w:gridSpan w:val="12"/>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32</w:t>
              </w:r>
            </w:hyperlink>
          </w:p>
        </w:tc>
        <w:tc>
          <w:tcPr>
            <w:tcW w:w="460" w:type="dxa"/>
            <w:vAlign w:val="bottom"/>
          </w:tcPr>
          <w:p>
            <w:pPr>
              <w:spacing w:after="0"/>
              <w:rPr>
                <w:sz w:val="24"/>
                <w:szCs w:val="24"/>
                <w:color w:val="auto"/>
              </w:rPr>
            </w:pPr>
          </w:p>
        </w:tc>
      </w:tr>
      <w:tr>
        <w:trPr>
          <w:trHeight w:val="20"/>
        </w:trPr>
        <w:tc>
          <w:tcPr>
            <w:tcW w:w="88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0360" w:type="dxa"/>
            <w:vAlign w:val="bottom"/>
            <w:gridSpan w:val="18"/>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2. Unregistered Sales of Equity Securities and Use of Proceeds</w:t>
              </w:r>
            </w:hyperlink>
          </w:p>
        </w:tc>
        <w:tc>
          <w:tcPr>
            <w:tcW w:w="560" w:type="dxa"/>
            <w:vAlign w:val="bottom"/>
            <w:gridSpan w:val="2"/>
          </w:tcPr>
          <w:p>
            <w:pPr>
              <w:jc w:val="center"/>
              <w:ind w:left="29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32</w:t>
              </w:r>
            </w:hyperlink>
          </w:p>
        </w:tc>
        <w:tc>
          <w:tcPr>
            <w:tcW w:w="460" w:type="dxa"/>
            <w:vAlign w:val="bottom"/>
          </w:tcPr>
          <w:p>
            <w:pPr>
              <w:spacing w:after="0"/>
              <w:rPr>
                <w:sz w:val="24"/>
                <w:szCs w:val="24"/>
                <w:color w:val="auto"/>
              </w:rPr>
            </w:pPr>
          </w:p>
        </w:tc>
      </w:tr>
      <w:tr>
        <w:trPr>
          <w:trHeight w:val="20"/>
        </w:trPr>
        <w:tc>
          <w:tcPr>
            <w:tcW w:w="88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3120" w:type="dxa"/>
            <w:vAlign w:val="bottom"/>
            <w:gridSpan w:val="11"/>
          </w:tcPr>
          <w:p>
            <w:pPr>
              <w:spacing w:after="0"/>
              <w:rPr>
                <w:rFonts w:ascii="Arial" w:cs="Arial" w:eastAsia="Arial" w:hAnsi="Arial"/>
                <w:sz w:val="18"/>
                <w:szCs w:val="18"/>
                <w:b w:val="1"/>
                <w:bCs w:val="1"/>
                <w:color w:val="0000FF"/>
                <w:w w:val="91"/>
              </w:rPr>
            </w:pPr>
            <w:hyperlink w:anchor="page33">
              <w:r>
                <w:rPr>
                  <w:rFonts w:ascii="Arial" w:cs="Arial" w:eastAsia="Arial" w:hAnsi="Arial"/>
                  <w:sz w:val="18"/>
                  <w:szCs w:val="18"/>
                  <w:b w:val="1"/>
                  <w:bCs w:val="1"/>
                  <w:color w:val="0000FF"/>
                  <w:w w:val="91"/>
                </w:rPr>
                <w:t>ITEM 3. Defaults upon Senior Securities</w:t>
              </w:r>
            </w:hyperlink>
          </w:p>
        </w:tc>
        <w:tc>
          <w:tcPr>
            <w:tcW w:w="2140" w:type="dxa"/>
            <w:vAlign w:val="bottom"/>
            <w:gridSpan w:val="2"/>
          </w:tcPr>
          <w:p>
            <w:pPr>
              <w:spacing w:after="0"/>
              <w:rPr>
                <w:sz w:val="24"/>
                <w:szCs w:val="24"/>
                <w:color w:val="auto"/>
              </w:rPr>
            </w:pPr>
          </w:p>
        </w:tc>
        <w:tc>
          <w:tcPr>
            <w:tcW w:w="5100" w:type="dxa"/>
            <w:vAlign w:val="bottom"/>
            <w:gridSpan w:val="5"/>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32</w:t>
              </w:r>
            </w:hyperlink>
          </w:p>
        </w:tc>
        <w:tc>
          <w:tcPr>
            <w:tcW w:w="460" w:type="dxa"/>
            <w:vAlign w:val="bottom"/>
          </w:tcPr>
          <w:p>
            <w:pPr>
              <w:spacing w:after="0"/>
              <w:rPr>
                <w:sz w:val="24"/>
                <w:szCs w:val="24"/>
                <w:color w:val="auto"/>
              </w:rPr>
            </w:pPr>
          </w:p>
        </w:tc>
      </w:tr>
      <w:tr>
        <w:trPr>
          <w:trHeight w:val="20"/>
        </w:trPr>
        <w:tc>
          <w:tcPr>
            <w:tcW w:w="88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240" w:type="dxa"/>
            <w:vAlign w:val="bottom"/>
            <w:gridSpan w:val="7"/>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3120" w:type="dxa"/>
            <w:vAlign w:val="bottom"/>
            <w:gridSpan w:val="11"/>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4. (Removed and Reserved)</w:t>
              </w:r>
            </w:hyperlink>
          </w:p>
        </w:tc>
        <w:tc>
          <w:tcPr>
            <w:tcW w:w="7240" w:type="dxa"/>
            <w:vAlign w:val="bottom"/>
            <w:gridSpan w:val="7"/>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32</w:t>
              </w:r>
            </w:hyperlink>
          </w:p>
        </w:tc>
        <w:tc>
          <w:tcPr>
            <w:tcW w:w="460" w:type="dxa"/>
            <w:vAlign w:val="bottom"/>
          </w:tcPr>
          <w:p>
            <w:pPr>
              <w:spacing w:after="0"/>
              <w:rPr>
                <w:sz w:val="24"/>
                <w:szCs w:val="24"/>
                <w:color w:val="auto"/>
              </w:rPr>
            </w:pPr>
          </w:p>
        </w:tc>
      </w:tr>
      <w:tr>
        <w:trPr>
          <w:trHeight w:val="20"/>
        </w:trPr>
        <w:tc>
          <w:tcPr>
            <w:tcW w:w="88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7740" w:type="dxa"/>
            <w:vAlign w:val="bottom"/>
            <w:gridSpan w:val="10"/>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0360" w:type="dxa"/>
            <w:vAlign w:val="bottom"/>
            <w:gridSpan w:val="18"/>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 xml:space="preserve">ITEM 5. </w:t>
              </w:r>
            </w:hyperlink>
            <w:r>
              <w:rPr>
                <w:rFonts w:ascii="Arial" w:cs="Arial" w:eastAsia="Arial" w:hAnsi="Arial"/>
                <w:sz w:val="18"/>
                <w:szCs w:val="18"/>
                <w:b w:val="1"/>
                <w:bCs w:val="1"/>
                <w:color w:val="0000FF"/>
              </w:rPr>
              <w:t>(Removed and Reserved)</w:t>
            </w: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32</w:t>
              </w:r>
            </w:hyperlink>
          </w:p>
        </w:tc>
        <w:tc>
          <w:tcPr>
            <w:tcW w:w="46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620" w:type="dxa"/>
            <w:vAlign w:val="bottom"/>
            <w:gridSpan w:val="8"/>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6. Exhibits</w:t>
              </w:r>
            </w:hyperlink>
          </w:p>
        </w:tc>
        <w:tc>
          <w:tcPr>
            <w:tcW w:w="7740" w:type="dxa"/>
            <w:vAlign w:val="bottom"/>
            <w:gridSpan w:val="10"/>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6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20" w:type="dxa"/>
            <w:vAlign w:val="bottom"/>
            <w:gridSpan w:val="1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1200" w:type="dxa"/>
            <w:vAlign w:val="bottom"/>
            <w:gridSpan w:val="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Signatures</w:t>
              </w:r>
            </w:hyperlink>
          </w:p>
        </w:tc>
        <w:tc>
          <w:tcPr>
            <w:tcW w:w="9020" w:type="dxa"/>
            <w:vAlign w:val="bottom"/>
            <w:gridSpan w:val="14"/>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46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9480" w:type="dxa"/>
            <w:vAlign w:val="bottom"/>
            <w:gridSpan w:val="1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291"/>
        </w:trPr>
        <w:tc>
          <w:tcPr>
            <w:tcW w:w="10360" w:type="dxa"/>
            <w:vAlign w:val="bottom"/>
            <w:gridSpan w:val="18"/>
          </w:tcPr>
          <w:p>
            <w:pPr>
              <w:ind w:left="20"/>
              <w:spacing w:after="0"/>
              <w:rPr>
                <w:sz w:val="20"/>
                <w:szCs w:val="20"/>
                <w:color w:val="auto"/>
              </w:rPr>
            </w:pPr>
            <w:r>
              <w:rPr>
                <w:rFonts w:ascii="Arial" w:cs="Arial" w:eastAsia="Arial" w:hAnsi="Arial"/>
                <w:sz w:val="18"/>
                <w:szCs w:val="18"/>
                <w:color w:val="auto"/>
              </w:rPr>
              <w:t>EX-31.1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70"/>
        </w:trPr>
        <w:tc>
          <w:tcPr>
            <w:tcW w:w="10360" w:type="dxa"/>
            <w:vAlign w:val="bottom"/>
            <w:gridSpan w:val="18"/>
          </w:tcPr>
          <w:p>
            <w:pPr>
              <w:ind w:left="20"/>
              <w:spacing w:after="0"/>
              <w:rPr>
                <w:sz w:val="20"/>
                <w:szCs w:val="20"/>
                <w:color w:val="auto"/>
              </w:rPr>
            </w:pPr>
            <w:r>
              <w:rPr>
                <w:rFonts w:ascii="Arial" w:cs="Arial" w:eastAsia="Arial" w:hAnsi="Arial"/>
                <w:sz w:val="18"/>
                <w:szCs w:val="18"/>
                <w:color w:val="auto"/>
              </w:rPr>
              <w:t>EX-31.2</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EX-32.1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EX-32.2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PRESENTATION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DEFINITION LINKBASE DOCUMENT</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80" w:top="121"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HAEMONETICS CORPORATION AND SUBSIDIARIES CONSOLIDATED STATEMENTS OF INCOME AND COMPREHENSIVE INCOME (Unaudited 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29,</w:t>
            </w:r>
          </w:p>
        </w:tc>
        <w:tc>
          <w:tcPr>
            <w:tcW w:w="260" w:type="dxa"/>
            <w:vAlign w:val="bottom"/>
          </w:tcPr>
          <w:p>
            <w:pPr>
              <w:spacing w:after="0"/>
              <w:rPr>
                <w:sz w:val="13"/>
                <w:szCs w:val="13"/>
                <w:color w:val="auto"/>
              </w:rPr>
            </w:pPr>
          </w:p>
        </w:tc>
        <w:tc>
          <w:tcPr>
            <w:tcW w:w="13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1,</w:t>
            </w:r>
          </w:p>
        </w:tc>
        <w:tc>
          <w:tcPr>
            <w:tcW w:w="200" w:type="dxa"/>
            <w:vAlign w:val="bottom"/>
          </w:tcPr>
          <w:p>
            <w:pPr>
              <w:spacing w:after="0"/>
              <w:rPr>
                <w:sz w:val="13"/>
                <w:szCs w:val="13"/>
                <w:color w:val="auto"/>
              </w:rPr>
            </w:pPr>
          </w:p>
        </w:tc>
        <w:tc>
          <w:tcPr>
            <w:tcW w:w="13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29,</w:t>
            </w:r>
          </w:p>
        </w:tc>
        <w:tc>
          <w:tcPr>
            <w:tcW w:w="260" w:type="dxa"/>
            <w:vAlign w:val="bottom"/>
          </w:tcPr>
          <w:p>
            <w:pPr>
              <w:spacing w:after="0"/>
              <w:rPr>
                <w:sz w:val="13"/>
                <w:szCs w:val="13"/>
                <w:color w:val="auto"/>
              </w:rPr>
            </w:pPr>
          </w:p>
        </w:tc>
        <w:tc>
          <w:tcPr>
            <w:tcW w:w="1220" w:type="dxa"/>
            <w:vAlign w:val="bottom"/>
          </w:tcPr>
          <w:p>
            <w:pPr>
              <w:jc w:val="right"/>
              <w:ind w:right="352"/>
              <w:spacing w:after="0" w:line="153" w:lineRule="exact"/>
              <w:rPr>
                <w:sz w:val="20"/>
                <w:szCs w:val="20"/>
                <w:color w:val="auto"/>
              </w:rPr>
            </w:pPr>
            <w:r>
              <w:rPr>
                <w:rFonts w:ascii="Arial" w:cs="Arial" w:eastAsia="Arial" w:hAnsi="Arial"/>
                <w:sz w:val="14"/>
                <w:szCs w:val="14"/>
                <w:b w:val="1"/>
                <w:bCs w:val="1"/>
                <w:color w:val="auto"/>
              </w:rPr>
              <w:t>October 1,</w:t>
            </w:r>
          </w:p>
        </w:tc>
      </w:tr>
      <w:tr>
        <w:trPr>
          <w:trHeight w:val="192"/>
        </w:trPr>
        <w:tc>
          <w:tcPr>
            <w:tcW w:w="5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218,178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179,445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394,653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350,014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116,416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89,496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202,778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171,316</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101,762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89,949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191,875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178,698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18,959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81,034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62,613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148,659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118,844</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income</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91,861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71,383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168,894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136,223</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42,475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230</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42,705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2,043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5,131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5,671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11,877</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30,828</w:t>
            </w: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 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r>
      <w:tr>
        <w:trPr>
          <w:trHeight w:val="270"/>
        </w:trPr>
        <w:tc>
          <w:tcPr>
            <w:tcW w:w="5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 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25,710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25,575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26,157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25,843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26,044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26,029</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24"/>
        </w:trPr>
        <w:tc>
          <w:tcPr>
            <w:tcW w:w="5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5,863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11,126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11,781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30,072</w:t>
            </w:r>
          </w:p>
        </w:tc>
      </w:tr>
      <w:tr>
        <w:trPr>
          <w:trHeight w:val="567"/>
        </w:trPr>
        <w:tc>
          <w:tcPr>
            <w:tcW w:w="9940" w:type="dxa"/>
            <w:vAlign w:val="bottom"/>
            <w:gridSpan w:val="10"/>
          </w:tcPr>
          <w:p>
            <w:pPr>
              <w:ind w:left="26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29,</w:t>
            </w:r>
          </w:p>
        </w:tc>
        <w:tc>
          <w:tcPr>
            <w:tcW w:w="260" w:type="dxa"/>
            <w:vAlign w:val="bottom"/>
          </w:tcPr>
          <w:p>
            <w:pPr>
              <w:spacing w:after="0"/>
              <w:rPr>
                <w:sz w:val="14"/>
                <w:szCs w:val="14"/>
                <w:color w:val="auto"/>
              </w:rPr>
            </w:pPr>
          </w:p>
        </w:tc>
        <w:tc>
          <w:tcPr>
            <w:tcW w:w="1200" w:type="dxa"/>
            <w:vAlign w:val="bottom"/>
          </w:tcPr>
          <w:p>
            <w:pPr>
              <w:jc w:val="right"/>
              <w:ind w:right="359"/>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187,051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228,861</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receivable, less allowance of $1,388 at September 29, 2012 and $1,480 at March 31, 2012</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158,175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135,464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173,506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117,163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asset, net</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10,643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9,665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47,425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35,976</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current assets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576,800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527,129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Land, building, and building improvements</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79,418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59,816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Plant equipment and machinery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250,777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136,057</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Office equipment and information technology</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32,423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88,185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Haemonetics equipment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228,328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226,476</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Total property, plant and equipment</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590,946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510,534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 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(351,786)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(348,877)</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Net property, plant and equipment</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239,160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161,657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Intangible assets, less amortization of $64,378 at September 29, 2012 and $54,973 at March 31, 2012</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297,972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96,549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322,114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115,058</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asset, long term</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1,974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16,535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10,719</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other assets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638,595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222,349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1,454,555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911,135</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Notes payable and current maturities of long-term debt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4,249</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42,987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35,425</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payroll and related costs</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40,376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29,451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8,075</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liability</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60,927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56,835</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156,194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130,744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 of current maturities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477,402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deferred tax liability</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26,513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23,332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22,480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21,551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Common stock, $.01 par value; Authorized — 150,000,000 shares; Issued and outstanding — 25,788,683 shares at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September 29, 2012 and 25,301,899 shares at March 31, 2012</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354,389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322,485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412,764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400,783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4,556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9,110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771,966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732,631</w:t>
            </w:r>
          </w:p>
        </w:tc>
        <w:tc>
          <w:tcPr>
            <w:tcW w:w="0" w:type="dxa"/>
            <w:vAlign w:val="bottom"/>
          </w:tcPr>
          <w:p>
            <w:pPr>
              <w:spacing w:after="0"/>
              <w:rPr>
                <w:sz w:val="1"/>
                <w:szCs w:val="1"/>
                <w:color w:val="auto"/>
              </w:rPr>
            </w:pPr>
          </w:p>
        </w:tc>
      </w:tr>
      <w:tr>
        <w:trPr>
          <w:trHeight w:val="244"/>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liabilities and stockholders’ equity</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1,454,555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911,135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29,</w:t>
            </w:r>
          </w:p>
        </w:tc>
        <w:tc>
          <w:tcPr>
            <w:tcW w:w="260" w:type="dxa"/>
            <w:vAlign w:val="bottom"/>
          </w:tcPr>
          <w:p>
            <w:pPr>
              <w:spacing w:after="0"/>
              <w:rPr>
                <w:sz w:val="13"/>
                <w:szCs w:val="13"/>
                <w:color w:val="auto"/>
              </w:rPr>
            </w:pPr>
          </w:p>
        </w:tc>
        <w:tc>
          <w:tcPr>
            <w:tcW w:w="1220" w:type="dxa"/>
            <w:vAlign w:val="bottom"/>
          </w:tcPr>
          <w:p>
            <w:pPr>
              <w:jc w:val="right"/>
              <w:ind w:right="351"/>
              <w:spacing w:after="0" w:line="153" w:lineRule="exact"/>
              <w:rPr>
                <w:sz w:val="20"/>
                <w:szCs w:val="20"/>
                <w:color w:val="auto"/>
              </w:rPr>
            </w:pPr>
            <w:r>
              <w:rPr>
                <w:rFonts w:ascii="Arial" w:cs="Arial" w:eastAsia="Arial" w:hAnsi="Arial"/>
                <w:sz w:val="14"/>
                <w:szCs w:val="14"/>
                <w:b w:val="1"/>
                <w:bCs w:val="1"/>
                <w:color w:val="auto"/>
              </w:rPr>
              <w:t>October 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16,335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30,828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Non cash items: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24,619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Stock compensation expense</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5,014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4,701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on sales of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Unrealized loss from hedging activities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Contingent consideration income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Reversal of interest expense on contingent consideration</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Change in operating assets and liabilities: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Increase in 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Increase in inventories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(Increase)/decrease in prepaid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(Increase)/decrease in other assets and other long-term liabilities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 benefit of exercise of 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Increase/(decrease) in accounts payable and accrued expenses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12,944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52,539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 on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(23,843)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 of Whole Blood Business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(535,144)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Investment in Hemerus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(570,221)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on long-term real estate mortgage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Net increase in short-term loans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3,217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Term loan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23,649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4,707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Excess tax benefit on exercise of 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Share repurchase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(49,998)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provided/(used) in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494,812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(41,753)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increase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Beginning of Year</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228,861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196,707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187,051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183,421</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Non-cash Investing and Financing Activities:</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Transfers from inventory to fixed assets for placements of Haemonetics equipment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11,167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6,292</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paid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40" w:type="dxa"/>
            <w:vAlign w:val="bottom"/>
          </w:tcPr>
          <w:p>
            <w:pPr>
              <w:ind w:left="180"/>
              <w:spacing w:after="0"/>
              <w:rPr>
                <w:sz w:val="20"/>
                <w:szCs w:val="20"/>
                <w:color w:val="auto"/>
              </w:rPr>
            </w:pPr>
            <w:r>
              <w:rPr>
                <w:rFonts w:ascii="Arial" w:cs="Arial" w:eastAsia="Arial" w:hAnsi="Arial"/>
                <w:sz w:val="16"/>
                <w:szCs w:val="16"/>
                <w:color w:val="auto"/>
              </w:rPr>
              <w:t>Income taxes paid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7,338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right"/>
        <w:ind w:right="13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125" w:right="1440"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accompanying unaudited consolidated financial statements have been prepared in accordance with generally accepted accounting principles (“GAAP”) in the United States for interim financial information and with the instructions to Form 10-Q and Article 10 of Regulation S-X. Accordingly, they do not include all of the information and footnotes required by GAAP for complete financial statements. In the opinion of our management, all adjustments (consisting of normal recurring accruals) considered necessary for a fair presentation have been included. All significant intercompany transactions have been eliminated. Operating results for the six month period ended September 29, 2012 are not necessarily indicative of the results that may be expected for the full fiscal year ending March 30, 2013, or any other interim period. These unaudited consolidated financial statements should be read in conjunction with our audited consolidated financial statements and footnotes included in our annual report on Form 10-K for the fiscal year ended March 31, 2012.</w:t>
      </w:r>
    </w:p>
    <w:p>
      <w:pPr>
        <w:spacing w:after="0" w:line="5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and these financial statements reflect those material items that arose after the balance sheet date but prior to the issuance of the financial statements that would be considered recognized subsequent events. There were no other material recognized subsequent events recorded in the September 29, 2012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Our fiscal year ends on the Saturday closest to the last day of March. Fiscal years 2013 and 2012 include 52 weeks with each quarter having 13 weeks.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9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New pronouncements issued but not effective until after September 29, 2012 are not expected to have a material impact on financial position, results of operation or liquidity.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Standards Implemented</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2011, the FASB issued Accounting Standards Update No. 2011-05, Comprehensive Income (Topic 220): Presentation of Comprehensive Income. Update No. 2011-05 updates the disclosure requirements for comprehensive income to include total comprehensive income, the components of net income, and the components of other comprehensive income either in a single continuous statement of comprehensive income or in two separate but consecutive statements. The updated guidance does not affect how earnings per share is calculated or presented. The updated guidance is effective for fiscal years, and interim periods within those years, beginning after December 15, 2011, and should be applied retrospectively. Early adoption is permitted and amendments do not require any transition disclosures.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We adopted this standard in the first quarter of fiscal 2013 using the single continuous statement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August 1, 2012, we completed the acquisition from Pall Corporation (“Pall”) of substantially all of the assets relating to its blood collection, filtration, processing, storage and re-infusion product lines, and all of the outstanding equity interest in Pall Mexico Manufacturing, S. de R.L. de C.V, a subsidiary of Pall based in Mexico pursuant to an Asset Purchase Agreement (the “Purchase Agreement”) with Pall. We refer to the acquired business as the “whole blood business”.</w:t>
      </w:r>
    </w:p>
    <w:p>
      <w:pPr>
        <w:spacing w:after="0" w:line="18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At the closing of the transaction, we paid Pall $535.1 million in cash consideration subject to typical post-closing adjustments to reflect certain cost allocations, assets and liabilities. We anticipate paying an additional $15 million, upon the replication and delivery of certain manufacturing assets of Pall's filter media business to Haemonetics by 2016. Until that time, Pall will manufacture and sell filter media to Haemonetics under a supply agreement.</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entered into a credit agreement on August 1, 2012 in connection with the transaction which includes a $475 million term loan to fund the majority of the cash paid to Pall. See Note 14 for a detailed description of the key terms and provisions of the credit agreement.</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acquired the whole blood business to provide access to the manual collection and whole blood markets and provide scope for introduction of automated solutions in those markets. The whole blood business manufactures and sells manual blood collection systems and filters and has operations in North America, Europe and Asia Pacific countries. Revenue from the sale of whole blood disposables will be reported within the blood center disposables product line.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preliminary allocation of the purchase price to the estimated fair values of the assets acquired and liabilities assumed:</w:t>
      </w:r>
    </w:p>
    <w:p>
      <w:pPr>
        <w:spacing w:after="0" w:line="200" w:lineRule="exact"/>
        <w:rPr>
          <w:sz w:val="20"/>
          <w:szCs w:val="20"/>
          <w:color w:val="auto"/>
        </w:rPr>
      </w:pP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9940" w:type="dxa"/>
            <w:vAlign w:val="bottom"/>
          </w:tcPr>
          <w:p>
            <w:pPr>
              <w:ind w:left="20"/>
              <w:spacing w:after="0"/>
              <w:rPr>
                <w:sz w:val="20"/>
                <w:szCs w:val="20"/>
                <w:color w:val="auto"/>
              </w:rPr>
            </w:pPr>
            <w:r>
              <w:rPr>
                <w:rFonts w:ascii="Arial" w:cs="Arial" w:eastAsia="Arial" w:hAnsi="Arial"/>
                <w:sz w:val="18"/>
                <w:szCs w:val="18"/>
                <w:color w:val="auto"/>
              </w:rPr>
              <w:t>Asset class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Amount</w:t>
            </w:r>
          </w:p>
        </w:tc>
      </w:tr>
      <w:tr>
        <w:trPr>
          <w:trHeight w:val="27"/>
        </w:trPr>
        <w:tc>
          <w:tcPr>
            <w:tcW w:w="9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94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52,421</w:t>
            </w:r>
          </w:p>
        </w:tc>
      </w:tr>
      <w:tr>
        <w:trPr>
          <w:trHeight w:val="270"/>
        </w:trPr>
        <w:tc>
          <w:tcPr>
            <w:tcW w:w="99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70,709</w:t>
            </w:r>
          </w:p>
        </w:tc>
      </w:tr>
      <w:tr>
        <w:trPr>
          <w:trHeight w:val="270"/>
        </w:trPr>
        <w:tc>
          <w:tcPr>
            <w:tcW w:w="99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206,750</w:t>
            </w:r>
          </w:p>
        </w:tc>
      </w:tr>
      <w:tr>
        <w:trPr>
          <w:trHeight w:val="270"/>
        </w:trPr>
        <w:tc>
          <w:tcPr>
            <w:tcW w:w="99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184</w:t>
            </w:r>
          </w:p>
        </w:tc>
      </w:tr>
      <w:tr>
        <w:trPr>
          <w:trHeight w:val="270"/>
        </w:trPr>
        <w:tc>
          <w:tcPr>
            <w:tcW w:w="99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(1,986)</w:t>
            </w:r>
          </w:p>
        </w:tc>
      </w:tr>
      <w:tr>
        <w:trPr>
          <w:trHeight w:val="270"/>
        </w:trPr>
        <w:tc>
          <w:tcPr>
            <w:tcW w:w="99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207,066</w:t>
            </w:r>
          </w:p>
        </w:tc>
      </w:tr>
      <w:tr>
        <w:trPr>
          <w:trHeight w:val="149"/>
        </w:trPr>
        <w:tc>
          <w:tcPr>
            <w:tcW w:w="99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r>
      <w:tr>
        <w:trPr>
          <w:trHeight w:val="257"/>
        </w:trPr>
        <w:tc>
          <w:tcPr>
            <w:tcW w:w="9940" w:type="dxa"/>
            <w:vAlign w:val="bottom"/>
          </w:tcPr>
          <w:p>
            <w:pPr>
              <w:ind w:left="20"/>
              <w:spacing w:after="0"/>
              <w:rPr>
                <w:sz w:val="20"/>
                <w:szCs w:val="20"/>
                <w:color w:val="auto"/>
              </w:rPr>
            </w:pPr>
            <w:r>
              <w:rPr>
                <w:rFonts w:ascii="Arial" w:cs="Arial" w:eastAsia="Arial" w:hAnsi="Arial"/>
                <w:sz w:val="18"/>
                <w:szCs w:val="18"/>
                <w:color w:val="auto"/>
              </w:rPr>
              <w:t>Fair value of net assets acquired</w:t>
            </w:r>
          </w:p>
        </w:tc>
        <w:tc>
          <w:tcPr>
            <w:tcW w:w="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535,144</w:t>
            </w:r>
          </w:p>
        </w:tc>
      </w:tr>
      <w:tr>
        <w:trPr>
          <w:trHeight w:val="20"/>
        </w:trPr>
        <w:tc>
          <w:tcPr>
            <w:tcW w:w="9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allocation of purchase price is preliminary and is based on management's judgments after evaluating several factors, including preliminary valuation assessments of tangible and intangible assets, and preliminary estimates of the fair value of liabilities assumed. The allocation of the purchase price to the assets acquired and liabilities assumed will be completed when the working capital adjustment is finalized, valuation assessments of inventory, property, plant and equipment and intangible assets are completed and estimates of the fair value of liabilities assumed are performed. We expect to complete the valuation of acquired property, plant and equipment and intangible assets during the three months ended December 31, 2012.</w:t>
      </w:r>
    </w:p>
    <w:p>
      <w:pPr>
        <w:spacing w:after="0" w:line="173"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$206.8 million of acquired intangible assets was allocated to acquired technology and customer relationships at estimated fair values of $144.8 million and $62.0 million respectively. We recorded $3.5 million of amortization expense for the three months ended September 29, 2012 based on an estimated useful life of 10 years. As noted earlier, the fair value of the intangible assets is provisional pending receipt of the final valuation of these and other assets.</w:t>
      </w:r>
    </w:p>
    <w:p>
      <w:pPr>
        <w:spacing w:after="0" w:line="14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Preliminary goodwill of $207.1 million represents future economic benefits expected to arise from work force at the various plants and locations and significant technological know-how in filter manufacturing. All of the goodwill is deductible for tax purposes.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Revenue from the whole blood business for the three months ended September 29, 2012 was $28.6 million. The estimated impact to earnings for the three months ended September 29, 2012 was to reduce reported net income by approximately $3.5 million. The estimated impact to earnings includes $8.3 million of costs of goods sold related to the increase in fair value of acquired inventory.</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recognized $0.7 million and $2.8 million of transaction costs related to the whole blood acquisition in the consolidated statements of income for the three and six months ended September 29, 2012,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represents the pro forma consolidated statement of income as if the whole blood business had been included in our consolidated results as if the acquisition occurred on April 3, 2011:</w:t>
      </w:r>
    </w:p>
    <w:p>
      <w:pPr>
        <w:spacing w:after="0" w:line="200" w:lineRule="exact"/>
        <w:rPr>
          <w:sz w:val="20"/>
          <w:szCs w:val="20"/>
          <w:color w:val="auto"/>
        </w:rPr>
      </w:pPr>
    </w:p>
    <w:p>
      <w:pPr>
        <w:spacing w:after="0" w:line="290"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Six Months Ended</w:t>
      </w:r>
    </w:p>
    <w:p>
      <w:pPr>
        <w:spacing w:after="0" w:line="21" w:lineRule="exact"/>
        <w:rPr>
          <w:sz w:val="20"/>
          <w:szCs w:val="20"/>
          <w:color w:val="auto"/>
        </w:rPr>
      </w:pPr>
    </w:p>
    <w:tbl>
      <w:tblPr>
        <w:tblLayout w:type="fixed"/>
        <w:tblInd w:w="100" w:type="dxa"/>
        <w:tblCellMar>
          <w:top w:w="0" w:type="dxa"/>
          <w:left w:w="0" w:type="dxa"/>
          <w:bottom w:w="0" w:type="dxa"/>
          <w:right w:w="0" w:type="dxa"/>
        </w:tblCellMar>
      </w:tblPr>
      <w:tr>
        <w:trPr>
          <w:trHeight w:val="225"/>
        </w:trPr>
        <w:tc>
          <w:tcPr>
            <w:tcW w:w="8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6"/>
                <w:szCs w:val="16"/>
                <w:color w:val="auto"/>
                <w:w w:val="95"/>
              </w:rPr>
              <w:t>September 29,</w:t>
            </w: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39"/>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433"/>
              <w:spacing w:after="0"/>
              <w:rPr>
                <w:sz w:val="20"/>
                <w:szCs w:val="20"/>
                <w:color w:val="auto"/>
              </w:rPr>
            </w:pPr>
            <w:r>
              <w:rPr>
                <w:rFonts w:ascii="Arial" w:cs="Arial" w:eastAsia="Arial" w:hAnsi="Arial"/>
                <w:sz w:val="16"/>
                <w:szCs w:val="16"/>
                <w:color w:val="auto"/>
              </w:rPr>
              <w:t>2012</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6"/>
                <w:szCs w:val="16"/>
                <w:color w:val="auto"/>
                <w:w w:val="94"/>
              </w:rPr>
              <w:t>October 1, 2011</w:t>
            </w:r>
          </w:p>
        </w:tc>
        <w:tc>
          <w:tcPr>
            <w:tcW w:w="100" w:type="dxa"/>
            <w:vAlign w:val="bottom"/>
          </w:tcPr>
          <w:p>
            <w:pPr>
              <w:spacing w:after="0"/>
              <w:rPr>
                <w:sz w:val="20"/>
                <w:szCs w:val="20"/>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466,586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457,914</w:t>
            </w:r>
          </w:p>
        </w:tc>
        <w:tc>
          <w:tcPr>
            <w:tcW w:w="10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27,410</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26,946</w:t>
            </w:r>
          </w:p>
        </w:tc>
        <w:tc>
          <w:tcPr>
            <w:tcW w:w="100" w:type="dxa"/>
            <w:vAlign w:val="bottom"/>
          </w:tcPr>
          <w:p>
            <w:pPr>
              <w:spacing w:after="0"/>
              <w:rPr>
                <w:sz w:val="21"/>
                <w:szCs w:val="2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1.07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r>
      <w:tr>
        <w:trPr>
          <w:trHeight w:val="27"/>
        </w:trPr>
        <w:tc>
          <w:tcPr>
            <w:tcW w:w="8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r>
    </w:tbl>
    <w:p>
      <w:pPr>
        <w:spacing w:after="0" w:line="3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unaudited consolidated pro-forma financial information above includes the following significant adjustments made to account for certain costs which would have been incurred if the acquisition had been completed on April 3, 2011 as adjusted for the applicable tax impact. As our acquisition of whole blood was completed on August 1, 2012, the pro-forma adjustments for the six months ended September 29, 2012 in the table below only include the required adjustments through August 1, 2012.</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color w:val="auto"/>
              </w:rPr>
              <w:t>September 29,</w:t>
            </w:r>
          </w:p>
        </w:tc>
        <w:tc>
          <w:tcPr>
            <w:tcW w:w="300" w:type="dxa"/>
            <w:vAlign w:val="bottom"/>
          </w:tcPr>
          <w:p>
            <w:pPr>
              <w:spacing w:after="0"/>
              <w:rPr>
                <w:sz w:val="14"/>
                <w:szCs w:val="14"/>
                <w:color w:val="auto"/>
              </w:rPr>
            </w:pPr>
          </w:p>
        </w:tc>
        <w:tc>
          <w:tcPr>
            <w:tcW w:w="1160" w:type="dxa"/>
            <w:vAlign w:val="bottom"/>
          </w:tcPr>
          <w:p>
            <w:pPr>
              <w:jc w:val="right"/>
              <w:ind w:right="295"/>
              <w:spacing w:after="0"/>
              <w:rPr>
                <w:sz w:val="20"/>
                <w:szCs w:val="20"/>
                <w:color w:val="auto"/>
              </w:rPr>
            </w:pPr>
            <w:r>
              <w:rPr>
                <w:rFonts w:ascii="Arial" w:cs="Arial" w:eastAsia="Arial" w:hAnsi="Arial"/>
                <w:sz w:val="14"/>
                <w:szCs w:val="14"/>
                <w:color w:val="auto"/>
              </w:rPr>
              <w:t>October 1,</w:t>
            </w:r>
          </w:p>
        </w:tc>
        <w:tc>
          <w:tcPr>
            <w:tcW w:w="100" w:type="dxa"/>
            <w:vAlign w:val="bottom"/>
          </w:tcPr>
          <w:p>
            <w:pPr>
              <w:spacing w:after="0"/>
              <w:rPr>
                <w:sz w:val="14"/>
                <w:szCs w:val="14"/>
                <w:color w:val="auto"/>
              </w:rPr>
            </w:pPr>
          </w:p>
        </w:tc>
      </w:tr>
      <w:tr>
        <w:trPr>
          <w:trHeight w:val="188"/>
        </w:trPr>
        <w:tc>
          <w:tcPr>
            <w:tcW w:w="60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color w:val="auto"/>
              </w:rPr>
              <w:t>2012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auto"/>
            </w:tcBorders>
          </w:tcPr>
          <w:p>
            <w:pPr>
              <w:spacing w:after="0"/>
              <w:rPr>
                <w:sz w:val="16"/>
                <w:szCs w:val="16"/>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 costs (1)</w:t>
            </w:r>
          </w:p>
        </w:tc>
        <w:tc>
          <w:tcPr>
            <w:tcW w:w="2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2,786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Amortization of inventory fair value adjustment (2)</w:t>
            </w:r>
          </w:p>
        </w:tc>
        <w:tc>
          <w:tcPr>
            <w:tcW w:w="2340" w:type="dxa"/>
            <w:vAlign w:val="bottom"/>
          </w:tcPr>
          <w:p>
            <w:pPr>
              <w:spacing w:after="0"/>
              <w:rPr>
                <w:sz w:val="21"/>
                <w:szCs w:val="21"/>
                <w:color w:val="auto"/>
              </w:rPr>
            </w:pPr>
          </w:p>
        </w:tc>
        <w:tc>
          <w:tcPr>
            <w:tcW w:w="1380" w:type="dxa"/>
            <w:vAlign w:val="bottom"/>
          </w:tcPr>
          <w:p>
            <w:pPr>
              <w:jc w:val="right"/>
              <w:ind w:right="175"/>
              <w:spacing w:after="0"/>
              <w:rPr>
                <w:sz w:val="20"/>
                <w:szCs w:val="20"/>
                <w:color w:val="auto"/>
              </w:rPr>
            </w:pPr>
            <w:r>
              <w:rPr>
                <w:rFonts w:ascii="Arial" w:cs="Arial" w:eastAsia="Arial" w:hAnsi="Arial"/>
                <w:sz w:val="18"/>
                <w:szCs w:val="18"/>
                <w:color w:val="auto"/>
              </w:rPr>
              <w:t>8,300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(11,067)</w:t>
            </w:r>
          </w:p>
        </w:tc>
        <w:tc>
          <w:tcPr>
            <w:tcW w:w="10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acquired intangible assets (3)</w:t>
            </w:r>
          </w:p>
        </w:tc>
        <w:tc>
          <w:tcPr>
            <w:tcW w:w="2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(6,892)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(10,338)</w:t>
            </w:r>
          </w:p>
        </w:tc>
        <w:tc>
          <w:tcPr>
            <w:tcW w:w="100" w:type="dxa"/>
            <w:vAlign w:val="bottom"/>
          </w:tcPr>
          <w:p>
            <w:pPr>
              <w:spacing w:after="0"/>
              <w:rPr>
                <w:sz w:val="21"/>
                <w:szCs w:val="21"/>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Interest expense incurred on acquisition financing (4)</w:t>
            </w:r>
          </w:p>
        </w:tc>
        <w:tc>
          <w:tcPr>
            <w:tcW w:w="2340" w:type="dxa"/>
            <w:vAlign w:val="bottom"/>
          </w:tcPr>
          <w:p>
            <w:pPr>
              <w:spacing w:after="0"/>
              <w:rPr>
                <w:sz w:val="21"/>
                <w:szCs w:val="21"/>
                <w:color w:val="auto"/>
              </w:rPr>
            </w:pPr>
          </w:p>
        </w:tc>
        <w:tc>
          <w:tcPr>
            <w:tcW w:w="1380" w:type="dxa"/>
            <w:vAlign w:val="bottom"/>
          </w:tcPr>
          <w:p>
            <w:pPr>
              <w:jc w:val="right"/>
              <w:ind w:right="115"/>
              <w:spacing w:after="0"/>
              <w:rPr>
                <w:sz w:val="20"/>
                <w:szCs w:val="20"/>
                <w:color w:val="auto"/>
              </w:rPr>
            </w:pPr>
            <w:r>
              <w:rPr>
                <w:rFonts w:ascii="Arial" w:cs="Arial" w:eastAsia="Arial" w:hAnsi="Arial"/>
                <w:sz w:val="18"/>
                <w:szCs w:val="18"/>
                <w:color w:val="auto"/>
              </w:rPr>
              <w:t>(3,173)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(4,760)</w:t>
            </w:r>
          </w:p>
        </w:tc>
        <w:tc>
          <w:tcPr>
            <w:tcW w:w="10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 expenses (5)</w:t>
            </w:r>
          </w:p>
        </w:tc>
        <w:tc>
          <w:tcPr>
            <w:tcW w:w="23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(3,513)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00" w:type="dxa"/>
            <w:vAlign w:val="bottom"/>
          </w:tcPr>
          <w:p>
            <w:pPr>
              <w:spacing w:after="0"/>
              <w:rPr>
                <w:sz w:val="21"/>
                <w:szCs w:val="21"/>
                <w:color w:val="auto"/>
              </w:rPr>
            </w:pPr>
          </w:p>
        </w:tc>
      </w:tr>
      <w:tr>
        <w:trPr>
          <w:trHeight w:val="27"/>
        </w:trPr>
        <w:tc>
          <w:tcPr>
            <w:tcW w:w="60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r>
    </w:tbl>
    <w:p>
      <w:pPr>
        <w:spacing w:after="0" w:line="200" w:lineRule="exact"/>
        <w:rPr>
          <w:sz w:val="20"/>
          <w:szCs w:val="20"/>
          <w:color w:val="auto"/>
        </w:rPr>
      </w:pPr>
    </w:p>
    <w:p>
      <w:pPr>
        <w:spacing w:after="0" w:line="312"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Eliminated transactions costs as these non-recurring costs were incurred in the first and second quarter of FY 13.</w:t>
      </w:r>
    </w:p>
    <w:p>
      <w:pPr>
        <w:spacing w:after="0" w:line="23"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Added additional expense in the period ended October 1, 2011 to reflect the inventory fair value adjustments which would have been amortized had the transaction been consummated on April 3, 2011 as the corresponding inventory would have been completely sold during the first two quarters of 2011 and deducted the actual inventory fair value adjustment recorded in the six months ended September 2012 to reflect the pro-forma consumption of inventory in 2011.</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Added additional amortization of the acquired whole blood intangible assets recognized at fair value in purchase accounting.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Added additional interest expense for the debt used to finance the acquisition.</w:t>
      </w:r>
    </w:p>
    <w:p>
      <w:pPr>
        <w:spacing w:after="0" w:line="9" w:lineRule="exact"/>
        <w:rPr>
          <w:sz w:val="20"/>
          <w:szCs w:val="20"/>
          <w:color w:val="auto"/>
        </w:rPr>
      </w:pPr>
    </w:p>
    <w:p>
      <w:pPr>
        <w:ind w:left="880" w:hanging="539"/>
        <w:spacing w:after="0" w:line="253" w:lineRule="auto"/>
        <w:rPr>
          <w:sz w:val="20"/>
          <w:szCs w:val="20"/>
          <w:color w:val="auto"/>
        </w:rPr>
      </w:pPr>
      <w:r>
        <w:rPr>
          <w:rFonts w:ascii="Arial" w:cs="Arial" w:eastAsia="Arial" w:hAnsi="Arial"/>
          <w:sz w:val="18"/>
          <w:szCs w:val="18"/>
          <w:color w:val="auto"/>
        </w:rPr>
        <w:t>(5)Additional investments in infrastructure costs to replicate certain support functions performed by division or corporate organizations of Pall that did not transfer in the acquisition. These costs are primarily related to information technology infrastructure and application costs, and personnel costs required to expand regional and corporate administrative and sales support functions. These costs are not intended to be representative of actual costs incurred by Pall Corporation, and represent Haemonetics best estimate of future incremental costs on an annualized basis. Actual incremental investments may differ from these estimates.</w:t>
      </w:r>
    </w:p>
    <w:p>
      <w:pPr>
        <w:spacing w:after="0" w:line="19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Based on our preliminary review of the whole blood business' summary of significant accounting policies, the nature and amount of any adjustments to the historical financial statements of the whole blood business to conform their accounting policies to those of Haemonetics are not expected to be significant. As such, no pro forma adjustments to conform to accounting policies of the two companies have been reflected in the unaudited pro forma condensed combined financial statements.</w:t>
      </w:r>
    </w:p>
    <w:p>
      <w:pPr>
        <w:spacing w:after="0" w:line="18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Prior to the acquisition, we had purchased filters from whole blood business for inclusion in some of our devices. The volume of transaction between both parties was about $10.0 million which was recorded as a cost of sale. At the acquisition date there were no amounts due to or due from whole blood.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 (“EPS”)</w:t>
      </w:r>
    </w:p>
    <w:p>
      <w:pPr>
        <w:spacing w:after="0" w:line="12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following table provides a reconciliation of the numerators and denominators of the basic and diluted earnings per share computations. Basic EPS is computed by dividing net income by weighted average shares outstanding. Diluted EPS includes the effect of potentially dilutive common shares.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color w:val="auto"/>
              </w:rPr>
              <w:t>Three Months Ended</w:t>
            </w:r>
          </w:p>
        </w:tc>
      </w:tr>
      <w:tr>
        <w:trPr>
          <w:trHeight w:val="156"/>
        </w:trPr>
        <w:tc>
          <w:tcPr>
            <w:tcW w:w="8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September 29,</w:t>
            </w:r>
          </w:p>
        </w:tc>
        <w:tc>
          <w:tcPr>
            <w:tcW w:w="280" w:type="dxa"/>
            <w:vAlign w:val="bottom"/>
          </w:tcPr>
          <w:p>
            <w:pPr>
              <w:spacing w:after="0"/>
              <w:rPr>
                <w:sz w:val="13"/>
                <w:szCs w:val="13"/>
                <w:color w:val="auto"/>
              </w:rPr>
            </w:pPr>
          </w:p>
        </w:tc>
        <w:tc>
          <w:tcPr>
            <w:tcW w:w="1200" w:type="dxa"/>
            <w:vAlign w:val="bottom"/>
          </w:tcPr>
          <w:p>
            <w:pPr>
              <w:jc w:val="right"/>
              <w:ind w:right="374"/>
              <w:spacing w:after="0" w:line="157" w:lineRule="exact"/>
              <w:rPr>
                <w:sz w:val="20"/>
                <w:szCs w:val="20"/>
                <w:color w:val="auto"/>
              </w:rPr>
            </w:pPr>
            <w:r>
              <w:rPr>
                <w:rFonts w:ascii="Arial" w:cs="Arial" w:eastAsia="Arial" w:hAnsi="Arial"/>
                <w:sz w:val="14"/>
                <w:szCs w:val="14"/>
                <w:color w:val="auto"/>
              </w:rPr>
              <w:t>October 1,</w:t>
            </w:r>
          </w:p>
        </w:tc>
      </w:tr>
      <w:tr>
        <w:trPr>
          <w:trHeight w:val="188"/>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2011</w:t>
            </w:r>
          </w:p>
        </w:tc>
      </w:tr>
      <w:tr>
        <w:trPr>
          <w:trHeight w:val="196"/>
        </w:trPr>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60" w:type="dxa"/>
            <w:vAlign w:val="bottom"/>
            <w:gridSpan w:val="4"/>
          </w:tcPr>
          <w:p>
            <w:pPr>
              <w:jc w:val="right"/>
              <w:ind w:right="274"/>
              <w:spacing w:after="0"/>
              <w:rPr>
                <w:sz w:val="20"/>
                <w:szCs w:val="20"/>
                <w:color w:val="auto"/>
              </w:rPr>
            </w:pPr>
            <w:r>
              <w:rPr>
                <w:rFonts w:ascii="Arial" w:cs="Arial" w:eastAsia="Arial" w:hAnsi="Arial"/>
                <w:sz w:val="14"/>
                <w:szCs w:val="14"/>
                <w:color w:val="auto"/>
                <w:w w:val="95"/>
              </w:rPr>
              <w:t>(in thousands, except per share amounts)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6,547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13,880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25,710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25,418</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income per share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0.55</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6,547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13,880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25,710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effect of common stock equivalents</w:t>
            </w:r>
          </w:p>
        </w:tc>
        <w:tc>
          <w:tcPr>
            <w:tcW w:w="22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425</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26,157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25,843</w:t>
            </w:r>
          </w:p>
        </w:tc>
      </w:tr>
      <w:tr>
        <w:trPr>
          <w:trHeight w:val="27"/>
        </w:trPr>
        <w:tc>
          <w:tcPr>
            <w:tcW w:w="8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125"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Diluted income per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0.54</w:t>
            </w:r>
          </w:p>
        </w:tc>
      </w:tr>
      <w:tr>
        <w:trPr>
          <w:trHeight w:val="27"/>
        </w:trPr>
        <w:tc>
          <w:tcPr>
            <w:tcW w:w="8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312"/>
        </w:trPr>
        <w:tc>
          <w:tcPr>
            <w:tcW w:w="8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913"/>
              <w:spacing w:after="0"/>
              <w:rPr>
                <w:sz w:val="20"/>
                <w:szCs w:val="20"/>
                <w:color w:val="auto"/>
              </w:rPr>
            </w:pPr>
            <w:r>
              <w:rPr>
                <w:rFonts w:ascii="Arial" w:cs="Arial" w:eastAsia="Arial" w:hAnsi="Arial"/>
                <w:sz w:val="14"/>
                <w:szCs w:val="14"/>
                <w:color w:val="auto"/>
              </w:rPr>
              <w:t>Six Months Ended</w:t>
            </w:r>
          </w:p>
        </w:tc>
      </w:tr>
      <w:tr>
        <w:trPr>
          <w:trHeight w:val="156"/>
        </w:trPr>
        <w:tc>
          <w:tcPr>
            <w:tcW w:w="8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September 29,</w:t>
            </w:r>
          </w:p>
        </w:tc>
        <w:tc>
          <w:tcPr>
            <w:tcW w:w="280" w:type="dxa"/>
            <w:vAlign w:val="bottom"/>
          </w:tcPr>
          <w:p>
            <w:pPr>
              <w:spacing w:after="0"/>
              <w:rPr>
                <w:sz w:val="13"/>
                <w:szCs w:val="13"/>
                <w:color w:val="auto"/>
              </w:rPr>
            </w:pPr>
          </w:p>
        </w:tc>
        <w:tc>
          <w:tcPr>
            <w:tcW w:w="1200" w:type="dxa"/>
            <w:vAlign w:val="bottom"/>
          </w:tcPr>
          <w:p>
            <w:pPr>
              <w:jc w:val="right"/>
              <w:ind w:right="373"/>
              <w:spacing w:after="0" w:line="157" w:lineRule="exact"/>
              <w:rPr>
                <w:sz w:val="20"/>
                <w:szCs w:val="20"/>
                <w:color w:val="auto"/>
              </w:rPr>
            </w:pPr>
            <w:r>
              <w:rPr>
                <w:rFonts w:ascii="Arial" w:cs="Arial" w:eastAsia="Arial" w:hAnsi="Arial"/>
                <w:sz w:val="14"/>
                <w:szCs w:val="14"/>
                <w:color w:val="auto"/>
              </w:rPr>
              <w:t>October 1,</w:t>
            </w:r>
          </w:p>
        </w:tc>
      </w:tr>
      <w:tr>
        <w:trPr>
          <w:trHeight w:val="188"/>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2011</w:t>
            </w:r>
          </w:p>
        </w:tc>
      </w:tr>
      <w:tr>
        <w:trPr>
          <w:trHeight w:val="196"/>
        </w:trPr>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60" w:type="dxa"/>
            <w:vAlign w:val="bottom"/>
            <w:gridSpan w:val="4"/>
          </w:tcPr>
          <w:p>
            <w:pPr>
              <w:jc w:val="right"/>
              <w:ind w:right="273"/>
              <w:spacing w:after="0"/>
              <w:rPr>
                <w:sz w:val="20"/>
                <w:szCs w:val="20"/>
                <w:color w:val="auto"/>
              </w:rPr>
            </w:pPr>
            <w:r>
              <w:rPr>
                <w:rFonts w:ascii="Arial" w:cs="Arial" w:eastAsia="Arial" w:hAnsi="Arial"/>
                <w:sz w:val="14"/>
                <w:szCs w:val="14"/>
                <w:color w:val="auto"/>
                <w:w w:val="95"/>
              </w:rPr>
              <w:t>(in thousands, except per share amounts)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16,335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30,828</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25,596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25,575</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income per share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1.21</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16,335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30,828</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25,596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effect of common stock equivalents</w:t>
            </w:r>
          </w:p>
        </w:tc>
        <w:tc>
          <w:tcPr>
            <w:tcW w:w="2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454</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26,044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26,029</w:t>
            </w: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color w:val="auto"/>
              </w:rPr>
              <w:t>Diluted income per share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1.18</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Weighted average shares outstanding, assuming dilution, excludes the impact of 0.1 million and 0.4 million stock options for the three and six months ended September 29, 2012, respectively, and 0.4 million and 0.4 million stock options for the three and six months ended October 1, 2011, respectively, because these securities were anti-dilutive during the noted periods.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Stock-based compensation expense of $5.0 million and $4.7 million was recognized for the six months ended September 29, 2012 and October 1, 2011, respectively. The related income tax benefit recognized was $1.6 million and $1.3 million for the six months ended September 29, 2012 and October 1, 2011, respectively.</w:t>
      </w:r>
    </w:p>
    <w:p>
      <w:pPr>
        <w:spacing w:after="0" w:line="73"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The weighted average fair value for our options granted was $18.02 and $18.27 for the six months ended September 29, 2012 and October 1, 2011, respectively. The assumptions utilized for estimating the fair value of option grants during the periods presented are as follows:</w:t>
      </w:r>
    </w:p>
    <w:p>
      <w:pPr>
        <w:spacing w:after="0" w:line="88" w:lineRule="exact"/>
        <w:rPr>
          <w:sz w:val="20"/>
          <w:szCs w:val="20"/>
          <w:color w:val="auto"/>
        </w:rPr>
      </w:pPr>
    </w:p>
    <w:p>
      <w:pPr>
        <w:ind w:left="9300"/>
        <w:spacing w:after="0"/>
        <w:rPr>
          <w:sz w:val="20"/>
          <w:szCs w:val="20"/>
          <w:color w:val="auto"/>
        </w:rPr>
      </w:pPr>
      <w:r>
        <w:rPr>
          <w:rFonts w:ascii="Arial" w:cs="Arial" w:eastAsia="Arial" w:hAnsi="Arial"/>
          <w:sz w:val="14"/>
          <w:szCs w:val="14"/>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20955</wp:posOffset>
            </wp:positionV>
            <wp:extent cx="2040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660" w:type="dxa"/>
            <w:vAlign w:val="bottom"/>
            <w:gridSpan w:val="2"/>
          </w:tcPr>
          <w:p>
            <w:pPr>
              <w:ind w:left="340"/>
              <w:spacing w:after="0"/>
              <w:rPr>
                <w:sz w:val="20"/>
                <w:szCs w:val="20"/>
                <w:color w:val="auto"/>
              </w:rPr>
            </w:pPr>
            <w:r>
              <w:rPr>
                <w:rFonts w:ascii="Arial" w:cs="Arial" w:eastAsia="Arial" w:hAnsi="Arial"/>
                <w:sz w:val="14"/>
                <w:szCs w:val="14"/>
                <w:color w:val="auto"/>
              </w:rPr>
              <w:t>September 29,</w:t>
            </w:r>
          </w:p>
        </w:tc>
        <w:tc>
          <w:tcPr>
            <w:tcW w:w="1560" w:type="dxa"/>
            <w:vAlign w:val="bottom"/>
          </w:tcPr>
          <w:p>
            <w:pPr>
              <w:jc w:val="right"/>
              <w:ind w:right="416"/>
              <w:spacing w:after="0"/>
              <w:rPr>
                <w:sz w:val="20"/>
                <w:szCs w:val="20"/>
                <w:color w:val="auto"/>
              </w:rPr>
            </w:pPr>
            <w:r>
              <w:rPr>
                <w:rFonts w:ascii="Arial" w:cs="Arial" w:eastAsia="Arial" w:hAnsi="Arial"/>
                <w:sz w:val="14"/>
                <w:szCs w:val="14"/>
                <w:color w:val="auto"/>
              </w:rPr>
              <w:t>October 1,</w:t>
            </w:r>
          </w:p>
        </w:tc>
      </w:tr>
      <w:tr>
        <w:trPr>
          <w:trHeight w:val="188"/>
        </w:trPr>
        <w:tc>
          <w:tcPr>
            <w:tcW w:w="82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rPr>
              <w:t>2011</w:t>
            </w: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Black-Scholes assumptions (weighted average):</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180"/>
              <w:spacing w:after="0"/>
              <w:rPr>
                <w:sz w:val="20"/>
                <w:szCs w:val="20"/>
                <w:color w:val="auto"/>
              </w:rPr>
            </w:pPr>
            <w:r>
              <w:rPr>
                <w:rFonts w:ascii="Arial" w:cs="Arial" w:eastAsia="Arial" w:hAnsi="Arial"/>
                <w:sz w:val="18"/>
                <w:szCs w:val="18"/>
                <w:color w:val="auto"/>
              </w:rPr>
              <w:t>Volatility</w:t>
            </w:r>
          </w:p>
        </w:tc>
        <w:tc>
          <w:tcPr>
            <w:tcW w:w="1560" w:type="dxa"/>
            <w:vAlign w:val="bottom"/>
          </w:tcPr>
          <w:p>
            <w:pPr>
              <w:jc w:val="right"/>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27.42%</w:t>
            </w:r>
          </w:p>
        </w:tc>
      </w:tr>
      <w:tr>
        <w:trPr>
          <w:trHeight w:val="27"/>
        </w:trPr>
        <w:tc>
          <w:tcPr>
            <w:tcW w:w="8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life (years)</w:t>
            </w:r>
          </w:p>
        </w:tc>
        <w:tc>
          <w:tcPr>
            <w:tcW w:w="15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4.9</w:t>
            </w:r>
          </w:p>
        </w:tc>
      </w:tr>
      <w:tr>
        <w:trPr>
          <w:trHeight w:val="243"/>
        </w:trPr>
        <w:tc>
          <w:tcPr>
            <w:tcW w:w="8200" w:type="dxa"/>
            <w:vAlign w:val="bottom"/>
          </w:tcPr>
          <w:p>
            <w:pPr>
              <w:ind w:left="180"/>
              <w:spacing w:after="0"/>
              <w:rPr>
                <w:sz w:val="20"/>
                <w:szCs w:val="20"/>
                <w:color w:val="auto"/>
              </w:rPr>
            </w:pPr>
            <w:r>
              <w:rPr>
                <w:rFonts w:ascii="Arial" w:cs="Arial" w:eastAsia="Arial" w:hAnsi="Arial"/>
                <w:sz w:val="18"/>
                <w:szCs w:val="18"/>
                <w:color w:val="auto"/>
              </w:rPr>
              <w:t>Risk-free interest rate</w:t>
            </w:r>
          </w:p>
        </w:tc>
        <w:tc>
          <w:tcPr>
            <w:tcW w:w="156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8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yield</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the six months ended September 29, 2012 and October 1, 2011, there were 42,257 and 41,067 shares, respectively, purchased under the Employee Stock Purchase Plan. They were purchased at $49.83 and $46.80 per share,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PRODUCT WARRANTIES</w:t>
      </w:r>
    </w:p>
    <w:p>
      <w:pPr>
        <w:spacing w:after="0" w:line="121"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We generally provide a warranty on parts and labor for one year after the sale and installation of each device. We also warrant our disposables products through their use or expiration. We estimate our potential warranty expense based on our historical warranty experience, and we periodically assess the adequacy of our warranty accrual and make adjustments as necessary.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6"/>
        </w:trPr>
        <w:tc>
          <w:tcPr>
            <w:tcW w:w="46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September 29,</w:t>
            </w:r>
          </w:p>
        </w:tc>
        <w:tc>
          <w:tcPr>
            <w:tcW w:w="280" w:type="dxa"/>
            <w:vAlign w:val="bottom"/>
          </w:tcPr>
          <w:p>
            <w:pPr>
              <w:spacing w:after="0"/>
              <w:rPr>
                <w:sz w:val="13"/>
                <w:szCs w:val="13"/>
                <w:color w:val="auto"/>
              </w:rPr>
            </w:pPr>
          </w:p>
        </w:tc>
        <w:tc>
          <w:tcPr>
            <w:tcW w:w="1200" w:type="dxa"/>
            <w:vAlign w:val="bottom"/>
          </w:tcPr>
          <w:p>
            <w:pPr>
              <w:jc w:val="right"/>
              <w:ind w:right="376"/>
              <w:spacing w:after="0" w:line="157" w:lineRule="exact"/>
              <w:rPr>
                <w:sz w:val="20"/>
                <w:szCs w:val="20"/>
                <w:color w:val="auto"/>
              </w:rPr>
            </w:pPr>
            <w:r>
              <w:rPr>
                <w:rFonts w:ascii="Arial" w:cs="Arial" w:eastAsia="Arial" w:hAnsi="Arial"/>
                <w:sz w:val="14"/>
                <w:szCs w:val="14"/>
                <w:color w:val="auto"/>
              </w:rPr>
              <w:t>October 1,</w:t>
            </w:r>
          </w:p>
        </w:tc>
        <w:tc>
          <w:tcPr>
            <w:tcW w:w="0" w:type="dxa"/>
            <w:vAlign w:val="bottom"/>
          </w:tcPr>
          <w:p>
            <w:pPr>
              <w:spacing w:after="0"/>
              <w:rPr>
                <w:sz w:val="1"/>
                <w:szCs w:val="1"/>
                <w:color w:val="auto"/>
              </w:rPr>
            </w:pPr>
          </w:p>
        </w:tc>
      </w:tr>
      <w:tr>
        <w:trPr>
          <w:trHeight w:val="188"/>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accrual as of the beginning of the period</w:t>
            </w:r>
          </w:p>
        </w:tc>
        <w:tc>
          <w:tcPr>
            <w:tcW w:w="39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Warranty provision</w:t>
            </w:r>
          </w:p>
        </w:tc>
        <w:tc>
          <w:tcPr>
            <w:tcW w:w="3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spending</w:t>
            </w:r>
          </w:p>
        </w:tc>
        <w:tc>
          <w:tcPr>
            <w:tcW w:w="37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57"/>
        </w:trPr>
        <w:tc>
          <w:tcPr>
            <w:tcW w:w="4640" w:type="dxa"/>
            <w:vAlign w:val="bottom"/>
          </w:tcPr>
          <w:p>
            <w:pPr>
              <w:ind w:left="40"/>
              <w:spacing w:after="0"/>
              <w:rPr>
                <w:sz w:val="20"/>
                <w:szCs w:val="20"/>
                <w:color w:val="auto"/>
              </w:rPr>
            </w:pPr>
            <w:r>
              <w:rPr>
                <w:rFonts w:ascii="Arial" w:cs="Arial" w:eastAsia="Arial" w:hAnsi="Arial"/>
                <w:sz w:val="18"/>
                <w:szCs w:val="18"/>
                <w:color w:val="auto"/>
              </w:rPr>
              <w:t>Warranty accrual as of the end of the period</w:t>
            </w:r>
          </w:p>
        </w:tc>
        <w:tc>
          <w:tcPr>
            <w:tcW w:w="37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700" w:type="dxa"/>
            <w:vAlign w:val="bottom"/>
            <w:vMerge w:val="restart"/>
          </w:tcPr>
          <w:p>
            <w:pPr>
              <w:jc w:val="right"/>
              <w:ind w:right="2450"/>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64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on the first-in, first-out method.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color w:val="auto"/>
              </w:rPr>
              <w:t>September 29,</w:t>
            </w:r>
          </w:p>
        </w:tc>
        <w:tc>
          <w:tcPr>
            <w:tcW w:w="280" w:type="dxa"/>
            <w:vAlign w:val="bottom"/>
          </w:tcPr>
          <w:p>
            <w:pPr>
              <w:spacing w:after="0"/>
              <w:rPr>
                <w:sz w:val="14"/>
                <w:szCs w:val="14"/>
                <w:color w:val="auto"/>
              </w:rPr>
            </w:pPr>
          </w:p>
        </w:tc>
        <w:tc>
          <w:tcPr>
            <w:tcW w:w="1200" w:type="dxa"/>
            <w:vAlign w:val="bottom"/>
          </w:tcPr>
          <w:p>
            <w:pPr>
              <w:jc w:val="right"/>
              <w:ind w:right="376"/>
              <w:spacing w:after="0"/>
              <w:rPr>
                <w:sz w:val="20"/>
                <w:szCs w:val="20"/>
                <w:color w:val="auto"/>
              </w:rPr>
            </w:pPr>
            <w:r>
              <w:rPr>
                <w:rFonts w:ascii="Arial" w:cs="Arial" w:eastAsia="Arial" w:hAnsi="Arial"/>
                <w:sz w:val="14"/>
                <w:szCs w:val="14"/>
                <w:color w:val="auto"/>
              </w:rPr>
              <w:t>March 31,</w:t>
            </w:r>
          </w:p>
        </w:tc>
      </w:tr>
      <w:tr>
        <w:trPr>
          <w:trHeight w:val="188"/>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57,538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41,219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8,655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4,640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107,313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71,304</w:t>
            </w:r>
          </w:p>
        </w:tc>
      </w:tr>
      <w:tr>
        <w:trPr>
          <w:trHeight w:val="237"/>
        </w:trPr>
        <w:tc>
          <w:tcPr>
            <w:tcW w:w="83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173,506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117,163</w:t>
            </w:r>
          </w:p>
        </w:tc>
      </w:tr>
      <w:tr>
        <w:trPr>
          <w:trHeight w:val="27"/>
        </w:trPr>
        <w:tc>
          <w:tcPr>
            <w:tcW w:w="8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 AND FAIR VALUE MEASUREMENTS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manufacture, market and sell our products globally. For the six months ended September 29, 2012, approximately 49% of our sales were generated outside the U.S. generally in local currencies. We also incur certain manufacturing, marketing and selling costs in international markets in local currency. Accordingly, our earnings and cash flows are exposed to market risk from changes in foreign currency exchange rates relative to the U.S. dollar, our reporting currency.</w:t>
      </w:r>
    </w:p>
    <w:p>
      <w:pPr>
        <w:spacing w:after="0" w:line="7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foreign currency forward contracts to hedge the anticipated cash flows from transactions denominated in foreign currencies, primarily the Japanese Yen and the Euro, and to a lesser extent the Swiss Franc, British Pound Sterling and the Canadian Dollar. This does not eliminate the volatility of foreign exchange rates, but because we generally enter into forward contracts one year out, rates are fixed for a one-year period, thereby facilitating financial planning and resource allocation.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Designated Foreign Currency Hedge Contracts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All of our designated foreign currency hedge contracts as of September 29, 2012 and March 31, 2012 were cash flow hedges under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We record the effective portion of any change in the fair value of designated foreign currency hedge contracts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in the Statement of Stockholders’ Equity until 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$141.0 million as of September 29, 2012 and $162.1 million as of March 31, 2012.</w:t>
      </w:r>
    </w:p>
    <w:p>
      <w:pPr>
        <w:spacing w:after="0" w:line="8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During the six months ended September 29, 2012, we recognized net gains of $1.3 million in earnings on our cash flow hedges. For the six months ended September 29, 2012, $3.0 million of losses, net of tax, were recorded in Accumulated Other Comprehensive Income to recognize the effective portion of the fair value of any designated foreign currency hedge contracts that are, or previously were, designated as foreign currency cash flow hedges, as compared to net losses of $2.9 million for the six months ended October 1, 2011. At September 29, 2012, losses of $3.0 million, net of tax, may be reclassified to earnings within the next twelve months. All currency cash flow hedges outstanding as of September 29, 2012 mature within twelve months.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Non-designated Foreign Currency Contracts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manage our exposure to changes in foreign currency on a consolidated basis to take advantage of offsetting transactions and balances. We use foreign currency forward contracts as a part of our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Topic 815. These forward contracts are marked-to-market with changes in fair value recorded to earnings. We had non-designated foreign currency hedge contracts under ASC Topic 815 outstanding in the contract amount of $61.5 million as of September 29, 2012 and $45.5 million as of March 31, 2012.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the effect of our derivative instruments designated as cash flow hedges and those not designated as hedging instruments under ASC Topic 815 in our consolidated statement of income for the six months ended September 29, 2012.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101"/>
              <w:spacing w:after="0"/>
              <w:rPr>
                <w:sz w:val="20"/>
                <w:szCs w:val="20"/>
                <w:color w:val="auto"/>
              </w:rPr>
            </w:pPr>
            <w:r>
              <w:rPr>
                <w:rFonts w:ascii="Arial" w:cs="Arial" w:eastAsia="Arial" w:hAnsi="Arial"/>
                <w:sz w:val="14"/>
                <w:szCs w:val="14"/>
                <w:color w:val="auto"/>
                <w:w w:val="96"/>
              </w:rPr>
              <w:t>Amount of Loss</w:t>
            </w: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49"/>
        </w:trPr>
        <w:tc>
          <w:tcPr>
            <w:tcW w:w="3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Amount of Loss</w:t>
            </w:r>
          </w:p>
        </w:tc>
        <w:tc>
          <w:tcPr>
            <w:tcW w:w="160" w:type="dxa"/>
            <w:vAlign w:val="bottom"/>
          </w:tcPr>
          <w:p>
            <w:pPr>
              <w:spacing w:after="0"/>
              <w:rPr>
                <w:sz w:val="12"/>
                <w:szCs w:val="12"/>
                <w:color w:val="auto"/>
              </w:rPr>
            </w:pPr>
          </w:p>
        </w:tc>
        <w:tc>
          <w:tcPr>
            <w:tcW w:w="1320" w:type="dxa"/>
            <w:vAlign w:val="bottom"/>
          </w:tcPr>
          <w:p>
            <w:pPr>
              <w:jc w:val="center"/>
              <w:ind w:right="101"/>
              <w:spacing w:after="0" w:line="149" w:lineRule="exact"/>
              <w:rPr>
                <w:sz w:val="20"/>
                <w:szCs w:val="20"/>
                <w:color w:val="auto"/>
              </w:rPr>
            </w:pPr>
            <w:r>
              <w:rPr>
                <w:rFonts w:ascii="Arial" w:cs="Arial" w:eastAsia="Arial" w:hAnsi="Arial"/>
                <w:sz w:val="14"/>
                <w:szCs w:val="14"/>
                <w:color w:val="auto"/>
                <w:w w:val="92"/>
              </w:rPr>
              <w:t>Reclassified</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40"/>
              <w:spacing w:after="0" w:line="149" w:lineRule="exact"/>
              <w:rPr>
                <w:sz w:val="20"/>
                <w:szCs w:val="20"/>
                <w:color w:val="auto"/>
              </w:rPr>
            </w:pPr>
            <w:r>
              <w:rPr>
                <w:rFonts w:ascii="Arial" w:cs="Arial" w:eastAsia="Arial" w:hAnsi="Arial"/>
                <w:sz w:val="14"/>
                <w:szCs w:val="14"/>
                <w:color w:val="auto"/>
                <w:w w:val="94"/>
              </w:rPr>
              <w:t>Amount of loss</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Recognized</w:t>
            </w:r>
          </w:p>
        </w:tc>
        <w:tc>
          <w:tcPr>
            <w:tcW w:w="160" w:type="dxa"/>
            <w:vAlign w:val="bottom"/>
          </w:tcPr>
          <w:p>
            <w:pPr>
              <w:spacing w:after="0"/>
              <w:rPr>
                <w:sz w:val="12"/>
                <w:szCs w:val="12"/>
                <w:color w:val="auto"/>
              </w:rPr>
            </w:pPr>
          </w:p>
        </w:tc>
        <w:tc>
          <w:tcPr>
            <w:tcW w:w="1320" w:type="dxa"/>
            <w:vAlign w:val="bottom"/>
          </w:tcPr>
          <w:p>
            <w:pPr>
              <w:jc w:val="center"/>
              <w:ind w:right="81"/>
              <w:spacing w:after="0" w:line="149" w:lineRule="exact"/>
              <w:rPr>
                <w:sz w:val="20"/>
                <w:szCs w:val="20"/>
                <w:color w:val="auto"/>
              </w:rPr>
            </w:pPr>
            <w:r>
              <w:rPr>
                <w:rFonts w:ascii="Arial" w:cs="Arial" w:eastAsia="Arial" w:hAnsi="Arial"/>
                <w:sz w:val="14"/>
                <w:szCs w:val="14"/>
                <w:color w:val="auto"/>
                <w:w w:val="99"/>
              </w:rPr>
              <w:t>from AOCI into</w:t>
            </w:r>
          </w:p>
        </w:tc>
        <w:tc>
          <w:tcPr>
            <w:tcW w:w="100" w:type="dxa"/>
            <w:vAlign w:val="bottom"/>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Location in</w:t>
            </w:r>
          </w:p>
        </w:tc>
        <w:tc>
          <w:tcPr>
            <w:tcW w:w="220" w:type="dxa"/>
            <w:vAlign w:val="bottom"/>
          </w:tcPr>
          <w:p>
            <w:pPr>
              <w:spacing w:after="0"/>
              <w:rPr>
                <w:sz w:val="12"/>
                <w:szCs w:val="12"/>
                <w:color w:val="auto"/>
              </w:rPr>
            </w:pPr>
          </w:p>
        </w:tc>
        <w:tc>
          <w:tcPr>
            <w:tcW w:w="126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6"/>
              </w:rPr>
              <w:t>Excluded from</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7"/>
              </w:rPr>
              <w:t>Location in</w:t>
            </w:r>
          </w:p>
        </w:tc>
      </w:tr>
      <w:tr>
        <w:trPr>
          <w:trHeight w:val="149"/>
        </w:trPr>
        <w:tc>
          <w:tcPr>
            <w:tcW w:w="3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in AOCI</w:t>
            </w:r>
          </w:p>
        </w:tc>
        <w:tc>
          <w:tcPr>
            <w:tcW w:w="160" w:type="dxa"/>
            <w:vAlign w:val="bottom"/>
          </w:tcPr>
          <w:p>
            <w:pPr>
              <w:spacing w:after="0"/>
              <w:rPr>
                <w:sz w:val="12"/>
                <w:szCs w:val="12"/>
                <w:color w:val="auto"/>
              </w:rPr>
            </w:pPr>
          </w:p>
        </w:tc>
        <w:tc>
          <w:tcPr>
            <w:tcW w:w="1320" w:type="dxa"/>
            <w:vAlign w:val="bottom"/>
          </w:tcPr>
          <w:p>
            <w:pPr>
              <w:jc w:val="center"/>
              <w:ind w:right="81"/>
              <w:spacing w:after="0" w:line="149" w:lineRule="exact"/>
              <w:rPr>
                <w:sz w:val="20"/>
                <w:szCs w:val="20"/>
                <w:color w:val="auto"/>
              </w:rPr>
            </w:pPr>
            <w:r>
              <w:rPr>
                <w:rFonts w:ascii="Arial" w:cs="Arial" w:eastAsia="Arial" w:hAnsi="Arial"/>
                <w:sz w:val="14"/>
                <w:szCs w:val="14"/>
                <w:color w:val="auto"/>
                <w:w w:val="94"/>
              </w:rPr>
              <w:t>Earnings</w:t>
            </w:r>
          </w:p>
        </w:tc>
        <w:tc>
          <w:tcPr>
            <w:tcW w:w="100" w:type="dxa"/>
            <w:vAlign w:val="bottom"/>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Statement of</w:t>
            </w:r>
          </w:p>
        </w:tc>
        <w:tc>
          <w:tcPr>
            <w:tcW w:w="220" w:type="dxa"/>
            <w:vAlign w:val="bottom"/>
          </w:tcPr>
          <w:p>
            <w:pPr>
              <w:spacing w:after="0"/>
              <w:rPr>
                <w:sz w:val="12"/>
                <w:szCs w:val="12"/>
                <w:color w:val="auto"/>
              </w:rPr>
            </w:pPr>
          </w:p>
        </w:tc>
        <w:tc>
          <w:tcPr>
            <w:tcW w:w="126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3"/>
              </w:rPr>
              <w:t>Effectiveness</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0"/>
              </w:rPr>
              <w:t>Statement of</w:t>
            </w:r>
          </w:p>
        </w:tc>
      </w:tr>
      <w:tr>
        <w:trPr>
          <w:trHeight w:val="188"/>
        </w:trPr>
        <w:tc>
          <w:tcPr>
            <w:tcW w:w="3100" w:type="dxa"/>
            <w:vAlign w:val="bottom"/>
          </w:tcPr>
          <w:p>
            <w:pPr>
              <w:ind w:left="40"/>
              <w:spacing w:after="0"/>
              <w:rPr>
                <w:sz w:val="20"/>
                <w:szCs w:val="20"/>
                <w:color w:val="auto"/>
              </w:rPr>
            </w:pPr>
            <w:r>
              <w:rPr>
                <w:rFonts w:ascii="Arial" w:cs="Arial" w:eastAsia="Arial" w:hAnsi="Arial"/>
                <w:sz w:val="14"/>
                <w:szCs w:val="14"/>
                <w:color w:val="auto"/>
              </w:rPr>
              <w:t>Derivative Instruments</w:t>
            </w:r>
          </w:p>
        </w:tc>
        <w:tc>
          <w:tcPr>
            <w:tcW w:w="1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(Effective Portion)</w:t>
            </w:r>
          </w:p>
        </w:tc>
        <w:tc>
          <w:tcPr>
            <w:tcW w:w="160" w:type="dxa"/>
            <w:vAlign w:val="bottom"/>
          </w:tcPr>
          <w:p>
            <w:pPr>
              <w:spacing w:after="0"/>
              <w:rPr>
                <w:sz w:val="16"/>
                <w:szCs w:val="16"/>
                <w:color w:val="auto"/>
              </w:rPr>
            </w:pPr>
          </w:p>
        </w:tc>
        <w:tc>
          <w:tcPr>
            <w:tcW w:w="1320" w:type="dxa"/>
            <w:vAlign w:val="bottom"/>
          </w:tcPr>
          <w:p>
            <w:pPr>
              <w:jc w:val="center"/>
              <w:ind w:right="81"/>
              <w:spacing w:after="0"/>
              <w:rPr>
                <w:sz w:val="20"/>
                <w:szCs w:val="20"/>
                <w:color w:val="auto"/>
              </w:rPr>
            </w:pPr>
            <w:r>
              <w:rPr>
                <w:rFonts w:ascii="Arial" w:cs="Arial" w:eastAsia="Arial" w:hAnsi="Arial"/>
                <w:sz w:val="14"/>
                <w:szCs w:val="14"/>
                <w:color w:val="auto"/>
                <w:w w:val="97"/>
              </w:rPr>
              <w:t>(Effective Portion)</w:t>
            </w: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Operations</w:t>
            </w:r>
          </w:p>
        </w:tc>
        <w:tc>
          <w:tcPr>
            <w:tcW w:w="220" w:type="dxa"/>
            <w:vAlign w:val="bottom"/>
          </w:tcPr>
          <w:p>
            <w:pPr>
              <w:spacing w:after="0"/>
              <w:rPr>
                <w:sz w:val="16"/>
                <w:szCs w:val="16"/>
                <w:color w:val="auto"/>
              </w:rPr>
            </w:pPr>
          </w:p>
        </w:tc>
        <w:tc>
          <w:tcPr>
            <w:tcW w:w="1260" w:type="dxa"/>
            <w:vAlign w:val="bottom"/>
          </w:tcPr>
          <w:p>
            <w:pPr>
              <w:jc w:val="center"/>
              <w:ind w:right="120"/>
              <w:spacing w:after="0"/>
              <w:rPr>
                <w:sz w:val="20"/>
                <w:szCs w:val="20"/>
                <w:color w:val="auto"/>
              </w:rPr>
            </w:pPr>
            <w:r>
              <w:rPr>
                <w:rFonts w:ascii="Arial" w:cs="Arial" w:eastAsia="Arial" w:hAnsi="Arial"/>
                <w:sz w:val="14"/>
                <w:szCs w:val="14"/>
                <w:color w:val="auto"/>
                <w:w w:val="95"/>
              </w:rPr>
              <w:t>Testing (*)</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3"/>
              </w:rPr>
              <w:t>Operations</w:t>
            </w:r>
          </w:p>
        </w:tc>
      </w:tr>
      <w:tr>
        <w:trPr>
          <w:trHeight w:val="250"/>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r>
      <w:tr>
        <w:trPr>
          <w:trHeight w:val="235"/>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Net revenues, COGS, and</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w:t>
            </w: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net</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w w:val="96"/>
              </w:rPr>
              <w:t>Non-designated foreign currency hedge</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Other income</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contracts</w:t>
            </w:r>
          </w:p>
        </w:tc>
        <w:tc>
          <w:tcPr>
            <w:tcW w:w="16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0"/>
                <w:szCs w:val="20"/>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(expense), net</w:t>
            </w: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  We exclude the difference between the spot rate and hedge forward rate from our effectiveness testing.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fair value hedges or net investment hedges outstanding as of September 29, 2012 or March 31, 2012.</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ASC Topic 815 requires all derivative instruments to be recognized at their fair values as either assets or liabilities on the balance sheet. We determine the fair value of our derivative instruments using the framework prescribed by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we would receive or pay to sell or transfer these instruments at the reporting date and by taking into account current interest rates, currency exchange rates,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September 29, 2012, we have classified our derivative assets and liabilities within Level 2 of the fair value hierarchy prescribed by ASC Topic 815, as discussed below, because these observable inputs are available for substantially the full term of our derivative instruments.</w:t>
      </w:r>
    </w:p>
    <w:p>
      <w:pPr>
        <w:spacing w:after="0" w:line="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the fair value of our derivative instruments as they appear in our consolidated balance sheets as of September 29, 2012 by type of contract and whether it is a qualifying hedge under ASC Topic 815.</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Location in</w:t>
            </w: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Balance Sheet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w w:val="99"/>
              </w:rPr>
              <w:t>As of September 29, 2012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As of March 31, 2012</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4"/>
              <w:spacing w:after="0"/>
              <w:rPr>
                <w:sz w:val="20"/>
                <w:szCs w:val="20"/>
                <w:color w:val="auto"/>
              </w:rPr>
            </w:pPr>
            <w:r>
              <w:rPr>
                <w:rFonts w:ascii="Arial" w:cs="Arial" w:eastAsia="Arial" w:hAnsi="Arial"/>
                <w:sz w:val="18"/>
                <w:szCs w:val="18"/>
                <w:color w:val="auto"/>
              </w:rPr>
              <w:t>1,699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6,186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6,186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60" w:type="dxa"/>
            <w:vAlign w:val="bottom"/>
            <w:gridSpan w:val="2"/>
            <w:vMerge w:val="continue"/>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Fair Value Measurements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establishes a framework for measuring fair value in accordance with U.S. GAAP, and expands disclosures about fair value measurements. ASC Topic 820 does not require any new fair value measurements; rather, it applies to other accounting pronouncements that require or permit fair value measurements. In accordance with ASC Topic 820, for the three and the six months ended September 29, 2012, we applied the requirements under ASC Topic 820 to our non-financial assets and non-financial liabilities. As we did not have an impairment of any non-financial assets or non-financial liabilities, there was no disclosure required relating to our non-financial assets or non-financial liabilities.</w:t>
      </w:r>
    </w:p>
    <w:p>
      <w:pPr>
        <w:spacing w:after="0" w:line="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 recurring basis, we measure certain financial assets and financial liabilities at fair value, including our money market funds, foreign currency hedge contracts, and contingent consideration. ASC Topic 820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ASC Topic 820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ind w:left="5620" w:right="3180" w:hanging="5288"/>
        <w:spacing w:after="0" w:line="542" w:lineRule="auto"/>
        <w:tabs>
          <w:tab w:leader="none" w:pos="652"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 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right="54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spacing w:after="0" w:line="1" w:lineRule="exact"/>
        <w:rPr>
          <w:rFonts w:ascii="Arial" w:cs="Arial" w:eastAsia="Arial" w:hAnsi="Arial"/>
          <w:sz w:val="18"/>
          <w:szCs w:val="18"/>
          <w:color w:val="auto"/>
        </w:rPr>
      </w:pPr>
    </w:p>
    <w:p>
      <w:pPr>
        <w:ind w:left="660" w:right="24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Our money market funds carried at fair value are classified within Level 1 of the fair value hierarchy because they are valued using quoted market prices.</w:t>
      </w:r>
    </w:p>
    <w:p>
      <w:pPr>
        <w:spacing w:after="0" w:line="14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We recognize all derivative financial instruments in our consolidated financial statements at fair value in accordance with ASC Topic 815, </w:t>
      </w:r>
      <w:r>
        <w:rPr>
          <w:rFonts w:ascii="Arial" w:cs="Arial" w:eastAsia="Arial" w:hAnsi="Arial"/>
          <w:sz w:val="16"/>
          <w:szCs w:val="16"/>
          <w:i w:val="1"/>
          <w:iCs w:val="1"/>
          <w:color w:val="auto"/>
        </w:rPr>
        <w:t>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w:t>
      </w:r>
      <w:r>
        <w:rPr>
          <w:rFonts w:ascii="Arial" w:cs="Arial" w:eastAsia="Arial" w:hAnsi="Arial"/>
          <w:sz w:val="16"/>
          <w:szCs w:val="16"/>
          <w:color w:val="auto"/>
        </w:rPr>
        <w:t>. We determine the fair value of these instruments using the framework prescribed by ASC Topic 820 by considering the estimated amount we would</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or pay to terminate these agreements at the reporting date and by taking into account current spot rates, the creditworthiness of the counterparty for assets, and our creditworthiness for liabilities. We have classified our foreign currency hedge contracts within Level 2 of the fair value hierarchy because these observable inputs are available for substantially the full term of our derivative instruments. The fair value of our foreign currency hedge contracts is the estimated amount that the Company would receive or pay upon liquidation of the contracts, taking into account the change in currency exchange rates.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Measured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consist of the following as of September 29, 2012: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color w:val="auto"/>
                <w:w w:val="99"/>
              </w:rPr>
              <w:t>Significant</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Quoted Market</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1"/>
              </w:rPr>
              <w:t>Other</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9"/>
              </w:rPr>
              <w:t>Significant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Prices for</w:t>
            </w:r>
          </w:p>
        </w:tc>
        <w:tc>
          <w:tcPr>
            <w:tcW w:w="28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2"/>
              </w:rPr>
              <w:t>Observable</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Unobservable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Identical Assets</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Inputs</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Inputs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8"/>
        </w:trPr>
        <w:tc>
          <w:tcPr>
            <w:tcW w:w="51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(Level 1)</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(Level 2)</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(Level 3)</w:t>
            </w:r>
          </w:p>
        </w:tc>
        <w:tc>
          <w:tcPr>
            <w:tcW w:w="36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color w:val="auto"/>
              </w:rPr>
              <w:t>Total</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152,099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152,099</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hedge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1,699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1,699</w:t>
            </w:r>
          </w:p>
        </w:tc>
      </w:tr>
      <w:tr>
        <w:trPr>
          <w:trHeight w:val="237"/>
        </w:trPr>
        <w:tc>
          <w:tcPr>
            <w:tcW w:w="51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152,099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153,798</w:t>
            </w:r>
          </w:p>
        </w:tc>
      </w:tr>
      <w:tr>
        <w:trPr>
          <w:trHeight w:val="67"/>
        </w:trPr>
        <w:tc>
          <w:tcPr>
            <w:tcW w:w="51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hedge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1,536</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Release of Neoteric contingent consideration</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Under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we established a liability for payments to former shareholders of Neoteric which were contingent on the performance of the Blood Track business in the first three years post acquisition, beginning with fiscal 2010. We have reviewed the expected performance versus the performance thresholds for payment. Because the expected performance thresholds will not be achieved, we recorded an adjustment to the fair value of the contingent consideration liability. This appears as contingent consideration income of $1.6 million in the accompanying consolidated statements of income for the six months ended October 1, 2011.</w:t>
      </w:r>
    </w:p>
    <w:p>
      <w:pPr>
        <w:spacing w:after="0" w:line="8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September 2011, we entered into an agreement to release the Company from the contingent consideration due to the former shareholders of Neoteric. Under the terms of the agreement, the former shareholders of Neoteric received $0.7 million in exchange for releasing the Company from any future claims for contingent consideration. The Company paid the $0.7 million settlement amount during September 2011 and has recorded the associated expense in the selling, general and administrative line item in the accompanying consolidated statements of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Fair Value Disclosures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fair value of our real estate mortgage obligation was $2.6 million and $3.1 million at September 29, 2012 and March 31, 2012, respectively. This liability is a Level 2 financial instrument and the fair value has been determined using a net present value calculation of the future mortgage payments due, discounted by a rate derived from corresponding U.S. Treasury rates. The $475 million Term loan, accounts receivable and accounts payable are also reported at their cost which approximates fair value.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reported tax rate was 23.8% and 25.8% for the three and six month periods ended September 29, 2012, respectively. Our reported tax rate is lower than the federal statutory tax rate in both periods reported primarily due to lower foreign tax rates, including tax benefits associated with our operations in Switzerland as well as research and development credits.</w:t>
      </w:r>
    </w:p>
    <w:p>
      <w:pPr>
        <w:spacing w:after="0" w:line="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conduct business globally and, as a result, file consolidated federal, consolidated and separate state and foreign income tax returns in multiple jurisdictions. In the normal course of business, we are subject to examination by taxing authorities throughout the world in jurisdictions including the U.S., Japan, Germany, France, the United Kingdom, and Switzerland. With few exceptions, we are no longer subject to U.S. federal, state and local, or foreign income tax examinations for years before 2007.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presently engaged in various legal actions, and although ultimate liability cannot be determined at the present time, we believe, based on consultation with counsel, that any such liability will not materially affect our consolidated financial position or our results of operations.</w:t>
      </w:r>
    </w:p>
    <w:p>
      <w:pPr>
        <w:spacing w:after="0" w:line="3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During the first quarter of fiscal 2012, we received customer complaints in Europe regarding a quality issue with our High Separation Core Bowl (“HS Core”), a plasma disposable product used primarily to collect plasma for transfusion. Certain of these customers also made subsequent claims regarding financial losses alleged to have been incurred as a result of this matter. Certain of these claims are recoverable under our product liability insurance policy. To date, we have recognized a $10.3 million liability offset by insurance receivables of $8.3 million and an expense of $2.1 million. Of the $8.3 million receivable from our insurers, we have received $8.2 million and recognized a $0.1 million receivable in current assets. Receivables for insurance recoveries for product liability claims are recorded as assets, on an undiscounted basis, when it is probable that a recovery will be realized on a claim by claim basis. We do not expect to record additional material claims or insurance recoveries related to this matter.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Definition Criteria</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manage our business on the basis of one operating segment: the design, manufacture, and marketing of blood management solutions. Our chief operating decision-maker uses consolidated results to make operating and strategic decisions. Manufacturing processes, as well as the regulatory environment in which we operate, are largely the same for all product lines.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Wide Disclosures about Product and Services</w:t>
      </w:r>
    </w:p>
    <w:p>
      <w:pPr>
        <w:spacing w:after="0" w:line="2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have four global product families: plasma, blood center, hospital, and software solutions. Beginning August 1, 2012, we integrated the whole blood business as part of blood center product family.</w:t>
      </w:r>
    </w:p>
    <w:p>
      <w:pPr>
        <w:spacing w:after="0" w:line="76"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Our products include manual blood collection kits, devices and the disposable single-use sterile kits used with these devices. Disposables include the plasma, blood center, and hospital product families. Plasma consists of the disposables used to perform apheresis for the separation of whole blood components and subsequent collection of plasma to be used as a raw material for biologically derived pharmaceuticals (also known as source plasma). Blood center consists of manual collection kits and disposables which separate whole blood for the subsequent collection of platelets, plasma, red cells, or a combination of these components for transfusion to patients. Hospital consists of surgical disposables (principally the Cell Saver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Cell Saver Elite </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autologous blood recovery systems targeted to procedures that involve rapid, high volume blood loss such as cardiovascular surgeries and the cardioPAT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cardiovascular perioperative autotransfusion system designed to remain with the patient following cardiovascular surgery to recover blood and the patient’s red cells to prepare them for reinfusion), the OrthoPAT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orthopedic perioperative autotransfusion system designed to operate both during and after orthopedic surgery to recover and wash the patient’s red cells to prepare them for reinfusion, and diagnostics products (principally the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Thrombelastograph</w:t>
      </w:r>
      <w:r>
        <w:rPr>
          <w:rFonts w:ascii="Arial" w:cs="Arial" w:eastAsia="Arial" w:hAnsi="Arial"/>
          <w:sz w:val="24"/>
          <w:szCs w:val="24"/>
          <w:color w:val="auto"/>
          <w:vertAlign w:val="superscript"/>
        </w:rPr>
        <w:t>®</w:t>
      </w:r>
      <w:r>
        <w:rPr>
          <w:rFonts w:ascii="Arial" w:cs="Arial" w:eastAsia="Arial" w:hAnsi="Arial"/>
          <w:sz w:val="17"/>
          <w:szCs w:val="17"/>
          <w:color w:val="auto"/>
        </w:rPr>
        <w:t xml:space="preserve"> hemostasis analyzer used to help assess a surgical patient’s blood clotting ability before, during and after surgery).</w:t>
      </w:r>
    </w:p>
    <w:p>
      <w:pPr>
        <w:spacing w:after="0" w:line="9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Software solutions include information technology platforms that assist blood centers, plasma centers, and hospitals to more effectively manage regulatory compliance and operational 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from External Customers: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w w:val="89"/>
              </w:rPr>
              <w:t>September 29,</w:t>
            </w:r>
          </w:p>
        </w:tc>
        <w:tc>
          <w:tcPr>
            <w:tcW w:w="280" w:type="dxa"/>
            <w:vAlign w:val="bottom"/>
          </w:tcPr>
          <w:p>
            <w:pPr>
              <w:spacing w:after="0"/>
              <w:rPr>
                <w:sz w:val="13"/>
                <w:szCs w:val="13"/>
                <w:color w:val="auto"/>
              </w:rPr>
            </w:pPr>
          </w:p>
        </w:tc>
        <w:tc>
          <w:tcPr>
            <w:tcW w:w="1200" w:type="dxa"/>
            <w:vAlign w:val="bottom"/>
          </w:tcPr>
          <w:p>
            <w:pPr>
              <w:jc w:val="center"/>
              <w:ind w:right="232"/>
              <w:spacing w:after="0" w:line="157" w:lineRule="exact"/>
              <w:rPr>
                <w:sz w:val="20"/>
                <w:szCs w:val="20"/>
                <w:color w:val="auto"/>
              </w:rPr>
            </w:pPr>
            <w:r>
              <w:rPr>
                <w:rFonts w:ascii="Arial" w:cs="Arial" w:eastAsia="Arial" w:hAnsi="Arial"/>
                <w:sz w:val="14"/>
                <w:szCs w:val="14"/>
                <w:color w:val="auto"/>
                <w:w w:val="91"/>
              </w:rPr>
              <w:t>October 1,</w:t>
            </w:r>
          </w:p>
        </w:tc>
        <w:tc>
          <w:tcPr>
            <w:tcW w:w="0" w:type="dxa"/>
            <w:vAlign w:val="bottom"/>
          </w:tcPr>
          <w:p>
            <w:pPr>
              <w:spacing w:after="0"/>
              <w:rPr>
                <w:sz w:val="1"/>
                <w:szCs w:val="1"/>
                <w:color w:val="auto"/>
              </w:rPr>
            </w:pPr>
          </w:p>
        </w:tc>
      </w:tr>
      <w:tr>
        <w:trPr>
          <w:trHeight w:val="188"/>
        </w:trPr>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4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color w:val="auto"/>
                <w:w w:val="96"/>
              </w:rPr>
              <w:t>2012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color w:val="auto"/>
                <w:w w:val="89"/>
              </w:rPr>
              <w:t>2011</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Disposable revenues</w:t>
            </w:r>
          </w:p>
        </w:tc>
        <w:tc>
          <w:tcPr>
            <w:tcW w:w="4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Arial" w:cs="Arial" w:eastAsia="Arial" w:hAnsi="Arial"/>
                <w:sz w:val="18"/>
                <w:szCs w:val="18"/>
                <w:color w:val="auto"/>
              </w:rPr>
              <w:t>Plasma disposables</w:t>
            </w:r>
          </w:p>
        </w:tc>
        <w:tc>
          <w:tcPr>
            <w:tcW w:w="4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68,677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64,408</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Blood center disposables</w:t>
            </w:r>
          </w:p>
        </w:tc>
        <w:tc>
          <w:tcPr>
            <w:tcW w:w="4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600"/>
              <w:spacing w:after="0"/>
              <w:rPr>
                <w:sz w:val="20"/>
                <w:szCs w:val="20"/>
                <w:color w:val="auto"/>
              </w:rPr>
            </w:pPr>
            <w:r>
              <w:rPr>
                <w:rFonts w:ascii="Arial" w:cs="Arial" w:eastAsia="Arial" w:hAnsi="Arial"/>
                <w:sz w:val="18"/>
                <w:szCs w:val="18"/>
                <w:color w:val="auto"/>
              </w:rPr>
              <w:t>Platelet</w:t>
            </w:r>
          </w:p>
        </w:tc>
        <w:tc>
          <w:tcPr>
            <w:tcW w:w="4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43,198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42,195</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Red cell</w:t>
            </w:r>
          </w:p>
        </w:tc>
        <w:tc>
          <w:tcPr>
            <w:tcW w:w="4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11,645</w:t>
            </w:r>
          </w:p>
        </w:tc>
        <w:tc>
          <w:tcPr>
            <w:tcW w:w="0" w:type="dxa"/>
            <w:vAlign w:val="bottom"/>
          </w:tcPr>
          <w:p>
            <w:pPr>
              <w:spacing w:after="0"/>
              <w:rPr>
                <w:sz w:val="1"/>
                <w:szCs w:val="1"/>
                <w:color w:val="auto"/>
              </w:rPr>
            </w:pPr>
          </w:p>
        </w:tc>
      </w:tr>
      <w:tr>
        <w:trPr>
          <w:trHeight w:val="243"/>
        </w:trPr>
        <w:tc>
          <w:tcPr>
            <w:tcW w:w="3800" w:type="dxa"/>
            <w:vAlign w:val="bottom"/>
          </w:tcPr>
          <w:p>
            <w:pPr>
              <w:ind w:left="580"/>
              <w:spacing w:after="0"/>
              <w:rPr>
                <w:sz w:val="20"/>
                <w:szCs w:val="20"/>
                <w:color w:val="auto"/>
              </w:rPr>
            </w:pPr>
            <w:r>
              <w:rPr>
                <w:rFonts w:ascii="Arial" w:cs="Arial" w:eastAsia="Arial" w:hAnsi="Arial"/>
                <w:sz w:val="18"/>
                <w:szCs w:val="18"/>
                <w:color w:val="auto"/>
              </w:rPr>
              <w:t>Whole blood</w:t>
            </w:r>
          </w:p>
        </w:tc>
        <w:tc>
          <w:tcPr>
            <w:tcW w:w="4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28,620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83,736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53,840</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Hospital disposables</w:t>
            </w:r>
          </w:p>
        </w:tc>
        <w:tc>
          <w:tcPr>
            <w:tcW w:w="4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600"/>
              <w:spacing w:after="0"/>
              <w:rPr>
                <w:sz w:val="20"/>
                <w:szCs w:val="20"/>
                <w:color w:val="auto"/>
              </w:rPr>
            </w:pPr>
            <w:r>
              <w:rPr>
                <w:rFonts w:ascii="Arial" w:cs="Arial" w:eastAsia="Arial" w:hAnsi="Arial"/>
                <w:sz w:val="18"/>
                <w:szCs w:val="18"/>
                <w:color w:val="auto"/>
              </w:rPr>
              <w:t>Surgical</w:t>
            </w:r>
          </w:p>
        </w:tc>
        <w:tc>
          <w:tcPr>
            <w:tcW w:w="4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18,804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16,206</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OrthoPAT</w:t>
            </w:r>
          </w:p>
        </w:tc>
        <w:tc>
          <w:tcPr>
            <w:tcW w:w="4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7,295</w:t>
            </w:r>
          </w:p>
        </w:tc>
        <w:tc>
          <w:tcPr>
            <w:tcW w:w="0" w:type="dxa"/>
            <w:vAlign w:val="bottom"/>
          </w:tcPr>
          <w:p>
            <w:pPr>
              <w:spacing w:after="0"/>
              <w:rPr>
                <w:sz w:val="1"/>
                <w:szCs w:val="1"/>
                <w:color w:val="auto"/>
              </w:rPr>
            </w:pPr>
          </w:p>
        </w:tc>
      </w:tr>
      <w:tr>
        <w:trPr>
          <w:trHeight w:val="243"/>
        </w:trPr>
        <w:tc>
          <w:tcPr>
            <w:tcW w:w="3800" w:type="dxa"/>
            <w:vAlign w:val="bottom"/>
          </w:tcPr>
          <w:p>
            <w:pPr>
              <w:ind w:left="600"/>
              <w:spacing w:after="0"/>
              <w:rPr>
                <w:sz w:val="20"/>
                <w:szCs w:val="20"/>
                <w:color w:val="auto"/>
              </w:rPr>
            </w:pPr>
            <w:r>
              <w:rPr>
                <w:rFonts w:ascii="Arial" w:cs="Arial" w:eastAsia="Arial" w:hAnsi="Arial"/>
                <w:sz w:val="18"/>
                <w:szCs w:val="18"/>
                <w:color w:val="auto"/>
              </w:rPr>
              <w:t>Diagnostics</w:t>
            </w:r>
          </w:p>
        </w:tc>
        <w:tc>
          <w:tcPr>
            <w:tcW w:w="4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6,937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5,659</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00" w:type="dxa"/>
            <w:vAlign w:val="bottom"/>
            <w:tcBorders>
              <w:bottom w:val="single" w:sz="8" w:color="CCEEFF"/>
            </w:tcBorders>
            <w:shd w:val="clear" w:color="auto" w:fill="CCEEFF"/>
          </w:tcPr>
          <w:p>
            <w:pPr>
              <w:spacing w:after="0"/>
              <w:rPr>
                <w:sz w:val="22"/>
                <w:szCs w:val="22"/>
                <w:color w:val="auto"/>
              </w:rPr>
            </w:pPr>
          </w:p>
        </w:tc>
        <w:tc>
          <w:tcPr>
            <w:tcW w:w="45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29,160</w:t>
            </w:r>
          </w:p>
        </w:tc>
        <w:tc>
          <w:tcPr>
            <w:tcW w:w="0" w:type="dxa"/>
            <w:vAlign w:val="bottom"/>
          </w:tcPr>
          <w:p>
            <w:pPr>
              <w:spacing w:after="0"/>
              <w:rPr>
                <w:sz w:val="1"/>
                <w:szCs w:val="1"/>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8"/>
                <w:szCs w:val="18"/>
                <w:b w:val="1"/>
                <w:bCs w:val="1"/>
                <w:color w:val="auto"/>
              </w:rPr>
              <w:t>Disposables revenue</w:t>
            </w:r>
          </w:p>
        </w:tc>
        <w:tc>
          <w:tcPr>
            <w:tcW w:w="45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185,799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147,408</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Software solutions</w:t>
            </w:r>
          </w:p>
        </w:tc>
        <w:tc>
          <w:tcPr>
            <w:tcW w:w="4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17,199</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b w:val="1"/>
                <w:bCs w:val="1"/>
                <w:color w:val="auto"/>
              </w:rPr>
              <w:t>Equipment &amp; other</w:t>
            </w:r>
          </w:p>
        </w:tc>
        <w:tc>
          <w:tcPr>
            <w:tcW w:w="4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14,336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14,838</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45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218,178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179,445</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1"/>
        </w:trPr>
        <w:tc>
          <w:tcPr>
            <w:tcW w:w="38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912"/>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w w:val="89"/>
              </w:rPr>
              <w:t>September 29,</w:t>
            </w:r>
          </w:p>
        </w:tc>
        <w:tc>
          <w:tcPr>
            <w:tcW w:w="280" w:type="dxa"/>
            <w:vAlign w:val="bottom"/>
          </w:tcPr>
          <w:p>
            <w:pPr>
              <w:spacing w:after="0"/>
              <w:rPr>
                <w:sz w:val="13"/>
                <w:szCs w:val="13"/>
                <w:color w:val="auto"/>
              </w:rPr>
            </w:pPr>
          </w:p>
        </w:tc>
        <w:tc>
          <w:tcPr>
            <w:tcW w:w="1200" w:type="dxa"/>
            <w:vAlign w:val="bottom"/>
          </w:tcPr>
          <w:p>
            <w:pPr>
              <w:jc w:val="center"/>
              <w:ind w:right="232"/>
              <w:spacing w:after="0" w:line="157" w:lineRule="exact"/>
              <w:rPr>
                <w:sz w:val="20"/>
                <w:szCs w:val="20"/>
                <w:color w:val="auto"/>
              </w:rPr>
            </w:pPr>
            <w:r>
              <w:rPr>
                <w:rFonts w:ascii="Arial" w:cs="Arial" w:eastAsia="Arial" w:hAnsi="Arial"/>
                <w:sz w:val="14"/>
                <w:szCs w:val="14"/>
                <w:color w:val="auto"/>
                <w:w w:val="91"/>
              </w:rPr>
              <w:t>October 1,</w:t>
            </w:r>
          </w:p>
        </w:tc>
        <w:tc>
          <w:tcPr>
            <w:tcW w:w="0" w:type="dxa"/>
            <w:vAlign w:val="bottom"/>
          </w:tcPr>
          <w:p>
            <w:pPr>
              <w:spacing w:after="0"/>
              <w:rPr>
                <w:sz w:val="1"/>
                <w:szCs w:val="1"/>
                <w:color w:val="auto"/>
              </w:rPr>
            </w:pPr>
          </w:p>
        </w:tc>
      </w:tr>
      <w:tr>
        <w:trPr>
          <w:trHeight w:val="188"/>
        </w:trPr>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4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color w:val="auto"/>
                <w:w w:val="96"/>
              </w:rPr>
              <w:t>2012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color w:val="auto"/>
                <w:w w:val="89"/>
              </w:rPr>
              <w:t>2011</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Disposable revenues</w:t>
            </w:r>
          </w:p>
        </w:tc>
        <w:tc>
          <w:tcPr>
            <w:tcW w:w="4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Arial" w:cs="Arial" w:eastAsia="Arial" w:hAnsi="Arial"/>
                <w:sz w:val="18"/>
                <w:szCs w:val="18"/>
                <w:color w:val="auto"/>
              </w:rPr>
              <w:t>Plasma disposables</w:t>
            </w:r>
          </w:p>
        </w:tc>
        <w:tc>
          <w:tcPr>
            <w:tcW w:w="4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132,555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127,168</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Blood center disposables</w:t>
            </w:r>
          </w:p>
        </w:tc>
        <w:tc>
          <w:tcPr>
            <w:tcW w:w="4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380"/>
              <w:spacing w:after="0"/>
              <w:rPr>
                <w:sz w:val="20"/>
                <w:szCs w:val="20"/>
                <w:color w:val="auto"/>
              </w:rPr>
            </w:pPr>
            <w:r>
              <w:rPr>
                <w:rFonts w:ascii="Arial" w:cs="Arial" w:eastAsia="Arial" w:hAnsi="Arial"/>
                <w:sz w:val="18"/>
                <w:szCs w:val="18"/>
                <w:color w:val="auto"/>
              </w:rPr>
              <w:t>Platelet</w:t>
            </w:r>
          </w:p>
        </w:tc>
        <w:tc>
          <w:tcPr>
            <w:tcW w:w="4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80,440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79,504</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Red cell</w:t>
            </w:r>
          </w:p>
        </w:tc>
        <w:tc>
          <w:tcPr>
            <w:tcW w:w="4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23,986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23,514</w:t>
            </w:r>
          </w:p>
        </w:tc>
        <w:tc>
          <w:tcPr>
            <w:tcW w:w="0" w:type="dxa"/>
            <w:vAlign w:val="bottom"/>
          </w:tcPr>
          <w:p>
            <w:pPr>
              <w:spacing w:after="0"/>
              <w:rPr>
                <w:sz w:val="1"/>
                <w:szCs w:val="1"/>
                <w:color w:val="auto"/>
              </w:rPr>
            </w:pPr>
          </w:p>
        </w:tc>
      </w:tr>
      <w:tr>
        <w:trPr>
          <w:trHeight w:val="297"/>
        </w:trPr>
        <w:tc>
          <w:tcPr>
            <w:tcW w:w="3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Whole blood</w:t>
            </w:r>
          </w:p>
        </w:tc>
        <w:tc>
          <w:tcPr>
            <w:tcW w:w="45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28,620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133,046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103,018</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Hospital disposables</w:t>
            </w:r>
          </w:p>
        </w:tc>
        <w:tc>
          <w:tcPr>
            <w:tcW w:w="4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380"/>
              <w:spacing w:after="0"/>
              <w:rPr>
                <w:sz w:val="20"/>
                <w:szCs w:val="20"/>
                <w:color w:val="auto"/>
              </w:rPr>
            </w:pPr>
            <w:r>
              <w:rPr>
                <w:rFonts w:ascii="Arial" w:cs="Arial" w:eastAsia="Arial" w:hAnsi="Arial"/>
                <w:sz w:val="18"/>
                <w:szCs w:val="18"/>
                <w:color w:val="auto"/>
              </w:rPr>
              <w:t>Surgical</w:t>
            </w:r>
          </w:p>
        </w:tc>
        <w:tc>
          <w:tcPr>
            <w:tcW w:w="4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37,064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31,948</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OrthoPAT</w:t>
            </w:r>
          </w:p>
        </w:tc>
        <w:tc>
          <w:tcPr>
            <w:tcW w:w="4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15,049</w:t>
            </w:r>
          </w:p>
        </w:tc>
        <w:tc>
          <w:tcPr>
            <w:tcW w:w="0" w:type="dxa"/>
            <w:vAlign w:val="bottom"/>
          </w:tcPr>
          <w:p>
            <w:pPr>
              <w:spacing w:after="0"/>
              <w:rPr>
                <w:sz w:val="1"/>
                <w:szCs w:val="1"/>
                <w:color w:val="auto"/>
              </w:rPr>
            </w:pPr>
          </w:p>
        </w:tc>
      </w:tr>
      <w:tr>
        <w:trPr>
          <w:trHeight w:val="243"/>
        </w:trPr>
        <w:tc>
          <w:tcPr>
            <w:tcW w:w="3800" w:type="dxa"/>
            <w:vAlign w:val="bottom"/>
          </w:tcPr>
          <w:p>
            <w:pPr>
              <w:ind w:left="380"/>
              <w:spacing w:after="0"/>
              <w:rPr>
                <w:sz w:val="20"/>
                <w:szCs w:val="20"/>
                <w:color w:val="auto"/>
              </w:rPr>
            </w:pPr>
            <w:r>
              <w:rPr>
                <w:rFonts w:ascii="Arial" w:cs="Arial" w:eastAsia="Arial" w:hAnsi="Arial"/>
                <w:sz w:val="18"/>
                <w:szCs w:val="18"/>
                <w:color w:val="auto"/>
              </w:rPr>
              <w:t>Diagnostics</w:t>
            </w:r>
          </w:p>
        </w:tc>
        <w:tc>
          <w:tcPr>
            <w:tcW w:w="4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13,436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11,273</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00" w:type="dxa"/>
            <w:vAlign w:val="bottom"/>
            <w:tcBorders>
              <w:bottom w:val="single" w:sz="8" w:color="CCEEFF"/>
            </w:tcBorders>
            <w:shd w:val="clear" w:color="auto" w:fill="CCEEFF"/>
          </w:tcPr>
          <w:p>
            <w:pPr>
              <w:spacing w:after="0"/>
              <w:rPr>
                <w:sz w:val="22"/>
                <w:szCs w:val="22"/>
                <w:color w:val="auto"/>
              </w:rPr>
            </w:pPr>
          </w:p>
        </w:tc>
        <w:tc>
          <w:tcPr>
            <w:tcW w:w="45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65,686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58,270</w:t>
            </w:r>
          </w:p>
        </w:tc>
        <w:tc>
          <w:tcPr>
            <w:tcW w:w="0" w:type="dxa"/>
            <w:vAlign w:val="bottom"/>
          </w:tcPr>
          <w:p>
            <w:pPr>
              <w:spacing w:after="0"/>
              <w:rPr>
                <w:sz w:val="1"/>
                <w:szCs w:val="1"/>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8"/>
                <w:szCs w:val="18"/>
                <w:b w:val="1"/>
                <w:bCs w:val="1"/>
                <w:color w:val="auto"/>
              </w:rPr>
              <w:t>Disposables revenue</w:t>
            </w:r>
          </w:p>
        </w:tc>
        <w:tc>
          <w:tcPr>
            <w:tcW w:w="45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331,287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288,456</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Software solutions</w:t>
            </w:r>
          </w:p>
        </w:tc>
        <w:tc>
          <w:tcPr>
            <w:tcW w:w="4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35,359</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b w:val="1"/>
                <w:bCs w:val="1"/>
                <w:color w:val="auto"/>
              </w:rPr>
              <w:t>Equipment &amp; other</w:t>
            </w:r>
          </w:p>
        </w:tc>
        <w:tc>
          <w:tcPr>
            <w:tcW w:w="4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28,019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26,199</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4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394,653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350,014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0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12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During the six months ended September 29, 2012, the Company’s restructuring activities primarily consist of reorganization within our research and development, manufacturing and software operations. Employee-related costs primarily consist of employee severance and benefits. Facility-related costs primarily consist of charges associated with closing facilities, related lease obligations, and other related costs.</w:t>
      </w:r>
    </w:p>
    <w:p>
      <w:pPr>
        <w:spacing w:after="0" w:line="5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For the six months ended September 29, 2012, the Company incurred $2.3 million of restructuring charges. Restructuring expenses have been primarily included as a component of selling, general and administrative expense in the accompanying statements of income. We anticipate that the Company will incur approximately $1 to $2 million in additional restructuring charges related to these initiatives over the remaining six months of fiscal 2013.</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restructuring activity for the six months ended September 29, 2012 and October 1, 2011,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color w:val="auto"/>
                <w:w w:val="92"/>
              </w:rPr>
              <w:t>Six Months Ended September 29, 2012</w:t>
            </w: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r>
      <w:tr>
        <w:trPr>
          <w:trHeight w:val="156"/>
        </w:trPr>
        <w:tc>
          <w:tcPr>
            <w:tcW w:w="4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ind w:right="37"/>
              <w:spacing w:after="0" w:line="157" w:lineRule="exact"/>
              <w:rPr>
                <w:sz w:val="20"/>
                <w:szCs w:val="20"/>
                <w:color w:val="auto"/>
              </w:rPr>
            </w:pPr>
            <w:r>
              <w:rPr>
                <w:rFonts w:ascii="Arial" w:cs="Arial" w:eastAsia="Arial" w:hAnsi="Arial"/>
                <w:sz w:val="14"/>
                <w:szCs w:val="14"/>
                <w:color w:val="auto"/>
                <w:w w:val="94"/>
              </w:rPr>
              <w:t>Restructuring Accrual</w:t>
            </w:r>
          </w:p>
        </w:tc>
      </w:tr>
      <w:tr>
        <w:trPr>
          <w:trHeight w:val="149"/>
        </w:trPr>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Balance at March 31,</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37"/>
              <w:spacing w:after="0" w:line="149" w:lineRule="exact"/>
              <w:rPr>
                <w:sz w:val="20"/>
                <w:szCs w:val="20"/>
                <w:color w:val="auto"/>
              </w:rPr>
            </w:pPr>
            <w:r>
              <w:rPr>
                <w:rFonts w:ascii="Arial" w:cs="Arial" w:eastAsia="Arial" w:hAnsi="Arial"/>
                <w:sz w:val="14"/>
                <w:szCs w:val="14"/>
                <w:color w:val="auto"/>
                <w:w w:val="90"/>
              </w:rPr>
              <w:t>Balance at September 29,</w:t>
            </w:r>
          </w:p>
        </w:tc>
      </w:tr>
      <w:tr>
        <w:trPr>
          <w:trHeight w:val="188"/>
        </w:trPr>
        <w:tc>
          <w:tcPr>
            <w:tcW w:w="49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380" w:type="dxa"/>
            <w:vAlign w:val="bottom"/>
          </w:tcPr>
          <w:p>
            <w:pPr>
              <w:jc w:val="center"/>
              <w:ind w:right="54"/>
              <w:spacing w:after="0"/>
              <w:rPr>
                <w:sz w:val="20"/>
                <w:szCs w:val="20"/>
                <w:color w:val="auto"/>
              </w:rPr>
            </w:pPr>
            <w:r>
              <w:rPr>
                <w:rFonts w:ascii="Arial" w:cs="Arial" w:eastAsia="Arial" w:hAnsi="Arial"/>
                <w:sz w:val="14"/>
                <w:szCs w:val="14"/>
                <w:color w:val="auto"/>
                <w:w w:val="89"/>
              </w:rPr>
              <w:t>2012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color w:val="auto"/>
              </w:rPr>
              <w:t>Cost Incurred</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color w:val="auto"/>
              </w:rPr>
              <w:t>Payments</w:t>
            </w:r>
          </w:p>
        </w:tc>
        <w:tc>
          <w:tcPr>
            <w:tcW w:w="120" w:type="dxa"/>
            <w:vAlign w:val="bottom"/>
          </w:tcPr>
          <w:p>
            <w:pPr>
              <w:spacing w:after="0"/>
              <w:rPr>
                <w:sz w:val="16"/>
                <w:szCs w:val="16"/>
                <w:color w:val="auto"/>
              </w:rPr>
            </w:pPr>
          </w:p>
        </w:tc>
        <w:tc>
          <w:tcPr>
            <w:tcW w:w="1580" w:type="dxa"/>
            <w:vAlign w:val="bottom"/>
          </w:tcPr>
          <w:p>
            <w:pPr>
              <w:jc w:val="center"/>
              <w:ind w:right="37"/>
              <w:spacing w:after="0"/>
              <w:rPr>
                <w:sz w:val="20"/>
                <w:szCs w:val="20"/>
                <w:color w:val="auto"/>
              </w:rPr>
            </w:pPr>
            <w:r>
              <w:rPr>
                <w:rFonts w:ascii="Arial" w:cs="Arial" w:eastAsia="Arial" w:hAnsi="Arial"/>
                <w:sz w:val="14"/>
                <w:szCs w:val="14"/>
                <w:color w:val="auto"/>
                <w:w w:val="96"/>
              </w:rPr>
              <w:t>2012</w:t>
            </w: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Employee-related costs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1,797</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Facility-related costs</w:t>
            </w:r>
          </w:p>
        </w:tc>
        <w:tc>
          <w:tcPr>
            <w:tcW w:w="1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39</w:t>
            </w:r>
          </w:p>
        </w:tc>
      </w:tr>
      <w:tr>
        <w:trPr>
          <w:trHeight w:val="27"/>
        </w:trPr>
        <w:tc>
          <w:tcPr>
            <w:tcW w:w="4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1,994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1,836</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312"/>
        </w:trPr>
        <w:tc>
          <w:tcPr>
            <w:tcW w:w="4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color w:val="auto"/>
                <w:w w:val="93"/>
              </w:rPr>
              <w:t>Six Months Ended October 1, 2011</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156"/>
        </w:trPr>
        <w:tc>
          <w:tcPr>
            <w:tcW w:w="4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ind w:right="37"/>
              <w:spacing w:after="0" w:line="157" w:lineRule="exact"/>
              <w:rPr>
                <w:sz w:val="20"/>
                <w:szCs w:val="20"/>
                <w:color w:val="auto"/>
              </w:rPr>
            </w:pPr>
            <w:r>
              <w:rPr>
                <w:rFonts w:ascii="Arial" w:cs="Arial" w:eastAsia="Arial" w:hAnsi="Arial"/>
                <w:sz w:val="14"/>
                <w:szCs w:val="14"/>
                <w:color w:val="auto"/>
                <w:w w:val="94"/>
              </w:rPr>
              <w:t>Restructuring Accrual</w:t>
            </w:r>
          </w:p>
        </w:tc>
      </w:tr>
      <w:tr>
        <w:trPr>
          <w:trHeight w:val="188"/>
        </w:trPr>
        <w:tc>
          <w:tcPr>
            <w:tcW w:w="49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40" w:type="dxa"/>
            <w:vAlign w:val="bottom"/>
            <w:gridSpan w:val="3"/>
          </w:tcPr>
          <w:p>
            <w:pPr>
              <w:jc w:val="center"/>
              <w:ind w:right="120"/>
              <w:spacing w:after="0"/>
              <w:rPr>
                <w:sz w:val="20"/>
                <w:szCs w:val="20"/>
                <w:color w:val="auto"/>
              </w:rPr>
            </w:pPr>
            <w:r>
              <w:rPr>
                <w:rFonts w:ascii="Arial" w:cs="Arial" w:eastAsia="Arial" w:hAnsi="Arial"/>
                <w:sz w:val="14"/>
                <w:szCs w:val="14"/>
                <w:color w:val="auto"/>
                <w:w w:val="94"/>
              </w:rPr>
              <w:t>Balance at April 2, 2011</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color w:val="auto"/>
              </w:rPr>
              <w:t>Cost Incurred</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color w:val="auto"/>
              </w:rPr>
              <w:t>Payments</w:t>
            </w:r>
          </w:p>
        </w:tc>
        <w:tc>
          <w:tcPr>
            <w:tcW w:w="1700" w:type="dxa"/>
            <w:vAlign w:val="bottom"/>
            <w:gridSpan w:val="2"/>
          </w:tcPr>
          <w:p>
            <w:pPr>
              <w:jc w:val="center"/>
              <w:spacing w:after="0"/>
              <w:rPr>
                <w:sz w:val="20"/>
                <w:szCs w:val="20"/>
                <w:color w:val="auto"/>
              </w:rPr>
            </w:pPr>
            <w:r>
              <w:rPr>
                <w:rFonts w:ascii="Arial" w:cs="Arial" w:eastAsia="Arial" w:hAnsi="Arial"/>
                <w:sz w:val="14"/>
                <w:szCs w:val="14"/>
                <w:color w:val="auto"/>
                <w:w w:val="92"/>
              </w:rPr>
              <w:t>Balance at October 1, 2011</w:t>
            </w: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Employee-related costs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2,983</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Facility-related costs</w:t>
            </w:r>
          </w:p>
        </w:tc>
        <w:tc>
          <w:tcPr>
            <w:tcW w:w="1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656</w:t>
            </w:r>
          </w:p>
        </w:tc>
      </w:tr>
      <w:tr>
        <w:trPr>
          <w:trHeight w:val="27"/>
        </w:trPr>
        <w:tc>
          <w:tcPr>
            <w:tcW w:w="4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3,639</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CAPITALIZATION OF SOFTWARE DEVELOPMENT COSTS</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 xml:space="preserve">For costs incurred related to the development of software to be sold, leased, or otherwise marketed, the Company applies the provisions of ASC Topic 985-20, </w:t>
      </w:r>
      <w:r>
        <w:rPr>
          <w:rFonts w:ascii="Arial" w:cs="Arial" w:eastAsia="Arial" w:hAnsi="Arial"/>
          <w:sz w:val="17"/>
          <w:szCs w:val="17"/>
          <w:i w:val="1"/>
          <w:iCs w:val="1"/>
          <w:color w:val="auto"/>
        </w:rPr>
        <w:t>Software - Costs of Software to be Sold, Leased or Marketed</w:t>
      </w:r>
      <w:r>
        <w:rPr>
          <w:rFonts w:ascii="Arial" w:cs="Arial" w:eastAsia="Arial" w:hAnsi="Arial"/>
          <w:sz w:val="17"/>
          <w:szCs w:val="17"/>
          <w:color w:val="auto"/>
        </w:rPr>
        <w:t>, which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6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 capitalized $3.2 million and $2.8 million in software development costs for ongoing initiatives during the six month periods ended September 29, 2012 and October 1, 2011, respectively. At September 29, 2012 and March 31, 2012, we have a total of $17.0 million and $15.4 million, respectively, of costs capitalized related to in process software development initiatives. During the first quarter of fiscal 2012, $1.7 million of capitalized costs related to one project were placed into service. The costs capitalized for each project are included in intangible assets in the consolidated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8160" w:type="dxa"/>
            <w:vAlign w:val="bottom"/>
            <w:gridSpan w:val="4"/>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696"/>
        </w:trPr>
        <w:tc>
          <w:tcPr>
            <w:tcW w:w="1280" w:type="dxa"/>
            <w:vAlign w:val="bottom"/>
            <w:tcBorders>
              <w:top w:val="single" w:sz="8" w:color="0000FF"/>
            </w:tcBorders>
            <w:gridSpan w:val="2"/>
          </w:tcPr>
          <w:p>
            <w:pPr>
              <w:spacing w:after="0"/>
              <w:rPr>
                <w:sz w:val="20"/>
                <w:szCs w:val="20"/>
                <w:color w:val="auto"/>
              </w:rPr>
            </w:pPr>
            <w:r>
              <w:rPr>
                <w:rFonts w:ascii="Arial" w:cs="Arial" w:eastAsia="Arial" w:hAnsi="Arial"/>
                <w:sz w:val="18"/>
                <w:szCs w:val="18"/>
                <w:b w:val="1"/>
                <w:bCs w:val="1"/>
                <w:color w:val="auto"/>
              </w:rPr>
              <w:t>14. DEBT</w:t>
            </w:r>
          </w:p>
        </w:tc>
        <w:tc>
          <w:tcPr>
            <w:tcW w:w="688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2"/>
        </w:trPr>
        <w:tc>
          <w:tcPr>
            <w:tcW w:w="8160" w:type="dxa"/>
            <w:vAlign w:val="bottom"/>
            <w:gridSpan w:val="4"/>
          </w:tcPr>
          <w:p>
            <w:pPr>
              <w:spacing w:after="0"/>
              <w:rPr>
                <w:sz w:val="20"/>
                <w:szCs w:val="20"/>
                <w:color w:val="auto"/>
              </w:rPr>
            </w:pPr>
            <w:r>
              <w:rPr>
                <w:rFonts w:ascii="Arial" w:cs="Arial" w:eastAsia="Arial" w:hAnsi="Arial"/>
                <w:sz w:val="18"/>
                <w:szCs w:val="18"/>
                <w:color w:val="auto"/>
              </w:rPr>
              <w:t>Our debt as of September 29, 2012 and March 31, 2012 consists of the following.</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51"/>
        </w:trPr>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9"/>
        </w:trPr>
        <w:tc>
          <w:tcPr>
            <w:tcW w:w="6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September 29,</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51"/>
        </w:trPr>
        <w:tc>
          <w:tcPr>
            <w:tcW w:w="620" w:type="dxa"/>
            <w:vAlign w:val="bottom"/>
          </w:tcPr>
          <w:p>
            <w:pPr>
              <w:spacing w:after="0"/>
              <w:rPr>
                <w:sz w:val="21"/>
                <w:szCs w:val="21"/>
                <w:color w:val="auto"/>
              </w:rPr>
            </w:pPr>
          </w:p>
        </w:tc>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7"/>
              </w:rPr>
              <w:t>March 31, 2012</w:t>
            </w:r>
          </w:p>
        </w:tc>
      </w:tr>
      <w:tr>
        <w:trPr>
          <w:trHeight w:val="324"/>
        </w:trPr>
        <w:tc>
          <w:tcPr>
            <w:tcW w:w="6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50"/>
        </w:trPr>
        <w:tc>
          <w:tcPr>
            <w:tcW w:w="620" w:type="dxa"/>
            <w:vAlign w:val="bottom"/>
          </w:tcPr>
          <w:p>
            <w:pPr>
              <w:spacing w:after="0"/>
              <w:rPr>
                <w:sz w:val="21"/>
                <w:szCs w:val="21"/>
                <w:color w:val="auto"/>
              </w:rPr>
            </w:pPr>
          </w:p>
        </w:tc>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0" w:type="dxa"/>
            <w:vAlign w:val="bottom"/>
          </w:tcPr>
          <w:p>
            <w:pPr>
              <w:spacing w:after="0"/>
              <w:rPr>
                <w:sz w:val="21"/>
                <w:szCs w:val="21"/>
                <w:color w:val="auto"/>
              </w:rPr>
            </w:pPr>
          </w:p>
        </w:tc>
        <w:tc>
          <w:tcPr>
            <w:tcW w:w="7540" w:type="dxa"/>
            <w:vAlign w:val="bottom"/>
            <w:gridSpan w:val="3"/>
          </w:tcPr>
          <w:p>
            <w:pPr>
              <w:ind w:left="20"/>
              <w:spacing w:after="0"/>
              <w:rPr>
                <w:sz w:val="20"/>
                <w:szCs w:val="20"/>
                <w:color w:val="auto"/>
              </w:rPr>
            </w:pPr>
            <w:r>
              <w:rPr>
                <w:rFonts w:ascii="Arial" w:cs="Arial" w:eastAsia="Arial" w:hAnsi="Arial"/>
                <w:sz w:val="18"/>
                <w:szCs w:val="18"/>
                <w:color w:val="auto"/>
              </w:rPr>
              <w:t>Mortgage</w:t>
            </w: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3,771</w:t>
            </w:r>
          </w:p>
        </w:tc>
      </w:tr>
      <w:tr>
        <w:trPr>
          <w:trHeight w:val="27"/>
        </w:trPr>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0" w:type="dxa"/>
            <w:vAlign w:val="bottom"/>
          </w:tcPr>
          <w:p>
            <w:pPr>
              <w:spacing w:after="0"/>
              <w:rPr>
                <w:sz w:val="21"/>
                <w:szCs w:val="21"/>
                <w:color w:val="auto"/>
              </w:rPr>
            </w:pPr>
          </w:p>
        </w:tc>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Bank loan</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0" w:type="dxa"/>
            <w:vAlign w:val="bottom"/>
          </w:tcPr>
          <w:p>
            <w:pPr>
              <w:spacing w:after="0"/>
              <w:rPr>
                <w:sz w:val="21"/>
                <w:szCs w:val="21"/>
                <w:color w:val="auto"/>
              </w:rPr>
            </w:pPr>
          </w:p>
        </w:tc>
        <w:tc>
          <w:tcPr>
            <w:tcW w:w="7540" w:type="dxa"/>
            <w:vAlign w:val="bottom"/>
            <w:gridSpan w:val="3"/>
          </w:tcPr>
          <w:p>
            <w:pPr>
              <w:ind w:left="20"/>
              <w:spacing w:after="0"/>
              <w:rPr>
                <w:sz w:val="20"/>
                <w:szCs w:val="20"/>
                <w:color w:val="auto"/>
              </w:rPr>
            </w:pPr>
            <w:r>
              <w:rPr>
                <w:rFonts w:ascii="Arial" w:cs="Arial" w:eastAsia="Arial" w:hAnsi="Arial"/>
                <w:sz w:val="18"/>
                <w:szCs w:val="18"/>
                <w:color w:val="auto"/>
              </w:rPr>
              <w:t>Less current portion</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(894)</w:t>
            </w:r>
          </w:p>
        </w:tc>
      </w:tr>
      <w:tr>
        <w:trPr>
          <w:trHeight w:val="27"/>
        </w:trPr>
        <w:tc>
          <w:tcPr>
            <w:tcW w:w="620" w:type="dxa"/>
            <w:vAlign w:val="bottom"/>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20" w:type="dxa"/>
            <w:vAlign w:val="bottom"/>
          </w:tcPr>
          <w:p>
            <w:pPr>
              <w:spacing w:after="0"/>
              <w:rPr>
                <w:sz w:val="22"/>
                <w:szCs w:val="22"/>
                <w:color w:val="auto"/>
              </w:rPr>
            </w:pPr>
          </w:p>
        </w:tc>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Long term debt less current portion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477,402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2,877</w:t>
            </w:r>
          </w:p>
        </w:tc>
      </w:tr>
      <w:tr>
        <w:trPr>
          <w:trHeight w:val="20"/>
        </w:trPr>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On August 1, 2012 in connection with the acquisition of the whole blood business , we entered into a credit agreement (Credit Agreement) with the banks listed below (together, “Lenders”) which provided for a $475 million term loan (the “Term Loan”) and a $50 million revolving loan (the “Revolving Credit Facility”, and together with the Term Loan, (the “Credit Facilities”). The Credit Facilities have a term of five years and mature on July 31, 2017.</w:t>
      </w:r>
    </w:p>
    <w:p>
      <w:pPr>
        <w:spacing w:after="0" w:line="14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At closing, we borrowed the Term Loan and used the proceeds to pay Pall for the acquisition of the assets described above. The $475 million Term Loan bears interest at variable rates determined by LIBOR plus a range of 1.125% to 1.500% depending on the achievement of certain leverage ratios. The Revolving Credit Facility bears interest at variable rates similar to the Term Loan. The current margin of the Term Loan is 1.375% over one month LIBOR and our effective interest rate inclusive of prepaid financing costs and other fees was 2.0%.</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Revolving loans may be borrowed, repaid and re-borrowed to fund our working capital needs and for other general corporate purposes. No amounts were outstanding under the Revolving Credit Facility at September 29, 2012. The Term Loan or portions thereof may be prepaid at any time or from time to time without penalty. Once repaid, such amount may not be re-borrowed. The principal amount of the term loan is repayable quarterly over five years and amortizes as follows:</w:t>
      </w:r>
    </w:p>
    <w:p>
      <w:pPr>
        <w:spacing w:after="0" w:line="18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0% during the first year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7.5% during the second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12.5% during the third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17.5% during the fourth year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62.5% during the fifth year.</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Credit Facilities, we are required to maintain a Consolidated Total Leverage Ratio not to exceed 3.0:1.0 and a Consolidated Interest Coverage Ratio not to be less than 4.0:1.0 during periods when the Credit Facilities are outstanding. In addition, we are required to satisfy these covenants, on a pro forma basis, in connection with any new borrowings (including any letter of credit issuances) on the Revolving Credit Facility as of the time of such borrowings. The Consolidated Interest Coverage Ratio is calculated as the Consolidated EBITDA divided by Consolidated Interest Expense while the Consolidated Total Leverage Ratio is calculated as Consolidated Total Debt divided by Consolidated EBITDA. Consolidated EBITDA includes EBITDA adjusted by non-recurring and unusual transactions.</w:t>
      </w:r>
    </w:p>
    <w:p>
      <w:pPr>
        <w:spacing w:after="0" w:line="19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Credit Facilities also contain usual and customary non-financial affirmative and negative covenants which include certain restrictions with respect to subsequent indebtedness, liens, loans and investments (including acquisitions), financial reporting obligations, mergers, consolidations, dissolutions or liquidation, asset sales, affiliate transactions, change of our business, capital expenditures, share repurchase and other restricted payments. These covenants are subject to important exceptions and qualifications set forth in the Credit Agreement. As of September 29, 2012 we were in compliance with the covenants.</w:t>
      </w:r>
    </w:p>
    <w:p>
      <w:pPr>
        <w:spacing w:after="0" w:line="15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Any failure to comply with the financial and operating covenants of the Credit Facilities would prevent us from being able to borrow additional funds and would constitute a default, which could result in among other things, the amounts outstanding, including all accrued interest and unpaid fees, becoming immediately due and payable. In addition the Credit Facilities include customary events of default, in certain cases subject to customary cure periods. As of September 29, 2012 we were in compliance with the covenants.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08" w:right="2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 fee</w:t>
      </w:r>
    </w:p>
    <w:p>
      <w:pPr>
        <w:spacing w:after="0" w:line="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Pursuant to the credit agreement we are required to pay to our revolving credit lenders, on the last day of each calendar quarter, a commitment fee on the unused portion of the Revolving Credit Facility. The commitment fee is subject to a pricing grid based on our Consolidated Total Leverage Ratio. The spreads on the commitment fee range from 0.175% to 0.300%. The current commitment fee on the undrawn portion of the Revolving Credit Facility is 0.250%</w:t>
      </w:r>
    </w:p>
    <w:p>
      <w:pPr>
        <w:spacing w:after="0" w:line="15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may elect to increase the size of the Revolving Credit Facility from $50 million to $100 million. Alternatively, we may elect to enter into Additional Term Loans up to a $100 million combined limit with the Revolving Credit Facility. These elections are subject to the approval of the Administrative Agent and the identification of additional Lenders or current Lenders willing to increase their loan amounts.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 and interest</w:t>
      </w:r>
    </w:p>
    <w:p>
      <w:pPr>
        <w:spacing w:after="0" w:line="27" w:lineRule="exact"/>
        <w:rPr>
          <w:sz w:val="20"/>
          <w:szCs w:val="20"/>
          <w:color w:val="auto"/>
        </w:rPr>
      </w:pPr>
    </w:p>
    <w:p>
      <w:pPr>
        <w:ind w:right="760"/>
        <w:spacing w:after="0" w:line="250" w:lineRule="auto"/>
        <w:rPr>
          <w:sz w:val="20"/>
          <w:szCs w:val="20"/>
          <w:color w:val="auto"/>
        </w:rPr>
      </w:pPr>
      <w:r>
        <w:rPr>
          <w:rFonts w:ascii="Arial" w:cs="Arial" w:eastAsia="Arial" w:hAnsi="Arial"/>
          <w:sz w:val="18"/>
          <w:szCs w:val="18"/>
          <w:color w:val="auto"/>
        </w:rPr>
        <w:t>Expenses associated with the issuance of the term loan are capitalized and are amortized over the 5 year term using the effective interest method. In connection with the term loans, we recorded deferred financing costs of $5.5 million.</w:t>
      </w:r>
    </w:p>
    <w:p>
      <w:pPr>
        <w:spacing w:after="0" w:line="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Accrued interest associated with our outstanding debt is included as a component of accrued expenses and other current liabilities in the accompanying condensed consolidated balance sheets. As of September 29, 2012, accrued interest totaled $0.5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 to the credit facilities</w:t>
      </w:r>
    </w:p>
    <w:p>
      <w:pPr>
        <w:spacing w:after="0" w:line="2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banks party to the Credit Facilities are JP Morgan Chase Bank, N.A., as Administrative Agent, Citibank, N.A. as Syndication Agent, J P Morgan Securities LLC and Citibank, N.A. as Joint Lead Arrangers and Joint Bookrunners, Bank of America, N.A., RBS Citizens, N.A., HSBC Bank USA, N.A., Wells Fargo Bank, N.A., Sumitomo Mitsui Banking Corporation, TD Bank, N.A. and US Bank, N.A. as Co-Documentation Agents, Union Bank, N.A., PNC Bank, National Association and Sovereign Bank, N.A. as Senior Managing Agents and the syndicate lenders that are parties thereto.</w:t>
      </w:r>
    </w:p>
    <w:p>
      <w:pPr>
        <w:spacing w:after="0" w:line="17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other debt as of September 29, 2012 includes the real estate mortgage loan of $3.3 million described in our annual financial statements and an overdraft facility of $3.3 million.</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and these financial statements reflect those material items that arose after the balance sheet date but prior to the issuance of the financial statements that would be considered recognized subsequent events.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and has identified the event discussed below.</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36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October 29, 2012 the Company announced that its Board of Directors approved a two-for-one split of the Company's common stock, which will be effected in the form of a stock dividend. The stock dividend will be distributed on November 30 to stockholders of record as of November 9. Haemonetics' common stock will begin trading on a post-split basis on the New York Stock Exchange on December 3, 2012.</w:t>
      </w:r>
    </w:p>
    <w:p>
      <w:pPr>
        <w:spacing w:after="0" w:line="14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Each share of the Company's pre-split common stock held by a shareholder, including shares subject to outstanding stock options and shares available for grant under the Company's equity incentive plans, will be represented by two shares of the Company's post-split common stock. The split will affect all stockholders uniformly and will not affect any stockholder's ownership percentage. The share and per share amounts reflected in these financial statements have not been adjusted to give effect to the stock split.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fiscal year 2012 Annual Report on Form 10-K filed with the Securities and Exchange Commission (the “SEC”) on May 22, 2012. The following discussion may contain forward-looking statements and should be read in conjunction with the “</w:t>
      </w:r>
      <w:r>
        <w:rPr>
          <w:rFonts w:ascii="Arial" w:cs="Arial" w:eastAsia="Arial" w:hAnsi="Arial"/>
          <w:sz w:val="18"/>
          <w:szCs w:val="18"/>
          <w:b w:val="1"/>
          <w:bCs w:val="1"/>
          <w:color w:val="auto"/>
        </w:rPr>
        <w:t>Cautionary Statement Regarding Forward-Looking Information</w:t>
      </w:r>
      <w:r>
        <w:rPr>
          <w:rFonts w:ascii="Arial" w:cs="Arial" w:eastAsia="Arial" w:hAnsi="Arial"/>
          <w:sz w:val="18"/>
          <w:szCs w:val="18"/>
          <w:color w:val="auto"/>
        </w:rPr>
        <w:t>” .</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Haemonetics is a blood management solutions company. Anchored by our medical device systems, we also provide information technology platforms and value added services to provide customers with business solutions which support improved clinical outcomes for patients and efficiency in the blood supply chain. On August 1, 2012 we completed the acquisition of the business assets of the blood collection, filtration and processing product lines of Pall Corporation. At the closing of the transaction, we paid $535.1 million in cash consideration subject to typical post-closing adjustments to reflect certain cost allocations, assets and liabilities. The acquisition was funded utilizing $475 million of loans and the remainder from cash on hand. The blood processing systems and equipment acquired are for use in transfusion medicine and include Pall's manufacturing facilities in Covina, California; Tijuana, Mexico; Ascoli, Italy and a portion of Pall's assets in Fajardo, Puerto Rico. Approximately 1,300 employees transferred to Haemonetics. We anticipate paying an additional $15 million upon the replication and delivery of certain manufacturing assets of Pall's filter media business to Haemonetics by 2016. Until that time, Pall will manufacture and sell filter media to Haemonetics under a supply agreement. We refer to this newly acquired business as the whole blood business.</w:t>
      </w:r>
    </w:p>
    <w:p>
      <w:pPr>
        <w:spacing w:after="0" w:line="166"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Our medical device systems provide both automated and manual collection and processing of donated blood, assess likelihood for blood loss, salvage and process blood from surgery patients, and dispense and track blood inventory in the hospital. These systems include devices and single-use, proprietary disposable sets (“disposables”) some of which only operate with our specialized devices. Specifically, our plasma and blood center systems allow users to collect and process only the blood component(s) they target - plasma, platelets, or red blood cells - increasing donor and patient safety as well as collection efficiencies. Our blood diagnostics system assesses hemostasis (a patient's clotting ability) to aid clinicians in assessing the cause of bleeding, resulting in overall reductions in blood product usage. Our surgical blood salvage systems allow surgeons to collect the blood lost by a patient in surgery, cleanse the blood, and make it available for transfusion back to the patient. Our blood tracking systems automate the distribution of blood products in the hospital. Our manual blood collection and filtration systems enable the manual collection of all blood components while detecting bacteria thus reducing the risks of infection through transfusion.</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When placed devices remain our property, the customer has the right to use it for a period of time as long as the customer meets certain conditions we have established, which, among other things, generally include one or more of the following:</w:t>
      </w:r>
    </w:p>
    <w:p>
      <w:pPr>
        <w:spacing w:after="0" w:line="18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 and consumption of a minimum level of disposables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Payment of monthly rental fees;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disposables revenue stream includes the sales of manual collection and filtration systems, device disposables and fees for the use of our equipment, which accounted for approximately 83.9% and 82.4% of our total revenues for the six months ended September 29, 2012 and October 1, 2011, respectively.</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April 2012, we announced the planned acquisition of the business assets of Hemerus Medical, LLC , a Minnesota-based company that develops innovative technologies for the collection of whole blood and processing and storage of blood components. Under the terms of the agreement, we paid $1 million and we will pay up to $26 million contingent on certain regulatory approvals. Additionally, royalty payments on Hemerus products will apply for the next 10 years or until a maximum cumulative royalty amount of $14 million has been paid. We currently expect the Hemerus acquisition to close in the first half of fiscal 2014.</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gridSpan w:val="5"/>
          </w:tcPr>
          <w:p>
            <w:pPr>
              <w:ind w:left="620"/>
              <w:spacing w:after="0"/>
              <w:rPr>
                <w:sz w:val="20"/>
                <w:szCs w:val="20"/>
                <w:color w:val="auto"/>
              </w:rPr>
            </w:pPr>
            <w:r>
              <w:rPr>
                <w:rFonts w:ascii="Arial" w:cs="Arial" w:eastAsia="Arial" w:hAnsi="Arial"/>
                <w:sz w:val="16"/>
                <w:szCs w:val="16"/>
                <w:color w:val="auto"/>
              </w:rPr>
              <w:t>Three Months Ended</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gridSpan w:val="5"/>
          </w:tcPr>
          <w:p>
            <w:pPr>
              <w:ind w:left="700"/>
              <w:spacing w:after="0"/>
              <w:rPr>
                <w:sz w:val="20"/>
                <w:szCs w:val="20"/>
                <w:color w:val="auto"/>
              </w:rPr>
            </w:pPr>
            <w:r>
              <w:rPr>
                <w:rFonts w:ascii="Arial" w:cs="Arial" w:eastAsia="Arial" w:hAnsi="Arial"/>
                <w:sz w:val="16"/>
                <w:szCs w:val="16"/>
                <w:color w:val="auto"/>
              </w:rPr>
              <w:t>Six Months Ended</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color w:val="auto"/>
              </w:rPr>
              <w:t>September 29,</w:t>
            </w:r>
          </w:p>
        </w:tc>
        <w:tc>
          <w:tcPr>
            <w:tcW w:w="22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color w:val="auto"/>
              </w:rPr>
              <w:t>October 1,</w:t>
            </w: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 Increase/</w:t>
            </w:r>
          </w:p>
        </w:tc>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color w:val="auto"/>
              </w:rPr>
              <w:t>September 29,</w:t>
            </w:r>
          </w:p>
        </w:tc>
        <w:tc>
          <w:tcPr>
            <w:tcW w:w="22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color w:val="auto"/>
              </w:rPr>
              <w:t>October 1,</w:t>
            </w:r>
          </w:p>
        </w:tc>
        <w:tc>
          <w:tcPr>
            <w:tcW w:w="1420" w:type="dxa"/>
            <w:vAlign w:val="bottom"/>
            <w:vMerge w:val="restart"/>
          </w:tcPr>
          <w:p>
            <w:pPr>
              <w:jc w:val="right"/>
              <w:ind w:right="293"/>
              <w:spacing w:after="0"/>
              <w:rPr>
                <w:sz w:val="20"/>
                <w:szCs w:val="20"/>
                <w:color w:val="auto"/>
              </w:rPr>
            </w:pPr>
            <w:r>
              <w:rPr>
                <w:rFonts w:ascii="Arial" w:cs="Arial" w:eastAsia="Arial" w:hAnsi="Arial"/>
                <w:sz w:val="14"/>
                <w:szCs w:val="14"/>
                <w:color w:val="auto"/>
              </w:rPr>
              <w:t>% Increase/</w:t>
            </w:r>
          </w:p>
        </w:tc>
        <w:tc>
          <w:tcPr>
            <w:tcW w:w="0" w:type="dxa"/>
            <w:vAlign w:val="bottom"/>
          </w:tcPr>
          <w:p>
            <w:pPr>
              <w:spacing w:after="0"/>
              <w:rPr>
                <w:sz w:val="1"/>
                <w:szCs w:val="1"/>
                <w:color w:val="auto"/>
              </w:rPr>
            </w:pPr>
          </w:p>
        </w:tc>
      </w:tr>
      <w:tr>
        <w:trPr>
          <w:trHeight w:val="45"/>
        </w:trPr>
        <w:tc>
          <w:tcPr>
            <w:tcW w:w="2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vMerge w:val="restart"/>
          </w:tcPr>
          <w:p>
            <w:pPr>
              <w:jc w:val="right"/>
              <w:ind w:right="452"/>
              <w:spacing w:after="0"/>
              <w:rPr>
                <w:sz w:val="20"/>
                <w:szCs w:val="20"/>
                <w:color w:val="auto"/>
              </w:rPr>
            </w:pPr>
            <w:r>
              <w:rPr>
                <w:rFonts w:ascii="Arial" w:cs="Arial" w:eastAsia="Arial" w:hAnsi="Arial"/>
                <w:sz w:val="16"/>
                <w:szCs w:val="16"/>
                <w:color w:val="auto"/>
              </w:rPr>
              <w:t>2012</w:t>
            </w: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vMerge w:val="restart"/>
          </w:tcPr>
          <w:p>
            <w:pPr>
              <w:jc w:val="right"/>
              <w:ind w:right="451"/>
              <w:spacing w:after="0"/>
              <w:rPr>
                <w:sz w:val="20"/>
                <w:szCs w:val="20"/>
                <w:color w:val="auto"/>
              </w:rPr>
            </w:pPr>
            <w:r>
              <w:rPr>
                <w:rFonts w:ascii="Arial" w:cs="Arial" w:eastAsia="Arial" w:hAnsi="Arial"/>
                <w:sz w:val="16"/>
                <w:szCs w:val="16"/>
                <w:color w:val="auto"/>
              </w:rPr>
              <w:t>2011</w:t>
            </w:r>
          </w:p>
        </w:tc>
        <w:tc>
          <w:tcPr>
            <w:tcW w:w="120" w:type="dxa"/>
            <w:vAlign w:val="bottom"/>
          </w:tcPr>
          <w:p>
            <w:pPr>
              <w:spacing w:after="0"/>
              <w:rPr>
                <w:sz w:val="3"/>
                <w:szCs w:val="3"/>
                <w:color w:val="auto"/>
              </w:rPr>
            </w:pPr>
          </w:p>
        </w:tc>
        <w:tc>
          <w:tcPr>
            <w:tcW w:w="15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vMerge w:val="restart"/>
          </w:tcPr>
          <w:p>
            <w:pPr>
              <w:jc w:val="right"/>
              <w:ind w:right="472"/>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vMerge w:val="restart"/>
          </w:tcPr>
          <w:p>
            <w:pPr>
              <w:jc w:val="right"/>
              <w:ind w:right="451"/>
              <w:spacing w:after="0"/>
              <w:rPr>
                <w:sz w:val="20"/>
                <w:szCs w:val="20"/>
                <w:color w:val="auto"/>
              </w:rPr>
            </w:pPr>
            <w:r>
              <w:rPr>
                <w:rFonts w:ascii="Arial" w:cs="Arial" w:eastAsia="Arial" w:hAnsi="Arial"/>
                <w:sz w:val="16"/>
                <w:szCs w:val="16"/>
                <w:color w:val="auto"/>
              </w:rPr>
              <w:t>2011</w:t>
            </w:r>
          </w:p>
        </w:tc>
        <w:tc>
          <w:tcPr>
            <w:tcW w:w="10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(Decrease)</w:t>
            </w:r>
          </w:p>
        </w:tc>
        <w:tc>
          <w:tcPr>
            <w:tcW w:w="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250"/>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218,178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179,445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394,653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350,014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101,762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89,949</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13.1 %</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191,875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178,698</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91,861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71,383</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28.7 %</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168,894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136,223</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24.0 %</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9,901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18,566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22,981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42,475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10.3%</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12.1%</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(523.9)%</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8,590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19,011</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22,006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42,705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5,131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5,671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11,877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i w:val="1"/>
                <w:iCs w:val="1"/>
                <w:color w:val="auto"/>
              </w:rPr>
              <w:t>% of pre-tax income</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27.0%</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25.8%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27.8%</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6,547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13,880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16,335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30,828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7.7%</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8.8%</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0.54</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
        </w:trPr>
        <w:tc>
          <w:tcPr>
            <w:tcW w:w="2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revenues increased 21.6% and 12.8% for the three and six months ended September 29, 2012, respectively, as compared to the same periods of fiscal 2012. Without the effects of foreign exchange, net revenues increased 22.5% and 12.7% for the three and six months ended September 29, 2012, respectively, as compared to the same periods of fiscal 2012. This increase includes $28.6 million of sales from the recently acquired whole blood business. The remaining increase is from strong revenue growth from our plasma, surgical and diagnostics businesses. Fiscal 2012 revenue benefited from purchases by the Japan Red Cross (“JRC”) in March 2012 to avoid future supply disruptions in anticipation of an internal business system conversion, negatively impacting the three months ended June 30, 2012.</w:t>
      </w:r>
    </w:p>
    <w:p>
      <w:pPr>
        <w:spacing w:after="0" w:line="200" w:lineRule="exact"/>
        <w:rPr>
          <w:sz w:val="20"/>
          <w:szCs w:val="20"/>
          <w:color w:val="auto"/>
        </w:rPr>
      </w:pP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income decreased 46.7% and 45.9% for the three and six months ended September 29, 2012, respectively, as compared to the same periods of fiscal 2012. Without the effects of foreign exchange, operating income decreased 81.4% and 69.1% for the three and six months ended September 29, 2012, respectively, as compared to the same periods of fiscal 2012 as increased gross profits due to revenue from the acquisition of the whole blood business and other revenue growth was more than offset by higher costs of goods sold due to an $8.3 million step up in the value of acquired inventory and higher operating expenses including significant acquisition and integration costs totaling $11.5 million and $17.4 million for the three and six months ended September 29, 2012, respectively.</w:t>
      </w:r>
    </w:p>
    <w:p>
      <w:pPr>
        <w:spacing w:after="0" w:line="200" w:lineRule="exact"/>
        <w:rPr>
          <w:sz w:val="20"/>
          <w:szCs w:val="20"/>
          <w:color w:val="auto"/>
        </w:rPr>
      </w:pPr>
    </w:p>
    <w:p>
      <w:pPr>
        <w:spacing w:after="0" w:line="20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Net income decreased 52.8% and 47.0% for the three and six months ended September 29, 2012, respectively, as compared to the same periods of fiscal 2012. Without the effects of foreign exchange, net income decreased 88.6% and 70.9% for the three and six months ended September 29, 2012, respectively, as compared to the same periods of fiscal 2012. The decrease in net income was attributable to the decline in operating income described above.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19"/>
          </w:cols>
          <w:pgMar w:left="240" w:top="125" w:right="1440"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Revenues by Geography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17"/>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77"/>
              <w:spacing w:after="0"/>
              <w:rPr>
                <w:sz w:val="20"/>
                <w:szCs w:val="20"/>
                <w:color w:val="auto"/>
              </w:rPr>
            </w:pPr>
            <w:r>
              <w:rPr>
                <w:rFonts w:ascii="Arial" w:cs="Arial" w:eastAsia="Arial" w:hAnsi="Arial"/>
                <w:sz w:val="14"/>
                <w:szCs w:val="14"/>
                <w:color w:val="auto"/>
              </w:rPr>
              <w:t>Six Months Ended</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56"/>
        </w:trPr>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September 29,</w:t>
            </w:r>
          </w:p>
        </w:tc>
        <w:tc>
          <w:tcPr>
            <w:tcW w:w="240" w:type="dxa"/>
            <w:vAlign w:val="bottom"/>
          </w:tcPr>
          <w:p>
            <w:pPr>
              <w:spacing w:after="0"/>
              <w:rPr>
                <w:sz w:val="13"/>
                <w:szCs w:val="13"/>
                <w:color w:val="auto"/>
              </w:rPr>
            </w:pPr>
          </w:p>
        </w:tc>
        <w:tc>
          <w:tcPr>
            <w:tcW w:w="122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October 1,</w:t>
            </w:r>
          </w:p>
        </w:tc>
        <w:tc>
          <w:tcPr>
            <w:tcW w:w="154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1"/>
              </w:rPr>
              <w:t>% Increase/</w:t>
            </w:r>
          </w:p>
        </w:tc>
        <w:tc>
          <w:tcPr>
            <w:tcW w:w="180" w:type="dxa"/>
            <w:vAlign w:val="bottom"/>
          </w:tcPr>
          <w:p>
            <w:pPr>
              <w:spacing w:after="0"/>
              <w:rPr>
                <w:sz w:val="13"/>
                <w:szCs w:val="13"/>
                <w:color w:val="auto"/>
              </w:rPr>
            </w:pPr>
          </w:p>
        </w:tc>
        <w:tc>
          <w:tcPr>
            <w:tcW w:w="130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September 29,</w:t>
            </w:r>
          </w:p>
        </w:tc>
        <w:tc>
          <w:tcPr>
            <w:tcW w:w="240" w:type="dxa"/>
            <w:vAlign w:val="bottom"/>
          </w:tcPr>
          <w:p>
            <w:pPr>
              <w:spacing w:after="0"/>
              <w:rPr>
                <w:sz w:val="13"/>
                <w:szCs w:val="13"/>
                <w:color w:val="auto"/>
              </w:rPr>
            </w:pPr>
          </w:p>
        </w:tc>
        <w:tc>
          <w:tcPr>
            <w:tcW w:w="122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October 1,</w:t>
            </w:r>
          </w:p>
        </w:tc>
        <w:tc>
          <w:tcPr>
            <w:tcW w:w="1440" w:type="dxa"/>
            <w:vAlign w:val="bottom"/>
          </w:tcPr>
          <w:p>
            <w:pPr>
              <w:jc w:val="right"/>
              <w:ind w:right="297"/>
              <w:spacing w:after="0" w:line="157" w:lineRule="exact"/>
              <w:rPr>
                <w:sz w:val="20"/>
                <w:szCs w:val="20"/>
                <w:color w:val="auto"/>
              </w:rPr>
            </w:pPr>
            <w:r>
              <w:rPr>
                <w:rFonts w:ascii="Arial" w:cs="Arial" w:eastAsia="Arial" w:hAnsi="Arial"/>
                <w:sz w:val="14"/>
                <w:szCs w:val="14"/>
                <w:color w:val="auto"/>
              </w:rPr>
              <w:t>% Increase/</w:t>
            </w:r>
          </w:p>
        </w:tc>
      </w:tr>
      <w:tr>
        <w:trPr>
          <w:trHeight w:val="188"/>
        </w:trPr>
        <w:tc>
          <w:tcPr>
            <w:tcW w:w="25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7"/>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(Decrease)</w:t>
            </w:r>
          </w:p>
        </w:tc>
        <w:tc>
          <w:tcPr>
            <w:tcW w:w="180" w:type="dxa"/>
            <w:vAlign w:val="bottom"/>
          </w:tcPr>
          <w:p>
            <w:pPr>
              <w:spacing w:after="0"/>
              <w:rPr>
                <w:sz w:val="16"/>
                <w:szCs w:val="16"/>
                <w:color w:val="auto"/>
              </w:rPr>
            </w:pPr>
          </w:p>
        </w:tc>
        <w:tc>
          <w:tcPr>
            <w:tcW w:w="1180" w:type="dxa"/>
            <w:vAlign w:val="bottom"/>
          </w:tcPr>
          <w:p>
            <w:pPr>
              <w:jc w:val="right"/>
              <w:ind w:right="439"/>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7"/>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1440" w:type="dxa"/>
            <w:vAlign w:val="bottom"/>
          </w:tcPr>
          <w:p>
            <w:pPr>
              <w:jc w:val="right"/>
              <w:ind w:right="317"/>
              <w:spacing w:after="0"/>
              <w:rPr>
                <w:sz w:val="20"/>
                <w:szCs w:val="20"/>
                <w:color w:val="auto"/>
              </w:rPr>
            </w:pPr>
            <w:r>
              <w:rPr>
                <w:rFonts w:ascii="Arial" w:cs="Arial" w:eastAsia="Arial" w:hAnsi="Arial"/>
                <w:sz w:val="14"/>
                <w:szCs w:val="14"/>
                <w:color w:val="auto"/>
              </w:rPr>
              <w:t>(Decrease)</w:t>
            </w:r>
          </w:p>
        </w:tc>
      </w:tr>
      <w:tr>
        <w:trPr>
          <w:trHeight w:val="250"/>
        </w:trPr>
        <w:tc>
          <w:tcPr>
            <w:tcW w:w="2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113,015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86,339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200,922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172,734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105,163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93,106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193,731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177,280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2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218,178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179,445</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394,653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350,014</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0"/>
        </w:trPr>
        <w:tc>
          <w:tcPr>
            <w:tcW w:w="2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 and the Impact of Foreign Exchange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more than 80 countries around the world through a combination of our direct sales force and independent distributors and agents.</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revenues generated outside the U.S. approximated 49% and 51% of total net revenues for the six months ended September 29, 2012 and October 1, 2011, respectively. International sales are generally conducted in local currencies, primarily the Japanese Yen and the Euro. Our results of operations are impacted by changes in the value of the Yen and the Euro relative to the U.S. Dollar.</w:t>
      </w:r>
    </w:p>
    <w:p>
      <w:pPr>
        <w:spacing w:after="0" w:line="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Please see section entitled “Foreign Exchange” in this discussion for a more complete explanation of how foreign currency affects our business and our strategy for managing this exposure.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 by Product Type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694"/>
              <w:spacing w:after="0"/>
              <w:rPr>
                <w:sz w:val="20"/>
                <w:szCs w:val="20"/>
                <w:color w:val="auto"/>
              </w:rPr>
            </w:pPr>
            <w:r>
              <w:rPr>
                <w:rFonts w:ascii="Arial" w:cs="Arial" w:eastAsia="Arial" w:hAnsi="Arial"/>
                <w:sz w:val="14"/>
                <w:szCs w:val="14"/>
                <w:color w:val="auto"/>
              </w:rPr>
              <w:t>Three Months Ended</w:t>
            </w:r>
          </w:p>
        </w:tc>
        <w:tc>
          <w:tcPr>
            <w:tcW w:w="10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color w:val="auto"/>
              </w:rPr>
              <w:t>Six Months Ended</w:t>
            </w: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56"/>
        </w:trPr>
        <w:tc>
          <w:tcPr>
            <w:tcW w:w="2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3"/>
          </w:tcPr>
          <w:p>
            <w:pPr>
              <w:spacing w:after="0" w:line="157" w:lineRule="exact"/>
              <w:rPr>
                <w:sz w:val="20"/>
                <w:szCs w:val="20"/>
                <w:color w:val="auto"/>
              </w:rPr>
            </w:pPr>
            <w:r>
              <w:rPr>
                <w:rFonts w:ascii="Arial" w:cs="Arial" w:eastAsia="Arial" w:hAnsi="Arial"/>
                <w:sz w:val="14"/>
                <w:szCs w:val="14"/>
                <w:color w:val="auto"/>
              </w:rPr>
              <w:t>September 29,</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3"/>
          </w:tcPr>
          <w:p>
            <w:pPr>
              <w:ind w:left="100"/>
              <w:spacing w:after="0" w:line="157" w:lineRule="exact"/>
              <w:rPr>
                <w:sz w:val="20"/>
                <w:szCs w:val="20"/>
                <w:color w:val="auto"/>
              </w:rPr>
            </w:pPr>
            <w:r>
              <w:rPr>
                <w:rFonts w:ascii="Arial" w:cs="Arial" w:eastAsia="Arial" w:hAnsi="Arial"/>
                <w:sz w:val="14"/>
                <w:szCs w:val="14"/>
                <w:color w:val="auto"/>
              </w:rPr>
              <w:t>October 1,</w:t>
            </w:r>
          </w:p>
        </w:tc>
        <w:tc>
          <w:tcPr>
            <w:tcW w:w="40" w:type="dxa"/>
            <w:vAlign w:val="bottom"/>
          </w:tcPr>
          <w:p>
            <w:pPr>
              <w:spacing w:after="0"/>
              <w:rPr>
                <w:sz w:val="13"/>
                <w:szCs w:val="13"/>
                <w:color w:val="auto"/>
              </w:rPr>
            </w:pPr>
          </w:p>
        </w:tc>
        <w:tc>
          <w:tcPr>
            <w:tcW w:w="1540" w:type="dxa"/>
            <w:vAlign w:val="bottom"/>
            <w:gridSpan w:val="2"/>
          </w:tcPr>
          <w:p>
            <w:pPr>
              <w:jc w:val="center"/>
              <w:ind w:right="140"/>
              <w:spacing w:after="0" w:line="157" w:lineRule="exact"/>
              <w:rPr>
                <w:sz w:val="20"/>
                <w:szCs w:val="20"/>
                <w:color w:val="auto"/>
              </w:rPr>
            </w:pPr>
            <w:r>
              <w:rPr>
                <w:rFonts w:ascii="Arial" w:cs="Arial" w:eastAsia="Arial" w:hAnsi="Arial"/>
                <w:sz w:val="14"/>
                <w:szCs w:val="14"/>
                <w:color w:val="auto"/>
                <w:w w:val="91"/>
              </w:rPr>
              <w:t>% Increase/</w:t>
            </w:r>
          </w:p>
        </w:tc>
        <w:tc>
          <w:tcPr>
            <w:tcW w:w="180" w:type="dxa"/>
            <w:vAlign w:val="bottom"/>
          </w:tcPr>
          <w:p>
            <w:pPr>
              <w:spacing w:after="0"/>
              <w:rPr>
                <w:sz w:val="13"/>
                <w:szCs w:val="13"/>
                <w:color w:val="auto"/>
              </w:rPr>
            </w:pPr>
          </w:p>
        </w:tc>
        <w:tc>
          <w:tcPr>
            <w:tcW w:w="128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September 29,</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tcPr>
          <w:p>
            <w:pPr>
              <w:ind w:left="120"/>
              <w:spacing w:after="0" w:line="157" w:lineRule="exact"/>
              <w:rPr>
                <w:sz w:val="20"/>
                <w:szCs w:val="20"/>
                <w:color w:val="auto"/>
              </w:rPr>
            </w:pPr>
            <w:r>
              <w:rPr>
                <w:rFonts w:ascii="Arial" w:cs="Arial" w:eastAsia="Arial" w:hAnsi="Arial"/>
                <w:sz w:val="14"/>
                <w:szCs w:val="14"/>
                <w:color w:val="auto"/>
              </w:rPr>
              <w:t>October 1,</w:t>
            </w:r>
          </w:p>
        </w:tc>
        <w:tc>
          <w:tcPr>
            <w:tcW w:w="20" w:type="dxa"/>
            <w:vAlign w:val="bottom"/>
          </w:tcPr>
          <w:p>
            <w:pPr>
              <w:spacing w:after="0"/>
              <w:rPr>
                <w:sz w:val="13"/>
                <w:szCs w:val="13"/>
                <w:color w:val="auto"/>
              </w:rPr>
            </w:pPr>
          </w:p>
        </w:tc>
        <w:tc>
          <w:tcPr>
            <w:tcW w:w="1440" w:type="dxa"/>
            <w:vAlign w:val="bottom"/>
          </w:tcPr>
          <w:p>
            <w:pPr>
              <w:jc w:val="center"/>
              <w:spacing w:after="0" w:line="157" w:lineRule="exact"/>
              <w:rPr>
                <w:sz w:val="20"/>
                <w:szCs w:val="20"/>
                <w:color w:val="auto"/>
              </w:rPr>
            </w:pPr>
            <w:r>
              <w:rPr>
                <w:rFonts w:ascii="Arial" w:cs="Arial" w:eastAsia="Arial" w:hAnsi="Arial"/>
                <w:sz w:val="14"/>
                <w:szCs w:val="14"/>
                <w:color w:val="auto"/>
                <w:w w:val="89"/>
              </w:rPr>
              <w:t>% Increase/</w:t>
            </w:r>
          </w:p>
        </w:tc>
      </w:tr>
      <w:tr>
        <w:trPr>
          <w:trHeight w:val="188"/>
        </w:trPr>
        <w:tc>
          <w:tcPr>
            <w:tcW w:w="25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color w:val="auto"/>
                <w:w w:val="89"/>
              </w:rPr>
              <w:t>2012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74"/>
              <w:spacing w:after="0"/>
              <w:rPr>
                <w:sz w:val="20"/>
                <w:szCs w:val="20"/>
                <w:color w:val="auto"/>
              </w:rPr>
            </w:pPr>
            <w:r>
              <w:rPr>
                <w:rFonts w:ascii="Arial" w:cs="Arial" w:eastAsia="Arial" w:hAnsi="Arial"/>
                <w:sz w:val="14"/>
                <w:szCs w:val="14"/>
                <w:color w:val="auto"/>
                <w:w w:val="89"/>
              </w:rPr>
              <w:t>2011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(Decrease)</w:t>
            </w:r>
          </w:p>
        </w:tc>
        <w:tc>
          <w:tcPr>
            <w:tcW w:w="180" w:type="dxa"/>
            <w:vAlign w:val="bottom"/>
          </w:tcPr>
          <w:p>
            <w:pPr>
              <w:spacing w:after="0"/>
              <w:rPr>
                <w:sz w:val="16"/>
                <w:szCs w:val="16"/>
                <w:color w:val="auto"/>
              </w:rPr>
            </w:pPr>
          </w:p>
        </w:tc>
        <w:tc>
          <w:tcPr>
            <w:tcW w:w="1180" w:type="dxa"/>
            <w:vAlign w:val="bottom"/>
          </w:tcPr>
          <w:p>
            <w:pPr>
              <w:jc w:val="right"/>
              <w:ind w:right="455"/>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454"/>
              <w:spacing w:after="0"/>
              <w:rPr>
                <w:sz w:val="20"/>
                <w:szCs w:val="20"/>
                <w:color w:val="auto"/>
              </w:rPr>
            </w:pPr>
            <w:r>
              <w:rPr>
                <w:rFonts w:ascii="Arial" w:cs="Arial" w:eastAsia="Arial" w:hAnsi="Arial"/>
                <w:sz w:val="14"/>
                <w:szCs w:val="14"/>
                <w:color w:val="auto"/>
              </w:rPr>
              <w:t>2011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9"/>
              </w:rPr>
              <w:t>(Decrease)</w:t>
            </w:r>
          </w:p>
        </w:tc>
      </w:tr>
      <w:tr>
        <w:trPr>
          <w:trHeight w:val="250"/>
        </w:trPr>
        <w:tc>
          <w:tcPr>
            <w:tcW w:w="2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Disposables</w:t>
            </w:r>
          </w:p>
        </w:tc>
        <w:tc>
          <w:tcPr>
            <w:tcW w:w="220" w:type="dxa"/>
            <w:vAlign w:val="bottom"/>
            <w:tcBorders>
              <w:top w:val="single" w:sz="8" w:color="auto"/>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185,799</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147,408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331,287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288,456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14.8 %</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Software solutions</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18,043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17,199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35,347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35,359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2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&amp; other</w:t>
            </w: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14,336</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14,838</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28,019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26,199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57"/>
        </w:trPr>
        <w:tc>
          <w:tcPr>
            <w:tcW w:w="254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218,178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179,445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21.6 %</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394,653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350,014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12.8 %</w:t>
            </w:r>
          </w:p>
        </w:tc>
      </w:tr>
      <w:tr>
        <w:trPr>
          <w:trHeight w:val="20"/>
        </w:trPr>
        <w:tc>
          <w:tcPr>
            <w:tcW w:w="2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71"/>
        </w:trPr>
        <w:tc>
          <w:tcPr>
            <w:tcW w:w="2780" w:type="dxa"/>
            <w:vAlign w:val="bottom"/>
            <w:gridSpan w:val="4"/>
          </w:tcPr>
          <w:p>
            <w:pPr>
              <w:spacing w:after="0"/>
              <w:rPr>
                <w:sz w:val="20"/>
                <w:szCs w:val="20"/>
                <w:color w:val="auto"/>
              </w:rPr>
            </w:pPr>
            <w:r>
              <w:rPr>
                <w:rFonts w:ascii="Arial" w:cs="Arial" w:eastAsia="Arial" w:hAnsi="Arial"/>
                <w:sz w:val="18"/>
                <w:szCs w:val="18"/>
                <w:i w:val="1"/>
                <w:iCs w:val="1"/>
                <w:color w:val="auto"/>
                <w:w w:val="88"/>
              </w:rPr>
              <w:t>Disposable Revenues by Product Type</w:t>
            </w: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420"/>
        </w:trPr>
        <w:tc>
          <w:tcPr>
            <w:tcW w:w="25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ind w:left="620"/>
              <w:spacing w:after="0"/>
              <w:rPr>
                <w:sz w:val="20"/>
                <w:szCs w:val="20"/>
                <w:color w:val="auto"/>
              </w:rPr>
            </w:pPr>
            <w:r>
              <w:rPr>
                <w:rFonts w:ascii="Arial" w:cs="Arial" w:eastAsia="Arial" w:hAnsi="Arial"/>
                <w:sz w:val="14"/>
                <w:szCs w:val="14"/>
                <w:color w:val="auto"/>
              </w:rPr>
              <w:t>Three Months Ended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color w:val="auto"/>
              </w:rPr>
              <w:t>Six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56"/>
        </w:trPr>
        <w:tc>
          <w:tcPr>
            <w:tcW w:w="2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3"/>
          </w:tcPr>
          <w:p>
            <w:pPr>
              <w:jc w:val="center"/>
              <w:ind w:right="300"/>
              <w:spacing w:after="0" w:line="157" w:lineRule="exact"/>
              <w:rPr>
                <w:sz w:val="20"/>
                <w:szCs w:val="20"/>
                <w:color w:val="auto"/>
              </w:rPr>
            </w:pPr>
            <w:r>
              <w:rPr>
                <w:rFonts w:ascii="Arial" w:cs="Arial" w:eastAsia="Arial" w:hAnsi="Arial"/>
                <w:sz w:val="14"/>
                <w:szCs w:val="14"/>
                <w:color w:val="auto"/>
                <w:w w:val="91"/>
              </w:rPr>
              <w:t>September 29,</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3"/>
          </w:tcPr>
          <w:p>
            <w:pPr>
              <w:jc w:val="center"/>
              <w:ind w:right="320"/>
              <w:spacing w:after="0" w:line="157" w:lineRule="exact"/>
              <w:rPr>
                <w:sz w:val="20"/>
                <w:szCs w:val="20"/>
                <w:color w:val="auto"/>
              </w:rPr>
            </w:pPr>
            <w:r>
              <w:rPr>
                <w:rFonts w:ascii="Arial" w:cs="Arial" w:eastAsia="Arial" w:hAnsi="Arial"/>
                <w:sz w:val="14"/>
                <w:szCs w:val="14"/>
                <w:color w:val="auto"/>
                <w:w w:val="91"/>
              </w:rPr>
              <w:t>October 1,</w:t>
            </w:r>
          </w:p>
        </w:tc>
        <w:tc>
          <w:tcPr>
            <w:tcW w:w="40" w:type="dxa"/>
            <w:vAlign w:val="bottom"/>
          </w:tcPr>
          <w:p>
            <w:pPr>
              <w:spacing w:after="0"/>
              <w:rPr>
                <w:sz w:val="13"/>
                <w:szCs w:val="13"/>
                <w:color w:val="auto"/>
              </w:rPr>
            </w:pPr>
          </w:p>
        </w:tc>
        <w:tc>
          <w:tcPr>
            <w:tcW w:w="154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1"/>
              </w:rPr>
              <w:t>% Increase/</w:t>
            </w:r>
          </w:p>
        </w:tc>
        <w:tc>
          <w:tcPr>
            <w:tcW w:w="180" w:type="dxa"/>
            <w:vAlign w:val="bottom"/>
          </w:tcPr>
          <w:p>
            <w:pPr>
              <w:spacing w:after="0"/>
              <w:rPr>
                <w:sz w:val="13"/>
                <w:szCs w:val="13"/>
                <w:color w:val="auto"/>
              </w:rPr>
            </w:pPr>
          </w:p>
        </w:tc>
        <w:tc>
          <w:tcPr>
            <w:tcW w:w="128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September 29,</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tcPr>
          <w:p>
            <w:pPr>
              <w:ind w:left="140"/>
              <w:spacing w:after="0" w:line="157" w:lineRule="exact"/>
              <w:rPr>
                <w:sz w:val="20"/>
                <w:szCs w:val="20"/>
                <w:color w:val="auto"/>
              </w:rPr>
            </w:pPr>
            <w:r>
              <w:rPr>
                <w:rFonts w:ascii="Arial" w:cs="Arial" w:eastAsia="Arial" w:hAnsi="Arial"/>
                <w:sz w:val="14"/>
                <w:szCs w:val="14"/>
                <w:color w:val="auto"/>
              </w:rPr>
              <w:t>October 1,</w:t>
            </w:r>
          </w:p>
        </w:tc>
        <w:tc>
          <w:tcPr>
            <w:tcW w:w="20" w:type="dxa"/>
            <w:vAlign w:val="bottom"/>
          </w:tcPr>
          <w:p>
            <w:pPr>
              <w:spacing w:after="0"/>
              <w:rPr>
                <w:sz w:val="13"/>
                <w:szCs w:val="13"/>
                <w:color w:val="auto"/>
              </w:rPr>
            </w:pPr>
          </w:p>
        </w:tc>
        <w:tc>
          <w:tcPr>
            <w:tcW w:w="1440" w:type="dxa"/>
            <w:vAlign w:val="bottom"/>
          </w:tcPr>
          <w:p>
            <w:pPr>
              <w:jc w:val="center"/>
              <w:spacing w:after="0" w:line="157" w:lineRule="exact"/>
              <w:rPr>
                <w:sz w:val="20"/>
                <w:szCs w:val="20"/>
                <w:color w:val="auto"/>
              </w:rPr>
            </w:pPr>
            <w:r>
              <w:rPr>
                <w:rFonts w:ascii="Arial" w:cs="Arial" w:eastAsia="Arial" w:hAnsi="Arial"/>
                <w:sz w:val="14"/>
                <w:szCs w:val="14"/>
                <w:color w:val="auto"/>
                <w:w w:val="91"/>
              </w:rPr>
              <w:t>% Increase/</w:t>
            </w:r>
          </w:p>
        </w:tc>
      </w:tr>
      <w:tr>
        <w:trPr>
          <w:trHeight w:val="188"/>
        </w:trPr>
        <w:tc>
          <w:tcPr>
            <w:tcW w:w="25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color w:val="auto"/>
                <w:w w:val="89"/>
              </w:rPr>
              <w:t>2012</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color w:val="auto"/>
                <w:w w:val="89"/>
              </w:rPr>
              <w:t>2011</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(Decrease)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2011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w:t>
            </w:r>
          </w:p>
        </w:tc>
      </w:tr>
      <w:tr>
        <w:trPr>
          <w:trHeight w:val="27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Plasma disposables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68,677</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64,408</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132,555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127,168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7"/>
        </w:trPr>
        <w:tc>
          <w:tcPr>
            <w:tcW w:w="2540" w:type="dxa"/>
            <w:vAlign w:val="bottom"/>
          </w:tcPr>
          <w:p>
            <w:pPr>
              <w:ind w:left="40"/>
              <w:spacing w:after="0"/>
              <w:rPr>
                <w:sz w:val="20"/>
                <w:szCs w:val="20"/>
                <w:color w:val="auto"/>
              </w:rPr>
            </w:pPr>
            <w:r>
              <w:rPr>
                <w:rFonts w:ascii="Arial" w:cs="Arial" w:eastAsia="Arial" w:hAnsi="Arial"/>
                <w:sz w:val="18"/>
                <w:szCs w:val="18"/>
                <w:color w:val="auto"/>
              </w:rPr>
              <w:t>Blood center disposables</w:t>
            </w: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2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Platelet</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43,198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42,195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80,440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79,504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2540" w:type="dxa"/>
            <w:vAlign w:val="bottom"/>
          </w:tcPr>
          <w:p>
            <w:pPr>
              <w:ind w:left="180"/>
              <w:spacing w:after="0"/>
              <w:rPr>
                <w:sz w:val="20"/>
                <w:szCs w:val="20"/>
                <w:color w:val="auto"/>
              </w:rPr>
            </w:pPr>
            <w:r>
              <w:rPr>
                <w:rFonts w:ascii="Arial" w:cs="Arial" w:eastAsia="Arial" w:hAnsi="Arial"/>
                <w:sz w:val="18"/>
                <w:szCs w:val="18"/>
                <w:color w:val="auto"/>
              </w:rPr>
              <w:t>Red cell</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11,918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11,645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23,986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2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2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Whole blood</w:t>
            </w: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28,620</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28,620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r>
      <w:tr>
        <w:trPr>
          <w:trHeight w:val="237"/>
        </w:trPr>
        <w:tc>
          <w:tcPr>
            <w:tcW w:w="2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83,736</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53,840</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133,046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103,018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29.1%</w:t>
            </w:r>
          </w:p>
        </w:tc>
      </w:tr>
      <w:tr>
        <w:trPr>
          <w:trHeight w:val="27"/>
        </w:trPr>
        <w:tc>
          <w:tcPr>
            <w:tcW w:w="25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Hospital disposables</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2540" w:type="dxa"/>
            <w:vAlign w:val="bottom"/>
          </w:tcPr>
          <w:p>
            <w:pPr>
              <w:ind w:left="180"/>
              <w:spacing w:after="0"/>
              <w:rPr>
                <w:sz w:val="20"/>
                <w:szCs w:val="20"/>
                <w:color w:val="auto"/>
              </w:rPr>
            </w:pPr>
            <w:r>
              <w:rPr>
                <w:rFonts w:ascii="Arial" w:cs="Arial" w:eastAsia="Arial" w:hAnsi="Arial"/>
                <w:sz w:val="18"/>
                <w:szCs w:val="18"/>
                <w:color w:val="auto"/>
              </w:rPr>
              <w:t>Surgical</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18,804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16,206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37,064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31,948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2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OrthoPAT</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15,186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2540" w:type="dxa"/>
            <w:vAlign w:val="bottom"/>
          </w:tcPr>
          <w:p>
            <w:pPr>
              <w:ind w:left="180"/>
              <w:spacing w:after="0"/>
              <w:rPr>
                <w:sz w:val="20"/>
                <w:szCs w:val="20"/>
                <w:color w:val="auto"/>
              </w:rPr>
            </w:pPr>
            <w:r>
              <w:rPr>
                <w:rFonts w:ascii="Arial" w:cs="Arial" w:eastAsia="Arial" w:hAnsi="Arial"/>
                <w:sz w:val="18"/>
                <w:szCs w:val="18"/>
                <w:color w:val="auto"/>
              </w:rPr>
              <w:t>Diagnostics</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6,937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5,659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13,436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19.2%</w:t>
            </w:r>
          </w:p>
        </w:tc>
      </w:tr>
      <w:tr>
        <w:trPr>
          <w:trHeight w:val="27"/>
        </w:trPr>
        <w:tc>
          <w:tcPr>
            <w:tcW w:w="25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64"/>
        </w:trPr>
        <w:tc>
          <w:tcPr>
            <w:tcW w:w="25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33,386</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29,160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65,686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58,270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57"/>
        </w:trPr>
        <w:tc>
          <w:tcPr>
            <w:tcW w:w="2540" w:type="dxa"/>
            <w:vAlign w:val="bottom"/>
          </w:tcPr>
          <w:p>
            <w:pPr>
              <w:ind w:left="40"/>
              <w:spacing w:after="0"/>
              <w:rPr>
                <w:sz w:val="20"/>
                <w:szCs w:val="20"/>
                <w:color w:val="auto"/>
              </w:rPr>
            </w:pPr>
            <w:r>
              <w:rPr>
                <w:rFonts w:ascii="Arial" w:cs="Arial" w:eastAsia="Arial" w:hAnsi="Arial"/>
                <w:sz w:val="18"/>
                <w:szCs w:val="18"/>
                <w:color w:val="auto"/>
              </w:rPr>
              <w:t>Total disposables revenue</w:t>
            </w:r>
          </w:p>
        </w:tc>
        <w:tc>
          <w:tcPr>
            <w:tcW w:w="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185,799</w:t>
            </w:r>
          </w:p>
        </w:tc>
        <w:tc>
          <w:tcPr>
            <w:tcW w:w="4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147,408</w:t>
            </w:r>
          </w:p>
        </w:tc>
        <w:tc>
          <w:tcPr>
            <w:tcW w:w="4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331,287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288,456</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Disposables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Disposables revenue increased 26.0% and 14.8% for the three and six months ended September 29, 2012, respectively, as compared to the same periods of fiscal 2012. Without the effect of foreign exchange, disposables revenue increased 27.1% and 14.7% for the three and six months ended September 29, 2012, respectively, as compared to the same periods of fiscal 2012,</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160"/>
        <w:spacing w:after="0" w:line="375" w:lineRule="auto"/>
        <w:rPr>
          <w:sz w:val="20"/>
          <w:szCs w:val="20"/>
          <w:color w:val="auto"/>
        </w:rPr>
      </w:pPr>
      <w:r>
        <w:rPr>
          <w:rFonts w:ascii="Arial" w:cs="Arial" w:eastAsia="Arial" w:hAnsi="Arial"/>
          <w:sz w:val="18"/>
          <w:szCs w:val="18"/>
          <w:color w:val="auto"/>
        </w:rPr>
        <w:t xml:space="preserve">driven primarily by $28.6 million of sales from the whole blood business and growth in our plasma, surgical and diagnostics businesses as discussed below. </w:t>
      </w:r>
      <w:r>
        <w:rPr>
          <w:rFonts w:ascii="Arial" w:cs="Arial" w:eastAsia="Arial" w:hAnsi="Arial"/>
          <w:sz w:val="18"/>
          <w:szCs w:val="18"/>
          <w:i w:val="1"/>
          <w:iCs w:val="1"/>
          <w:u w:val="single" w:color="auto"/>
          <w:color w:val="auto"/>
        </w:rPr>
        <w:t>Plasma</w:t>
      </w:r>
    </w:p>
    <w:p>
      <w:pPr>
        <w:spacing w:after="0" w:line="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Plasma disposables revenue increased 6.6% and 4.2% for the three and six months ended September 29, 2012, respectively, as compared to the same periods of fiscal 2012. Without the effect of foreign exchange, plasma revenue increased 6.8% and 4.3% for the three and six months ended September 29, 2012, respectively, as compared to the same periods of fiscal 2012, primarily due to higher revenue from commercial fractionation customers in North America, where increased collections more than offset price reductions included in contract renewals completed in fiscal 2012.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Blood Center</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Blood center consists of disposables used to collect blood components platelets and red cells and now whole blood. Platelet disposables revenue increased 2.4% and 1.2% for the three and six months ended September 29, 2012, respectively, as compared to the same periods of fiscal 2012. Without the effect of foreign exchange, platelet disposable revenue increased 1.3% and decreased 0.5% for the three and six months ended September 29, 2012, respectively, as compared to the same periods of fiscal 2012. We experienced strong growth in emerging markets offset by declines in mature markets. Revenue in Japan was lower for the three months ended September 29, 2012 due to benefits from quality issues experienced with a competitor's device in the prior year, and for the six months ended September 29, 2012 due to the negative impact of the JRC ordering pattern described in the Financial Summary above.</w:t>
      </w:r>
    </w:p>
    <w:p>
      <w:pPr>
        <w:spacing w:after="0" w:line="3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Red cell disposables revenue increased 2.3% and 2.0% for the three and six months ended September 29, 2012, respectively, as compared to the same periods of fiscal 2012. Without the effect of foreign exchange, red cell disposables revenue increased 3.0% and 2.3% for the three and six months ended September 29, 2012, respectively, as compared to the same periods of fiscal 2012, due to increased account penetration at existing customers for red cells products in North America.</w:t>
      </w:r>
    </w:p>
    <w:p>
      <w:pPr>
        <w:spacing w:after="0" w:line="18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Whole blood disposables revenue was $28.6 million for the three and six months ended September 29, 2012, representing seven weeks of sales of products from the Pall acquisition of August 1, 2012. Revenue from the whole blood business for fiscal 2013 is expected to be $135-to-$145 million.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Hospital</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Hospital consists of Surgical, OrthoPAT, and Diagnostics products. Surgical disposables revenue consists principally of the Cell Saver and CardioPAT products. Revenues from our surgical disposables increased 16.0% for both the three and six months ended September 29, 2012, respectively, as compared to the same periods of fiscal 2012. Without the effect of foreign exchange, surgical disposables revenue increased 13.5% and 13.2% for the three and six months ended September 29, 2012, respectively, as compared to the same periods of fiscal 2012, due to higher sales in North America, Europe and Japan associated with the positive impact of the Cell Saver Elite product launch, our next generation surgical device released during fiscal 2012. Surgical revenue also benefited from limited product availability from our primary competitor for the six months ended September 29, 2012 due to supply chain disruption associated with a natural disaster in Europe. Although product availability was recently restored for the competitive product, we expect surgical disposable revenue to continue to grow over the balance of fiscal 2013 based on the level of account penetration with Cell Saver Elite across the markets we serve.</w:t>
      </w:r>
    </w:p>
    <w:p>
      <w:pPr>
        <w:spacing w:after="0" w:line="38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Revenues from our OrthoPAT disposables increased 4.8% and 0.9% for the three and six months ended September 29, 2012, respectively, as compared to the same periods of fiscal 2012. Without the effect of foreign exchange, OrthoPAT disposables revenue increased by 3.9% and decreased 0.6% for the three and six months ended September 29, 2012, respectively, as compared to the same periods of fiscal 2012. Sales volumes have started to grow following declines in fiscal 2012 associated with the voluntary recall of our OrthoPAT devices initiated during the three months ended July 2, 2011</w:t>
      </w:r>
    </w:p>
    <w:p>
      <w:pPr>
        <w:spacing w:after="0" w:line="4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Diagnostics product revenue consists principally of the consumable reagents used with the TEG analyzer. Revenues from our diagnostics products increased 22.6% and 19.2% for the three and six months ended September 29, 2012, respectively, as compared to the same periods of fiscal 2012. Without the effect of foreign exchange, diagnostics product revenues increased 18.1% and 14.3% for the three and six months ended September 29, 2012, respectively, as compared to the same periods of fiscal 2012. The revenue increase is due to continued adoption of our TEG analyzer globally, principally in North America and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5" w:right="27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Solutions</w:t>
      </w:r>
    </w:p>
    <w:p>
      <w:pPr>
        <w:spacing w:after="0" w:line="121"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Our software solutions revenues include sales of our information technology software platforms and consulting services. Software revenues increased 4.9% and remained flat at 0.0% for the three and six months ended September 29, 2012, respectively, as compared to the same periods of fiscal 2012. Without the effect of foreign exchange, software revenues increased 7.3% and 1.7% for the three and six months ended September 29, 2012, respectively, as compared to the same period of fiscal 2012. The increases were primarily due to hospital software sales and installed base growth in North America.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&amp; Other</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equipment and other revenues include revenue from equipment sales, repairs performed under preventive maintenance contracts or emergency service visits, spare part sales, and various service and training programs. These revenues are primarily composed of equipment sales, which tend to vary from period-to-period more than our disposable business due to the timing of order patterns, particularly in our distribution markets. Equipment and other revenues decreased (3.4)% and increased 6.9% for the three and six months ended September 29, 2012, respectively, as compared to the same periods of fiscal 2012. Without the effect of foreign exchange, equipment and other revenues decreased 3.4% and increased 7.2% for the three and six months ended September 29, 2012, respectively, as compared to the same periods of fiscal 2012. Year to date growth is primarily due to higher surgical and TEG equipment sales, particularly in emerging markets. The decline in revenue for the three months ended September 29, 2012 is due primarily to the timing of key awards in our distribution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4"/>
                <w:szCs w:val="14"/>
                <w:color w:val="auto"/>
              </w:rPr>
              <w:t>Six Months Ended</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56"/>
        </w:trPr>
        <w:tc>
          <w:tcPr>
            <w:tcW w:w="2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September 29,</w:t>
            </w:r>
          </w:p>
        </w:tc>
        <w:tc>
          <w:tcPr>
            <w:tcW w:w="260" w:type="dxa"/>
            <w:vAlign w:val="bottom"/>
          </w:tcPr>
          <w:p>
            <w:pPr>
              <w:spacing w:after="0"/>
              <w:rPr>
                <w:sz w:val="13"/>
                <w:szCs w:val="13"/>
                <w:color w:val="auto"/>
              </w:rPr>
            </w:pPr>
          </w:p>
        </w:tc>
        <w:tc>
          <w:tcPr>
            <w:tcW w:w="126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October 1,</w:t>
            </w:r>
          </w:p>
        </w:tc>
        <w:tc>
          <w:tcPr>
            <w:tcW w:w="1680" w:type="dxa"/>
            <w:vAlign w:val="bottom"/>
            <w:gridSpan w:val="3"/>
          </w:tcPr>
          <w:p>
            <w:pPr>
              <w:jc w:val="center"/>
              <w:ind w:right="280"/>
              <w:spacing w:after="0" w:line="157" w:lineRule="exact"/>
              <w:rPr>
                <w:sz w:val="20"/>
                <w:szCs w:val="20"/>
                <w:color w:val="auto"/>
              </w:rPr>
            </w:pPr>
            <w:r>
              <w:rPr>
                <w:rFonts w:ascii="Arial" w:cs="Arial" w:eastAsia="Arial" w:hAnsi="Arial"/>
                <w:sz w:val="14"/>
                <w:szCs w:val="14"/>
                <w:color w:val="auto"/>
                <w:w w:val="91"/>
              </w:rPr>
              <w:t>% Increase/</w:t>
            </w:r>
          </w:p>
        </w:tc>
        <w:tc>
          <w:tcPr>
            <w:tcW w:w="132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September 29,</w:t>
            </w:r>
          </w:p>
        </w:tc>
        <w:tc>
          <w:tcPr>
            <w:tcW w:w="260" w:type="dxa"/>
            <w:vAlign w:val="bottom"/>
          </w:tcPr>
          <w:p>
            <w:pPr>
              <w:spacing w:after="0"/>
              <w:rPr>
                <w:sz w:val="13"/>
                <w:szCs w:val="13"/>
                <w:color w:val="auto"/>
              </w:rPr>
            </w:pPr>
          </w:p>
        </w:tc>
        <w:tc>
          <w:tcPr>
            <w:tcW w:w="126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October 1,</w:t>
            </w:r>
          </w:p>
        </w:tc>
        <w:tc>
          <w:tcPr>
            <w:tcW w:w="1400" w:type="dxa"/>
            <w:vAlign w:val="bottom"/>
          </w:tcPr>
          <w:p>
            <w:pPr>
              <w:jc w:val="center"/>
              <w:spacing w:after="0" w:line="157" w:lineRule="exact"/>
              <w:rPr>
                <w:sz w:val="20"/>
                <w:szCs w:val="20"/>
                <w:color w:val="auto"/>
              </w:rPr>
            </w:pPr>
            <w:r>
              <w:rPr>
                <w:rFonts w:ascii="Arial" w:cs="Arial" w:eastAsia="Arial" w:hAnsi="Arial"/>
                <w:sz w:val="14"/>
                <w:szCs w:val="14"/>
                <w:color w:val="auto"/>
                <w:w w:val="91"/>
              </w:rPr>
              <w:t>% Increase/</w:t>
            </w:r>
          </w:p>
        </w:tc>
      </w:tr>
      <w:tr>
        <w:trPr>
          <w:trHeight w:val="188"/>
        </w:trPr>
        <w:tc>
          <w:tcPr>
            <w:tcW w:w="24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w:t>
            </w: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101,762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89,949</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  $</w:t>
            </w:r>
          </w:p>
        </w:tc>
        <w:tc>
          <w:tcPr>
            <w:tcW w:w="12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191,875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178,698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246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bl>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Gross profit amounts increased 13.1% and 7.4% for the three and six months ended September 29, 2012, respectively, as compared to the same periods of fiscal 2012. Without the effect of foreign exchange, gross profit increased 10.5% and 4.5% for the three and six months ended September 29, 2012, respectively, as compared to the same periods of fiscal 2012. Our gross profit margin decreased by (350) basis points and (250) basis points for the three and six month periods ending September 29, 2012, respectively, as compared to the same periods of fiscal 2012.</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decrease in gross profit margin for the three and six months ended September 29, 2012 includes approximately $8.3 million of costs of goods sold related to the increase in fair value of whole blood inventory acquired from Pall. These amounts will not have a continuing impact on gross margin following sell through of remaining acquired inventory during the three months ending December 31, 2012. The decrease in gross profit margin also included the mix impact of disposable sales, as whole blood gross margins are lower than average gross margins for our complete product line.</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decline in gross margin was partially offset by reduced equipment depreciation expense as a result of a change in estimated useful lives implemented during the three months ended June 30, 2012. The effect of this change in estimate will reduce fiscal year 2013 depreciation expense by approximately $4.5 million and increase income net of tax by approximately $3.3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color w:val="auto"/>
              </w:rPr>
              <w:t>Six Months Ended</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56"/>
        </w:trPr>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September 29,</w:t>
            </w:r>
          </w:p>
        </w:tc>
        <w:tc>
          <w:tcPr>
            <w:tcW w:w="240" w:type="dxa"/>
            <w:vAlign w:val="bottom"/>
          </w:tcPr>
          <w:p>
            <w:pPr>
              <w:spacing w:after="0"/>
              <w:rPr>
                <w:sz w:val="13"/>
                <w:szCs w:val="13"/>
                <w:color w:val="auto"/>
              </w:rPr>
            </w:pPr>
          </w:p>
        </w:tc>
        <w:tc>
          <w:tcPr>
            <w:tcW w:w="130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October 1,</w:t>
            </w:r>
          </w:p>
        </w:tc>
        <w:tc>
          <w:tcPr>
            <w:tcW w:w="146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1"/>
              </w:rPr>
              <w:t>% Increase/</w:t>
            </w:r>
          </w:p>
        </w:tc>
        <w:tc>
          <w:tcPr>
            <w:tcW w:w="200" w:type="dxa"/>
            <w:vAlign w:val="bottom"/>
          </w:tcPr>
          <w:p>
            <w:pPr>
              <w:spacing w:after="0"/>
              <w:rPr>
                <w:sz w:val="13"/>
                <w:szCs w:val="13"/>
                <w:color w:val="auto"/>
              </w:rPr>
            </w:pPr>
          </w:p>
        </w:tc>
        <w:tc>
          <w:tcPr>
            <w:tcW w:w="130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December 31,</w:t>
            </w:r>
          </w:p>
        </w:tc>
        <w:tc>
          <w:tcPr>
            <w:tcW w:w="260" w:type="dxa"/>
            <w:vAlign w:val="bottom"/>
          </w:tcPr>
          <w:p>
            <w:pPr>
              <w:spacing w:after="0"/>
              <w:rPr>
                <w:sz w:val="13"/>
                <w:szCs w:val="13"/>
                <w:color w:val="auto"/>
              </w:rPr>
            </w:pPr>
          </w:p>
        </w:tc>
        <w:tc>
          <w:tcPr>
            <w:tcW w:w="130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October 1,</w:t>
            </w:r>
          </w:p>
        </w:tc>
        <w:tc>
          <w:tcPr>
            <w:tcW w:w="1400" w:type="dxa"/>
            <w:vAlign w:val="bottom"/>
          </w:tcPr>
          <w:p>
            <w:pPr>
              <w:jc w:val="right"/>
              <w:ind w:right="276"/>
              <w:spacing w:after="0" w:line="157" w:lineRule="exact"/>
              <w:rPr>
                <w:sz w:val="20"/>
                <w:szCs w:val="20"/>
                <w:color w:val="auto"/>
              </w:rPr>
            </w:pPr>
            <w:r>
              <w:rPr>
                <w:rFonts w:ascii="Arial" w:cs="Arial" w:eastAsia="Arial" w:hAnsi="Arial"/>
                <w:sz w:val="14"/>
                <w:szCs w:val="14"/>
                <w:color w:val="auto"/>
              </w:rPr>
              <w:t>% Increase/</w:t>
            </w:r>
          </w:p>
        </w:tc>
      </w:tr>
      <w:tr>
        <w:trPr>
          <w:trHeight w:val="188"/>
        </w:trPr>
        <w:tc>
          <w:tcPr>
            <w:tcW w:w="24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200" w:type="dxa"/>
            <w:vAlign w:val="bottom"/>
          </w:tcPr>
          <w:p>
            <w:pPr>
              <w:jc w:val="right"/>
              <w:ind w:right="475"/>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94"/>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(Decrease)</w:t>
            </w:r>
          </w:p>
        </w:tc>
        <w:tc>
          <w:tcPr>
            <w:tcW w:w="200" w:type="dxa"/>
            <w:vAlign w:val="bottom"/>
          </w:tcPr>
          <w:p>
            <w:pPr>
              <w:spacing w:after="0"/>
              <w:rPr>
                <w:sz w:val="16"/>
                <w:szCs w:val="16"/>
                <w:color w:val="auto"/>
              </w:rPr>
            </w:pPr>
          </w:p>
        </w:tc>
        <w:tc>
          <w:tcPr>
            <w:tcW w:w="1200" w:type="dxa"/>
            <w:vAlign w:val="bottom"/>
          </w:tcPr>
          <w:p>
            <w:pPr>
              <w:jc w:val="right"/>
              <w:ind w:right="475"/>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4"/>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Arial" w:cs="Arial" w:eastAsia="Arial" w:hAnsi="Arial"/>
                <w:sz w:val="14"/>
                <w:szCs w:val="14"/>
                <w:color w:val="auto"/>
              </w:rPr>
              <w:t>(Decrease)</w:t>
            </w:r>
          </w:p>
        </w:tc>
      </w:tr>
      <w:tr>
        <w:trPr>
          <w:trHeight w:val="250"/>
        </w:trPr>
        <w:tc>
          <w:tcPr>
            <w:tcW w:w="2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10,827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10,350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20,235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18,959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43"/>
        </w:trPr>
        <w:tc>
          <w:tcPr>
            <w:tcW w:w="24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2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81,034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62,613</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148,659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118,844</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25.1 %</w:t>
            </w:r>
          </w:p>
        </w:tc>
      </w:tr>
      <w:tr>
        <w:trPr>
          <w:trHeight w:val="243"/>
        </w:trPr>
        <w:tc>
          <w:tcPr>
            <w:tcW w:w="24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34.9 %</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34.0 %</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(1,580)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(1,580)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24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00" w:type="dxa"/>
            <w:vAlign w:val="bottom"/>
          </w:tcPr>
          <w:p>
            <w:pPr>
              <w:spacing w:after="0"/>
              <w:rPr>
                <w:sz w:val="21"/>
                <w:szCs w:val="21"/>
                <w:color w:val="auto"/>
              </w:rPr>
            </w:pPr>
          </w:p>
        </w:tc>
        <w:tc>
          <w:tcPr>
            <w:tcW w:w="13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91,861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71,383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168,894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136,223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24.0 %</w:t>
            </w:r>
          </w:p>
        </w:tc>
      </w:tr>
      <w:tr>
        <w:trPr>
          <w:trHeight w:val="243"/>
        </w:trPr>
        <w:tc>
          <w:tcPr>
            <w:tcW w:w="24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39.8 %</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38.9 %</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Research and development expenses increased 4.6% and 6.7% for the three and six months ended September 29, 2012, respectively, as compared to the same periods of fiscal 2012. These increases were primarily related to the general increase in development programs in support of long-term product plans. Research and development costs will increase in the second half of fiscal 2013 due to additional staff and program spending related to the whole blood acquisition and related product initiatives.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During the three and six months ended September 29, 2012, selling, general and administrative expenses increased 29.4% and 25.1%, respectively, as compared to the same periods of fiscal 2012. These increases include acquisition and integration related expenses associated with the whole blood acquisition of $11.5 million and $17.4 million for the three and six months ended September 29, 2012, respectively. We also incurred approximately $8.0 million of incremental expenses to operate the whole blood business for two months following the August 1, 2012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Other expense, net, increased for the three months and six months ended September 29, 2012 as compared to the same periods of fiscal 2012, primarily due to $1.5 million interest expense from the $475 million term loan.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30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702"/>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Borders>
              <w:bottom w:val="single" w:sz="8" w:color="auto"/>
            </w:tcBorders>
            <w:gridSpan w:val="3"/>
          </w:tcPr>
          <w:p>
            <w:pPr>
              <w:jc w:val="right"/>
              <w:ind w:right="782"/>
              <w:spacing w:after="0"/>
              <w:rPr>
                <w:sz w:val="20"/>
                <w:szCs w:val="20"/>
                <w:color w:val="auto"/>
              </w:rPr>
            </w:pPr>
            <w:r>
              <w:rPr>
                <w:rFonts w:ascii="Arial" w:cs="Arial" w:eastAsia="Arial" w:hAnsi="Arial"/>
                <w:sz w:val="14"/>
                <w:szCs w:val="14"/>
                <w:color w:val="auto"/>
              </w:rPr>
              <w:t>Six Months Ended</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56"/>
        </w:trPr>
        <w:tc>
          <w:tcPr>
            <w:tcW w:w="2300" w:type="dxa"/>
            <w:vAlign w:val="bottom"/>
          </w:tcPr>
          <w:p>
            <w:pPr>
              <w:spacing w:after="0"/>
              <w:rPr>
                <w:sz w:val="13"/>
                <w:szCs w:val="13"/>
                <w:color w:val="auto"/>
              </w:rPr>
            </w:pPr>
          </w:p>
        </w:tc>
        <w:tc>
          <w:tcPr>
            <w:tcW w:w="1460" w:type="dxa"/>
            <w:vAlign w:val="bottom"/>
            <w:gridSpan w:val="2"/>
          </w:tcPr>
          <w:p>
            <w:pPr>
              <w:jc w:val="center"/>
              <w:ind w:right="140"/>
              <w:spacing w:after="0" w:line="157" w:lineRule="exact"/>
              <w:rPr>
                <w:sz w:val="20"/>
                <w:szCs w:val="20"/>
                <w:color w:val="auto"/>
              </w:rPr>
            </w:pPr>
            <w:r>
              <w:rPr>
                <w:rFonts w:ascii="Arial" w:cs="Arial" w:eastAsia="Arial" w:hAnsi="Arial"/>
                <w:sz w:val="14"/>
                <w:szCs w:val="14"/>
                <w:color w:val="auto"/>
                <w:w w:val="91"/>
              </w:rPr>
              <w:t>September 29,</w:t>
            </w:r>
          </w:p>
        </w:tc>
        <w:tc>
          <w:tcPr>
            <w:tcW w:w="1440" w:type="dxa"/>
            <w:vAlign w:val="bottom"/>
            <w:gridSpan w:val="2"/>
          </w:tcPr>
          <w:p>
            <w:pPr>
              <w:jc w:val="center"/>
              <w:ind w:right="140"/>
              <w:spacing w:after="0" w:line="157" w:lineRule="exact"/>
              <w:rPr>
                <w:sz w:val="20"/>
                <w:szCs w:val="20"/>
                <w:color w:val="auto"/>
              </w:rPr>
            </w:pPr>
            <w:r>
              <w:rPr>
                <w:rFonts w:ascii="Arial" w:cs="Arial" w:eastAsia="Arial" w:hAnsi="Arial"/>
                <w:sz w:val="14"/>
                <w:szCs w:val="14"/>
                <w:color w:val="auto"/>
                <w:w w:val="94"/>
              </w:rPr>
              <w:t>October 1,</w:t>
            </w:r>
          </w:p>
        </w:tc>
        <w:tc>
          <w:tcPr>
            <w:tcW w:w="150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1"/>
              </w:rPr>
              <w:t>% Increase/</w:t>
            </w:r>
          </w:p>
        </w:tc>
        <w:tc>
          <w:tcPr>
            <w:tcW w:w="1480" w:type="dxa"/>
            <w:vAlign w:val="bottom"/>
            <w:gridSpan w:val="2"/>
          </w:tcPr>
          <w:p>
            <w:pPr>
              <w:jc w:val="center"/>
              <w:ind w:right="140"/>
              <w:spacing w:after="0" w:line="157" w:lineRule="exact"/>
              <w:rPr>
                <w:sz w:val="20"/>
                <w:szCs w:val="20"/>
                <w:color w:val="auto"/>
              </w:rPr>
            </w:pPr>
            <w:r>
              <w:rPr>
                <w:rFonts w:ascii="Arial" w:cs="Arial" w:eastAsia="Arial" w:hAnsi="Arial"/>
                <w:sz w:val="14"/>
                <w:szCs w:val="14"/>
                <w:color w:val="auto"/>
                <w:w w:val="89"/>
              </w:rPr>
              <w:t>September 29,</w:t>
            </w:r>
          </w:p>
        </w:tc>
        <w:tc>
          <w:tcPr>
            <w:tcW w:w="1440" w:type="dxa"/>
            <w:vAlign w:val="bottom"/>
            <w:gridSpan w:val="2"/>
          </w:tcPr>
          <w:p>
            <w:pPr>
              <w:jc w:val="center"/>
              <w:ind w:right="140"/>
              <w:spacing w:after="0" w:line="157" w:lineRule="exact"/>
              <w:rPr>
                <w:sz w:val="20"/>
                <w:szCs w:val="20"/>
                <w:color w:val="auto"/>
              </w:rPr>
            </w:pPr>
            <w:r>
              <w:rPr>
                <w:rFonts w:ascii="Arial" w:cs="Arial" w:eastAsia="Arial" w:hAnsi="Arial"/>
                <w:sz w:val="14"/>
                <w:szCs w:val="14"/>
                <w:color w:val="auto"/>
                <w:w w:val="94"/>
              </w:rPr>
              <w:t>October 1,</w:t>
            </w:r>
          </w:p>
        </w:tc>
        <w:tc>
          <w:tcPr>
            <w:tcW w:w="1400" w:type="dxa"/>
            <w:vAlign w:val="bottom"/>
          </w:tcPr>
          <w:p>
            <w:pPr>
              <w:jc w:val="center"/>
              <w:spacing w:after="0" w:line="157" w:lineRule="exact"/>
              <w:rPr>
                <w:sz w:val="20"/>
                <w:szCs w:val="20"/>
                <w:color w:val="auto"/>
              </w:rPr>
            </w:pPr>
            <w:r>
              <w:rPr>
                <w:rFonts w:ascii="Arial" w:cs="Arial" w:eastAsia="Arial" w:hAnsi="Arial"/>
                <w:sz w:val="14"/>
                <w:szCs w:val="14"/>
                <w:color w:val="auto"/>
                <w:w w:val="91"/>
              </w:rPr>
              <w:t>% Increase/</w:t>
            </w:r>
          </w:p>
        </w:tc>
      </w:tr>
      <w:tr>
        <w:trPr>
          <w:trHeight w:val="188"/>
        </w:trPr>
        <w:tc>
          <w:tcPr>
            <w:tcW w:w="2300" w:type="dxa"/>
            <w:vAlign w:val="bottom"/>
          </w:tcPr>
          <w:p>
            <w:pPr>
              <w:spacing w:after="0"/>
              <w:rPr>
                <w:sz w:val="16"/>
                <w:szCs w:val="16"/>
                <w:color w:val="auto"/>
              </w:rPr>
            </w:pPr>
          </w:p>
        </w:tc>
        <w:tc>
          <w:tcPr>
            <w:tcW w:w="1360" w:type="dxa"/>
            <w:vAlign w:val="bottom"/>
          </w:tcPr>
          <w:p>
            <w:pPr>
              <w:jc w:val="right"/>
              <w:ind w:right="464"/>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6"/>
                <w:szCs w:val="16"/>
                <w:color w:val="auto"/>
              </w:rPr>
            </w:pPr>
          </w:p>
        </w:tc>
        <w:tc>
          <w:tcPr>
            <w:tcW w:w="1340" w:type="dxa"/>
            <w:vAlign w:val="bottom"/>
          </w:tcPr>
          <w:p>
            <w:pPr>
              <w:jc w:val="right"/>
              <w:ind w:right="442"/>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(Decrease)</w:t>
            </w:r>
          </w:p>
        </w:tc>
        <w:tc>
          <w:tcPr>
            <w:tcW w:w="1380" w:type="dxa"/>
            <w:vAlign w:val="bottom"/>
          </w:tcPr>
          <w:p>
            <w:pPr>
              <w:jc w:val="right"/>
              <w:ind w:right="464"/>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6"/>
                <w:szCs w:val="16"/>
                <w:color w:val="auto"/>
              </w:rPr>
            </w:pPr>
          </w:p>
        </w:tc>
        <w:tc>
          <w:tcPr>
            <w:tcW w:w="1340" w:type="dxa"/>
            <w:vAlign w:val="bottom"/>
          </w:tcPr>
          <w:p>
            <w:pPr>
              <w:jc w:val="right"/>
              <w:ind w:right="462"/>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(Decrease)</w:t>
            </w:r>
          </w:p>
        </w:tc>
      </w:tr>
      <w:tr>
        <w:trPr>
          <w:trHeight w:val="243"/>
        </w:trPr>
        <w:tc>
          <w:tcPr>
            <w:tcW w:w="2300" w:type="dxa"/>
            <w:vAlign w:val="bottom"/>
          </w:tcPr>
          <w:p>
            <w:pPr>
              <w:spacing w:after="0"/>
              <w:rPr>
                <w:sz w:val="20"/>
                <w:szCs w:val="20"/>
                <w:color w:val="auto"/>
              </w:rPr>
            </w:pPr>
            <w:r>
              <w:rPr>
                <w:rFonts w:ascii="Arial" w:cs="Arial" w:eastAsia="Arial" w:hAnsi="Arial"/>
                <w:sz w:val="18"/>
                <w:szCs w:val="18"/>
                <w:color w:val="auto"/>
              </w:rPr>
              <w:t>Reported income tax rate</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r>
    </w:tbl>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Company’s reported tax rate was 23.8% and 25.8% for the three and six months ended September 29, 2012, respectively. Our reported tax rate is lower than the federal statutory tax rate in both periods reported primarily due to lower foreign tax rates, including tax benefits associated with our operations in Switzerland as well as research and development credits. The decrease in the effective tax rate for the three and six months ended September 29, 2012 as compared to October 1, 2011 is due to lower statutory tax rates in Puerto Rico arising from the acquisition of the whole blood business in the current quarter and research and development credits.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September 29,</w:t>
            </w:r>
          </w:p>
        </w:tc>
        <w:tc>
          <w:tcPr>
            <w:tcW w:w="240" w:type="dxa"/>
            <w:vAlign w:val="bottom"/>
          </w:tcPr>
          <w:p>
            <w:pPr>
              <w:spacing w:after="0"/>
              <w:rPr>
                <w:sz w:val="14"/>
                <w:szCs w:val="14"/>
                <w:color w:val="auto"/>
              </w:rPr>
            </w:pPr>
          </w:p>
        </w:tc>
        <w:tc>
          <w:tcPr>
            <w:tcW w:w="1120" w:type="dxa"/>
            <w:vAlign w:val="bottom"/>
          </w:tcPr>
          <w:p>
            <w:pPr>
              <w:jc w:val="right"/>
              <w:ind w:right="314"/>
              <w:spacing w:after="0"/>
              <w:rPr>
                <w:sz w:val="20"/>
                <w:szCs w:val="20"/>
                <w:color w:val="auto"/>
              </w:rPr>
            </w:pPr>
            <w:r>
              <w:rPr>
                <w:rFonts w:ascii="Arial" w:cs="Arial" w:eastAsia="Arial" w:hAnsi="Arial"/>
                <w:sz w:val="14"/>
                <w:szCs w:val="14"/>
                <w:color w:val="auto"/>
              </w:rPr>
              <w:t>March 31,</w:t>
            </w:r>
          </w:p>
        </w:tc>
      </w:tr>
      <w:tr>
        <w:trPr>
          <w:trHeight w:val="188"/>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2012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2012</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187,051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228,861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420,606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396,385</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(debt)/cash position (1)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(294,600)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225,090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Disposable finished goods inventory turnover</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5.7</w:t>
            </w:r>
          </w:p>
        </w:tc>
      </w:tr>
      <w:tr>
        <w:trPr>
          <w:trHeight w:val="243"/>
        </w:trPr>
        <w:tc>
          <w:tcPr>
            <w:tcW w:w="8580" w:type="dxa"/>
            <w:vAlign w:val="bottom"/>
          </w:tcPr>
          <w:p>
            <w:pPr>
              <w:spacing w:after="0"/>
              <w:rPr>
                <w:sz w:val="20"/>
                <w:szCs w:val="20"/>
                <w:color w:val="auto"/>
              </w:rPr>
            </w:pPr>
            <w:r>
              <w:rPr>
                <w:rFonts w:ascii="Arial" w:cs="Arial" w:eastAsia="Arial" w:hAnsi="Arial"/>
                <w:sz w:val="18"/>
                <w:szCs w:val="18"/>
                <w:color w:val="auto"/>
              </w:rPr>
              <w:t>(1) Net (debt)/cash position is the sum of cash and cash equivalents less total debt.</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20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Our primary sources of liquidity are cash and cash equivalents, internally generated cash flow from operations, and option exercises. On August 1, 2012, we entered into a loan agreement for $475 million which was used to finance the acquisition of certain assets of the blood collection, filtration and processing business of Pall Corporation. We believe these sources are sufficient to fund our cash requirements over the next twelve months, which are primarily capital expenditures and share repurchases under programs authorized by the Board of Directors at its discretion and investments including acquisitions.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4"/>
                <w:szCs w:val="14"/>
                <w:color w:val="auto"/>
              </w:rPr>
              <w:t>Six Months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56"/>
        </w:trPr>
        <w:tc>
          <w:tcPr>
            <w:tcW w:w="7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September 29,</w:t>
            </w:r>
          </w:p>
        </w:tc>
        <w:tc>
          <w:tcPr>
            <w:tcW w:w="240" w:type="dxa"/>
            <w:vAlign w:val="bottom"/>
          </w:tcPr>
          <w:p>
            <w:pPr>
              <w:spacing w:after="0"/>
              <w:rPr>
                <w:sz w:val="13"/>
                <w:szCs w:val="13"/>
                <w:color w:val="auto"/>
              </w:rPr>
            </w:pPr>
          </w:p>
        </w:tc>
        <w:tc>
          <w:tcPr>
            <w:tcW w:w="124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October 1,</w:t>
            </w:r>
          </w:p>
        </w:tc>
        <w:tc>
          <w:tcPr>
            <w:tcW w:w="240" w:type="dxa"/>
            <w:vAlign w:val="bottom"/>
          </w:tcPr>
          <w:p>
            <w:pPr>
              <w:spacing w:after="0"/>
              <w:rPr>
                <w:sz w:val="13"/>
                <w:szCs w:val="13"/>
                <w:color w:val="auto"/>
              </w:rPr>
            </w:pPr>
          </w:p>
        </w:tc>
        <w:tc>
          <w:tcPr>
            <w:tcW w:w="1120" w:type="dxa"/>
            <w:vAlign w:val="bottom"/>
          </w:tcPr>
          <w:p>
            <w:pPr>
              <w:jc w:val="right"/>
              <w:ind w:right="335"/>
              <w:spacing w:after="0" w:line="157" w:lineRule="exact"/>
              <w:rPr>
                <w:sz w:val="20"/>
                <w:szCs w:val="20"/>
                <w:color w:val="auto"/>
              </w:rPr>
            </w:pPr>
            <w:r>
              <w:rPr>
                <w:rFonts w:ascii="Arial" w:cs="Arial" w:eastAsia="Arial" w:hAnsi="Arial"/>
                <w:sz w:val="14"/>
                <w:szCs w:val="14"/>
                <w:color w:val="auto"/>
              </w:rPr>
              <w:t>Increase/</w:t>
            </w:r>
          </w:p>
        </w:tc>
      </w:tr>
      <w:tr>
        <w:trPr>
          <w:trHeight w:val="188"/>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color w:val="auto"/>
              </w:rPr>
              <w:t>(Decrease)</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33,567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52,539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(18,972)</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(570,221)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(546,508)</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494,812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(41,753)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536,565</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(1)</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391</w:t>
            </w:r>
          </w:p>
        </w:tc>
      </w:tr>
      <w:tr>
        <w:trPr>
          <w:trHeight w:val="250"/>
        </w:trPr>
        <w:tc>
          <w:tcPr>
            <w:tcW w:w="708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(41,810)</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(13,286)</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8890</wp:posOffset>
            </wp:positionV>
            <wp:extent cx="27527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 w:lineRule="exact"/>
        <w:rPr>
          <w:sz w:val="20"/>
          <w:szCs w:val="20"/>
          <w:color w:val="auto"/>
        </w:rPr>
      </w:pPr>
    </w:p>
    <w:p>
      <w:pPr>
        <w:ind w:left="340" w:right="50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balance sheet is affected by spot exchange rates used to translate local currency amounts into U.S. dollars. In accordance with GAAP, we have removed the effect of foreign currency throughout our cash flow statement, except for its effect on our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-317500</wp:posOffset>
            </wp:positionV>
            <wp:extent cx="2752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85"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On August 1, 2012 in connection with the acquisition of the whole blood business, we entered into a credit agreement (“Credit Agreement”) with the banks listed below (together, “Lenders”) which provided for a $475 million term loan (the “Term Loan”) and a $50 million revolving loan (the “Revolving Credit Facility”, and together with the Term Loan, the “Credit Facilities”). The Credit Facilities have a term of five years and mature on July 31, 2017.</w:t>
      </w:r>
    </w:p>
    <w:p>
      <w:pPr>
        <w:spacing w:after="0" w:line="10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At closing, we borrowed the Term Loan and used the proceeds to pay Pall for the acquisition of the assets described the Business section above. The $475 million Term Loan bears interest at variable rates determined by LIBOR plus a range of 1.125% to 1.500% depending on the achievement of certain leverage ratios. The Revolving Credit Facility bears interest at variable rates similar to the Term Loan. The current margin of the Term Loan is 1.375% over one month LIBOR and our effective interest rate inclusive of prepaid financing costs and other fees was 2.0%.</w:t>
      </w:r>
    </w:p>
    <w:p>
      <w:pPr>
        <w:spacing w:after="0" w:line="13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Revolving loans may be borrowed, repaid and re-borrowed to fund our working capital needs and for other general corporate purposes. The Term Loan or portions thereof may be prepaid at any time or from time to time without penalty. Once repaid, such amount may not be re-borrowed. The principal amount of the term loan is repayable quarterly over five years and amortizes as follows: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0% during the first 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7.5% during the second 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12.5% during the third year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17.5% during the fourth year and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62.5% during the fifth year.</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Credit Facilities, we are required to maintain a Consolidated Total Leverage Ratio not to exceed 3.0:1.0 and a Consolidated Interest Coverage Ratio not to be less than 4.0:1.0 during periods when the Credit Facilities are outstanding. In addition, we are required to satisfy these covenants, on a pro forma basis, in connection with any new borrowings (including any letter of credit issuances) on the Revolving Credit Facility as of the time of such borrowings. The Consolidated Interest Coverage Ratio is calculated as the Consolidated EBIDTA divided by Consolidated Interest Expense while the Consolidated Total Leverage Ratio is calculated as Consolidated Total Debt divided by Consolidated EBIDTA. Consolidated EBITDA includes EBITDA adjusted by non-recurring and unusual transactions.</w:t>
      </w:r>
    </w:p>
    <w:p>
      <w:pPr>
        <w:spacing w:after="0" w:line="15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Credit Facilities also contain usual and customary non-financial affirmative and negative covenants which include with respect to subsequent indebtedness, liens, loans and investments (including acquisitions), financial reporting obligations, mergers, consolidations, dissolutions or liquidation, asset sales, affiliate transactions, change of our business, capital expenditures, share repurchase and other restricted payments. These covenants are subject to important exceptions and qualifications set forth in the Credit Agreement. As of September 29, 2012 we were in compliance with the covenants.</w:t>
      </w:r>
    </w:p>
    <w:p>
      <w:pPr>
        <w:spacing w:after="0" w:line="114"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Any failure to comply with the financial and operating covenants of the Credit Facilities would prevent us from being able to borrow additional funds and would constitute a default, which could result in among other things, the amounts outstanding, including all accrued interest and unpaid fees, becoming immediately due and payable. In addition the Credit Facilities include customary events of default, in certain cases subject to customary cure periods.</w:t>
      </w:r>
    </w:p>
    <w:p>
      <w:pPr>
        <w:spacing w:after="0" w:line="10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Pursuant to the Credit Facilities, we are required to pay to our revolving credit lenders, on the last day of each calendar quarter, a commitment fee on the unused portion of the Revolving Credit Facility. The commitment fee is subject to a pricing grid based on our Consolidated Total Leverage Ratio. The spreads on the commitment fee range from 0.175% to 0.300%. The current commitment fee on the undrawn portion of the Revolving Credit Facility is 0.250%.</w:t>
      </w:r>
    </w:p>
    <w:p>
      <w:pPr>
        <w:spacing w:after="0" w:line="106"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Any time during the five year term, we may elect to increase the size of the Revolving Credit Facility from $50 million to $100 million. Alternatively, we may elect to enter into Additional Term Loans of up to a $100 million combined limit with the Revolving Credit Facility. These elections are subject to the approval of the Administrative Agent and the identification of additional Lenders or current Lenders willing to increase their loan amounts.</w:t>
      </w:r>
    </w:p>
    <w:p>
      <w:pPr>
        <w:spacing w:after="0" w:line="10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banks party to the Credit Facilities are JP Morgan Chase Bank, N.A., as Administrative Agent, Citibank, N.A. as Syndication Agent, J P Morgan Securities LLC and Citibank, N.A. as Joint Lead Arrangers and Joint Bookrunners, Bank of America, N.A., RBS Citizens, N.A., HSBC Bank USA, N.A., Wells Fargo Bank, N.A., Sumitomo Mitsui Banking Corporation, TD Bank, N.A. and US Bank, N.A. as Co-Documentation Agents, Union Bank, N.A., PNC Bank, National Association and Sovereign Bank, N.A. as Senior Managing Agents and the syndicate lenders that are parties thereto.</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Net cash provided by operating activities decreased by $19.0 million during the six months ended September 29, 2012 as compared to the six months ended October 1, 2011 primarily due to higher payments of acquisition and integration related costs and working capital investments related to the first two months of sales from the whole blood business, as accounts receivable were not included in the acquired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used in investing activities increased by $546.5 million during the six months ended September 29, 2012 as compared to the six months ended October 1, 2011 due to the use of $535.1 million to acquire the whole blood business, of which $475.0 million was funded by term loan borrowings discussed below. The increase in net cash used in investing activities also included higher capital expenditures primarily related to the expansion of our installed equipment base with customers, particularly for plasma and hospital equipment.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cash provided by financing activities increased by $536.6 million during the six months ended September 29, 2012, as compared to the six month ended October 1, 2011 due primarily to a $475.0 million term loan used to finance the whole blood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acquisition and $18.9 million of incremental proceeds from the exercise of share-based compensation. These were offset by lower cash payments to repurchase shares and $5.5 million of debt issuance costs paid related to the term loan closing.</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Payment is dependent upon the financial stability and creditworthiness of those countries' national economies.</w:t>
      </w:r>
    </w:p>
    <w:p>
      <w:pPr>
        <w:spacing w:after="0" w:line="187"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We have not incurred significant losses on government receivables. We continually evaluate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66"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Deteriorating credit and economic conditions in parts of Western Europe, particularly in Italy, where our net accounts receivable is $20.8 million and $21.0 million as of September 29, 2012 and March 31, 2012 respectively may increase the average length of time it takes us to collect our accounts receivable in certain regions within these countries.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3"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During the six months ended September 29, 2012, approximately 49% of our sales were generated outside the U.S., generally in foreign currencies, yet our reporting currency is the U.S. Dollar. Our primary foreign currency exposures relate to sales denominated in the Euro and the Japanese Yen. We also have foreign currency exposure related to manufacturing and other operational costs denominated in the Swiss Franc, the British Pound, and the Canadian Dollar. The Yen and Euro sales exposure is partially mitigated by costs and expenses for foreign operations and sourcing products denominated in foreign currencies. Since our foreign currency denominated Yen and Euro sales exceed the foreign currency denominated costs, whenever the U.S. Dollar strengthens relative to the Yen or Euro, there is an adverse effect on our results of operations and, conversely, whenever the U.S. dollar weakens relative to the Yen or Euro, there is a positive effect on our results of operations. For the Swiss Franc, the British Pound, and the Canadian Dollar,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5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the Japanese Yen and the Euro, and to a lesser extent the Swiss Franc, British Pound, and the Canadian Dollar. This does not eliminate the volatility of foreign exchange rates, but because we generally enter into forward contracts one year out, rates are fixed for a one-year period, thereby facilitating financial planning and resource allocation.</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contracts are designated as cash flow hedges and are intended to lock in the expected cash flows of forecasted foreign currency denominated sales and costs at the available spot rate. Actual spot rate gains and losses on these contracts are recorded in sales and costs, at the same time the underlying transactions being hedged are recorded. The final impact of currency fluctuations on the results of operations is dependent on the local currency amounts hedged and the actual local currency results.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Presented below are the spot rates for our Euro, Japanese Yen, Canadian Dollar, British Pound, and Swiss Franc cash flow hedges that settled during fiscal years 2010, 2011, 2012, and 2013 or are presently outstanding. These hedges cover our long foreign currency positions that result from our sales designated in Euro and the Japanese Yen. These hedges also include our short positions associated with costs incurred in Canadian Dollars, British Pounds, and Swiss Francs. The table also shows how the strengthening or weakening of the spot rates associated with those hedge contracts versus the spot rates in the contracts that settled in the prior comparable period affects our results favorably or unfavorably. The table assumes a consistent notional amount for hedge contracts in each period presented.</w:t>
      </w:r>
    </w:p>
    <w:p>
      <w:pPr>
        <w:spacing w:after="0" w:line="135" w:lineRule="exact"/>
        <w:rPr>
          <w:sz w:val="20"/>
          <w:szCs w:val="20"/>
          <w:color w:val="auto"/>
        </w:rPr>
      </w:pPr>
    </w:p>
    <w:p>
      <w:pPr>
        <w:ind w:left="2560"/>
        <w:spacing w:after="0"/>
        <w:tabs>
          <w:tab w:leader="none" w:pos="3540" w:val="left"/>
          <w:tab w:leader="none" w:pos="4800" w:val="left"/>
          <w:tab w:leader="none" w:pos="5880" w:val="left"/>
          <w:tab w:leader="none" w:pos="7180" w:val="left"/>
          <w:tab w:leader="none" w:pos="8220" w:val="left"/>
          <w:tab w:leader="none" w:pos="9500" w:val="left"/>
          <w:tab w:leader="none" w:pos="10540" w:val="left"/>
        </w:tabs>
        <w:rPr>
          <w:sz w:val="20"/>
          <w:szCs w:val="20"/>
          <w:color w:val="auto"/>
        </w:rPr>
      </w:pP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Favorable /</w:t>
      </w:r>
      <w:r>
        <w:rPr>
          <w:sz w:val="20"/>
          <w:szCs w:val="20"/>
          <w:color w:val="auto"/>
        </w:rPr>
        <w:tab/>
      </w:r>
      <w:r>
        <w:rPr>
          <w:rFonts w:ascii="Arial" w:cs="Arial" w:eastAsia="Arial" w:hAnsi="Arial"/>
          <w:sz w:val="13"/>
          <w:szCs w:val="13"/>
          <w:color w:val="auto"/>
        </w:rPr>
        <w:t>Second</w:t>
      </w:r>
      <w:r>
        <w:rPr>
          <w:sz w:val="20"/>
          <w:szCs w:val="20"/>
          <w:color w:val="auto"/>
        </w:rPr>
        <w:tab/>
      </w:r>
      <w:r>
        <w:rPr>
          <w:rFonts w:ascii="Arial" w:cs="Arial" w:eastAsia="Arial" w:hAnsi="Arial"/>
          <w:sz w:val="13"/>
          <w:szCs w:val="13"/>
          <w:color w:val="auto"/>
        </w:rPr>
        <w:t>Favorable /</w:t>
      </w:r>
      <w:r>
        <w:rPr>
          <w:sz w:val="20"/>
          <w:szCs w:val="20"/>
          <w:color w:val="auto"/>
        </w:rPr>
        <w:tab/>
      </w:r>
      <w:r>
        <w:rPr>
          <w:rFonts w:ascii="Arial" w:cs="Arial" w:eastAsia="Arial" w:hAnsi="Arial"/>
          <w:sz w:val="13"/>
          <w:szCs w:val="13"/>
          <w:color w:val="auto"/>
        </w:rPr>
        <w:t>Third</w:t>
      </w:r>
      <w:r>
        <w:rPr>
          <w:sz w:val="20"/>
          <w:szCs w:val="20"/>
          <w:color w:val="auto"/>
        </w:rPr>
        <w:tab/>
      </w:r>
      <w:r>
        <w:rPr>
          <w:rFonts w:ascii="Arial" w:cs="Arial" w:eastAsia="Arial" w:hAnsi="Arial"/>
          <w:sz w:val="13"/>
          <w:szCs w:val="13"/>
          <w:color w:val="auto"/>
        </w:rPr>
        <w:t>Favorable /</w:t>
      </w:r>
      <w:r>
        <w:rPr>
          <w:sz w:val="20"/>
          <w:szCs w:val="20"/>
          <w:color w:val="auto"/>
        </w:rPr>
        <w:tab/>
      </w:r>
      <w:r>
        <w:rPr>
          <w:rFonts w:ascii="Arial" w:cs="Arial" w:eastAsia="Arial" w:hAnsi="Arial"/>
          <w:sz w:val="13"/>
          <w:szCs w:val="13"/>
          <w:color w:val="auto"/>
        </w:rPr>
        <w:t>Fourth</w:t>
      </w:r>
      <w:r>
        <w:rPr>
          <w:sz w:val="20"/>
          <w:szCs w:val="20"/>
          <w:color w:val="auto"/>
        </w:rPr>
        <w:tab/>
      </w:r>
      <w:r>
        <w:rPr>
          <w:rFonts w:ascii="Arial" w:cs="Arial" w:eastAsia="Arial" w:hAnsi="Arial"/>
          <w:sz w:val="11"/>
          <w:szCs w:val="11"/>
          <w:color w:val="auto"/>
        </w:rPr>
        <w:t>Favorable /</w:t>
      </w:r>
    </w:p>
    <w:p>
      <w:pPr>
        <w:ind w:left="2480"/>
        <w:spacing w:after="0"/>
        <w:tabs>
          <w:tab w:leader="none" w:pos="3460" w:val="left"/>
          <w:tab w:leader="none" w:pos="4800" w:val="left"/>
          <w:tab w:leader="none" w:pos="5800" w:val="left"/>
          <w:tab w:leader="none" w:pos="7140" w:val="left"/>
          <w:tab w:leader="none" w:pos="8140" w:val="left"/>
          <w:tab w:leader="none" w:pos="9480" w:val="left"/>
          <w:tab w:leader="none" w:pos="10480" w:val="left"/>
        </w:tabs>
        <w:rPr>
          <w:sz w:val="20"/>
          <w:szCs w:val="20"/>
          <w:color w:val="auto"/>
        </w:rPr>
      </w:pPr>
      <w:r>
        <w:rPr>
          <w:rFonts w:ascii="Arial" w:cs="Arial" w:eastAsia="Arial" w:hAnsi="Arial"/>
          <w:sz w:val="13"/>
          <w:szCs w:val="13"/>
          <w:color w:val="auto"/>
        </w:rPr>
        <w:t>Quarter</w:t>
      </w:r>
      <w:r>
        <w:rPr>
          <w:sz w:val="20"/>
          <w:szCs w:val="20"/>
          <w:color w:val="auto"/>
        </w:rPr>
        <w:tab/>
      </w:r>
      <w:r>
        <w:rPr>
          <w:rFonts w:ascii="Arial" w:cs="Arial" w:eastAsia="Arial" w:hAnsi="Arial"/>
          <w:sz w:val="13"/>
          <w:szCs w:val="13"/>
          <w:color w:val="auto"/>
        </w:rPr>
        <w:t>(Unfavorable)</w:t>
      </w:r>
      <w:r>
        <w:rPr>
          <w:sz w:val="20"/>
          <w:szCs w:val="20"/>
          <w:color w:val="auto"/>
        </w:rPr>
        <w:tab/>
      </w:r>
      <w:r>
        <w:rPr>
          <w:rFonts w:ascii="Arial" w:cs="Arial" w:eastAsia="Arial" w:hAnsi="Arial"/>
          <w:sz w:val="13"/>
          <w:szCs w:val="13"/>
          <w:color w:val="auto"/>
        </w:rPr>
        <w:t>Quarter</w:t>
      </w:r>
      <w:r>
        <w:rPr>
          <w:sz w:val="20"/>
          <w:szCs w:val="20"/>
          <w:color w:val="auto"/>
        </w:rPr>
        <w:tab/>
      </w:r>
      <w:r>
        <w:rPr>
          <w:rFonts w:ascii="Arial" w:cs="Arial" w:eastAsia="Arial" w:hAnsi="Arial"/>
          <w:sz w:val="13"/>
          <w:szCs w:val="13"/>
          <w:color w:val="auto"/>
        </w:rPr>
        <w:t>(Unfavorable)</w:t>
      </w:r>
      <w:r>
        <w:rPr>
          <w:sz w:val="20"/>
          <w:szCs w:val="20"/>
          <w:color w:val="auto"/>
        </w:rPr>
        <w:tab/>
      </w:r>
      <w:r>
        <w:rPr>
          <w:rFonts w:ascii="Arial" w:cs="Arial" w:eastAsia="Arial" w:hAnsi="Arial"/>
          <w:sz w:val="13"/>
          <w:szCs w:val="13"/>
          <w:color w:val="auto"/>
        </w:rPr>
        <w:t>Quarter</w:t>
      </w:r>
      <w:r>
        <w:rPr>
          <w:sz w:val="20"/>
          <w:szCs w:val="20"/>
          <w:color w:val="auto"/>
        </w:rPr>
        <w:tab/>
      </w:r>
      <w:r>
        <w:rPr>
          <w:rFonts w:ascii="Arial" w:cs="Arial" w:eastAsia="Arial" w:hAnsi="Arial"/>
          <w:sz w:val="13"/>
          <w:szCs w:val="13"/>
          <w:color w:val="auto"/>
        </w:rPr>
        <w:t>(Unfavorable)</w:t>
      </w:r>
      <w:r>
        <w:rPr>
          <w:sz w:val="20"/>
          <w:szCs w:val="20"/>
          <w:color w:val="auto"/>
        </w:rPr>
        <w:tab/>
      </w:r>
      <w:r>
        <w:rPr>
          <w:rFonts w:ascii="Arial" w:cs="Arial" w:eastAsia="Arial" w:hAnsi="Arial"/>
          <w:sz w:val="13"/>
          <w:szCs w:val="13"/>
          <w:color w:val="auto"/>
        </w:rPr>
        <w:t>Quarter</w:t>
      </w:r>
      <w:r>
        <w:rPr>
          <w:sz w:val="20"/>
          <w:szCs w:val="20"/>
          <w:color w:val="auto"/>
        </w:rPr>
        <w:tab/>
      </w:r>
      <w:r>
        <w:rPr>
          <w:rFonts w:ascii="Arial" w:cs="Arial" w:eastAsia="Arial" w:hAnsi="Arial"/>
          <w:sz w:val="11"/>
          <w:szCs w:val="11"/>
          <w:color w:val="auto"/>
        </w:rPr>
        <w:t>(Unfavorable)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Euro - Hedge Spot Rate (US$ per Euro)</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40"/>
              <w:spacing w:after="0"/>
              <w:rPr>
                <w:sz w:val="20"/>
                <w:szCs w:val="20"/>
                <w:color w:val="auto"/>
              </w:rPr>
            </w:pPr>
            <w:r>
              <w:rPr>
                <w:rFonts w:ascii="Arial" w:cs="Arial" w:eastAsia="Arial" w:hAnsi="Arial"/>
                <w:sz w:val="18"/>
                <w:szCs w:val="18"/>
                <w:color w:val="auto"/>
              </w:rPr>
              <w:t>FY10</w:t>
            </w:r>
          </w:p>
        </w:tc>
        <w:tc>
          <w:tcPr>
            <w:tcW w:w="1900" w:type="dxa"/>
            <w:vAlign w:val="bottom"/>
          </w:tcPr>
          <w:p>
            <w:pPr>
              <w:jc w:val="right"/>
              <w:ind w:right="350"/>
              <w:spacing w:after="0"/>
              <w:rPr>
                <w:sz w:val="20"/>
                <w:szCs w:val="20"/>
                <w:color w:val="auto"/>
              </w:rPr>
            </w:pPr>
            <w:r>
              <w:rPr>
                <w:rFonts w:ascii="Arial" w:cs="Arial" w:eastAsia="Arial" w:hAnsi="Arial"/>
                <w:sz w:val="18"/>
                <w:szCs w:val="18"/>
                <w:color w:val="auto"/>
              </w:rPr>
              <w:t>1.57</w:t>
            </w:r>
          </w:p>
        </w:tc>
        <w:tc>
          <w:tcPr>
            <w:tcW w:w="12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1.49</w:t>
            </w:r>
          </w:p>
        </w:tc>
        <w:tc>
          <w:tcPr>
            <w:tcW w:w="12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1.32</w:t>
            </w:r>
          </w:p>
        </w:tc>
        <w:tc>
          <w:tcPr>
            <w:tcW w:w="120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1.28</w:t>
            </w:r>
          </w:p>
        </w:tc>
        <w:tc>
          <w:tcPr>
            <w:tcW w:w="88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FY11</w:t>
            </w:r>
          </w:p>
        </w:tc>
        <w:tc>
          <w:tcPr>
            <w:tcW w:w="19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1.36</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w:t>
            </w:r>
          </w:p>
        </w:tc>
        <w:tc>
          <w:tcPr>
            <w:tcW w:w="11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1.41</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1.43</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8 %</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1.35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FY12</w:t>
            </w:r>
          </w:p>
        </w:tc>
        <w:tc>
          <w:tcPr>
            <w:tcW w:w="1900" w:type="dxa"/>
            <w:vAlign w:val="bottom"/>
          </w:tcPr>
          <w:p>
            <w:pPr>
              <w:jc w:val="right"/>
              <w:ind w:right="350"/>
              <w:spacing w:after="0"/>
              <w:rPr>
                <w:sz w:val="20"/>
                <w:szCs w:val="20"/>
                <w:color w:val="auto"/>
              </w:rPr>
            </w:pPr>
            <w:r>
              <w:rPr>
                <w:rFonts w:ascii="Arial" w:cs="Arial" w:eastAsia="Arial" w:hAnsi="Arial"/>
                <w:sz w:val="18"/>
                <w:szCs w:val="18"/>
                <w:color w:val="auto"/>
              </w:rPr>
              <w:t>1.24</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(9)%</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1.30</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(8)%</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1.36</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1.37</w:t>
            </w:r>
          </w:p>
        </w:tc>
        <w:tc>
          <w:tcPr>
            <w:tcW w:w="88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1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FY13</w:t>
            </w:r>
          </w:p>
        </w:tc>
        <w:tc>
          <w:tcPr>
            <w:tcW w:w="19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1.43</w:t>
            </w:r>
          </w:p>
        </w:tc>
        <w:tc>
          <w:tcPr>
            <w:tcW w:w="1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15 %</w:t>
            </w:r>
          </w:p>
        </w:tc>
        <w:tc>
          <w:tcPr>
            <w:tcW w:w="11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1.42</w:t>
            </w:r>
          </w:p>
        </w:tc>
        <w:tc>
          <w:tcPr>
            <w:tcW w:w="1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9 %</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1.36</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1.32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FY14</w:t>
            </w:r>
          </w:p>
        </w:tc>
        <w:tc>
          <w:tcPr>
            <w:tcW w:w="1900" w:type="dxa"/>
            <w:vAlign w:val="bottom"/>
          </w:tcPr>
          <w:p>
            <w:pPr>
              <w:jc w:val="right"/>
              <w:ind w:right="350"/>
              <w:spacing w:after="0"/>
              <w:rPr>
                <w:sz w:val="20"/>
                <w:szCs w:val="20"/>
                <w:color w:val="auto"/>
              </w:rPr>
            </w:pPr>
            <w:r>
              <w:rPr>
                <w:rFonts w:ascii="Arial" w:cs="Arial" w:eastAsia="Arial" w:hAnsi="Arial"/>
                <w:sz w:val="18"/>
                <w:szCs w:val="18"/>
                <w:color w:val="auto"/>
              </w:rPr>
              <w:t>1.27</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1.23</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(13)%</w:t>
            </w: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Japanese Yen - Hedge Spot Rate (JPY per US$)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FY10</w:t>
            </w:r>
          </w:p>
        </w:tc>
        <w:tc>
          <w:tcPr>
            <w:tcW w:w="20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105.28</w:t>
            </w:r>
          </w:p>
        </w:tc>
        <w:tc>
          <w:tcPr>
            <w:tcW w:w="1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105.11</w:t>
            </w:r>
          </w:p>
        </w:tc>
        <w:tc>
          <w:tcPr>
            <w:tcW w:w="1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96.38</w:t>
            </w:r>
          </w:p>
        </w:tc>
        <w:tc>
          <w:tcPr>
            <w:tcW w:w="1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93.50</w:t>
            </w:r>
          </w:p>
        </w:tc>
        <w:tc>
          <w:tcPr>
            <w:tcW w:w="880" w:type="dxa"/>
            <w:vAlign w:val="bottom"/>
            <w:shd w:val="clear" w:color="auto" w:fill="CCEEFF"/>
          </w:tcPr>
          <w:p>
            <w:pPr>
              <w:spacing w:after="0"/>
              <w:rPr>
                <w:sz w:val="23"/>
                <w:szCs w:val="23"/>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FY11</w:t>
            </w:r>
          </w:p>
        </w:tc>
        <w:tc>
          <w:tcPr>
            <w:tcW w:w="2000" w:type="dxa"/>
            <w:vAlign w:val="bottom"/>
          </w:tcPr>
          <w:p>
            <w:pPr>
              <w:jc w:val="right"/>
              <w:ind w:right="350"/>
              <w:spacing w:after="0"/>
              <w:rPr>
                <w:sz w:val="20"/>
                <w:szCs w:val="20"/>
                <w:color w:val="auto"/>
              </w:rPr>
            </w:pPr>
            <w:r>
              <w:rPr>
                <w:rFonts w:ascii="Arial" w:cs="Arial" w:eastAsia="Arial" w:hAnsi="Arial"/>
                <w:sz w:val="18"/>
                <w:szCs w:val="18"/>
                <w:color w:val="auto"/>
              </w:rPr>
              <w:t>98.17</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94.91</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89.13</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(8)%</w:t>
            </w: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89.78</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1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2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88.99</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w:t>
            </w:r>
          </w:p>
        </w:tc>
        <w:tc>
          <w:tcPr>
            <w:tcW w:w="12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85.65</w:t>
            </w: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w:t>
            </w:r>
          </w:p>
        </w:tc>
        <w:tc>
          <w:tcPr>
            <w:tcW w:w="12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81.73</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w:t>
            </w:r>
          </w:p>
        </w:tc>
        <w:tc>
          <w:tcPr>
            <w:tcW w:w="11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82.45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FY13</w:t>
            </w:r>
          </w:p>
        </w:tc>
        <w:tc>
          <w:tcPr>
            <w:tcW w:w="2000" w:type="dxa"/>
            <w:vAlign w:val="bottom"/>
          </w:tcPr>
          <w:p>
            <w:pPr>
              <w:jc w:val="right"/>
              <w:ind w:right="350"/>
              <w:spacing w:after="0"/>
              <w:rPr>
                <w:sz w:val="20"/>
                <w:szCs w:val="20"/>
                <w:color w:val="auto"/>
              </w:rPr>
            </w:pPr>
            <w:r>
              <w:rPr>
                <w:rFonts w:ascii="Arial" w:cs="Arial" w:eastAsia="Arial" w:hAnsi="Arial"/>
                <w:sz w:val="18"/>
                <w:szCs w:val="18"/>
                <w:color w:val="auto"/>
              </w:rPr>
              <w:t>79.40</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76.65</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(11)%</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77.58</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78.69</w:t>
            </w: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1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20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79.85</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0.1 %</w:t>
            </w:r>
          </w:p>
        </w:tc>
        <w:tc>
          <w:tcPr>
            <w:tcW w:w="12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79.29</w:t>
            </w:r>
          </w:p>
        </w:tc>
        <w:tc>
          <w:tcPr>
            <w:tcW w:w="11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3 %</w:t>
            </w:r>
          </w:p>
        </w:tc>
        <w:tc>
          <w:tcPr>
            <w:tcW w:w="1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7"/>
        </w:trPr>
        <w:tc>
          <w:tcPr>
            <w:tcW w:w="15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Canadian Dollar - Hedge Spot Rate (CAD per US$)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40"/>
              <w:spacing w:after="0"/>
              <w:rPr>
                <w:sz w:val="20"/>
                <w:szCs w:val="20"/>
                <w:color w:val="auto"/>
              </w:rPr>
            </w:pPr>
            <w:r>
              <w:rPr>
                <w:rFonts w:ascii="Arial" w:cs="Arial" w:eastAsia="Arial" w:hAnsi="Arial"/>
                <w:sz w:val="18"/>
                <w:szCs w:val="18"/>
                <w:color w:val="auto"/>
              </w:rPr>
              <w:t>FY10</w:t>
            </w:r>
          </w:p>
        </w:tc>
        <w:tc>
          <w:tcPr>
            <w:tcW w:w="1940" w:type="dxa"/>
            <w:vAlign w:val="bottom"/>
          </w:tcPr>
          <w:p>
            <w:pPr>
              <w:jc w:val="right"/>
              <w:ind w:right="390"/>
              <w:spacing w:after="0"/>
              <w:rPr>
                <w:sz w:val="20"/>
                <w:szCs w:val="20"/>
                <w:color w:val="auto"/>
              </w:rPr>
            </w:pPr>
            <w:r>
              <w:rPr>
                <w:rFonts w:ascii="Arial" w:cs="Arial" w:eastAsia="Arial" w:hAnsi="Arial"/>
                <w:sz w:val="18"/>
                <w:szCs w:val="18"/>
                <w:color w:val="auto"/>
              </w:rPr>
              <w:t>1.14</w:t>
            </w:r>
          </w:p>
        </w:tc>
        <w:tc>
          <w:tcPr>
            <w:tcW w:w="118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1.12</w:t>
            </w:r>
          </w:p>
        </w:tc>
        <w:tc>
          <w:tcPr>
            <w:tcW w:w="118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1.11</w:t>
            </w:r>
          </w:p>
        </w:tc>
        <w:tc>
          <w:tcPr>
            <w:tcW w:w="118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1.09</w:t>
            </w:r>
          </w:p>
        </w:tc>
        <w:tc>
          <w:tcPr>
            <w:tcW w:w="88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FY11</w:t>
            </w:r>
          </w:p>
        </w:tc>
        <w:tc>
          <w:tcPr>
            <w:tcW w:w="19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1.10</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1.09</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1.07</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FY12</w:t>
            </w:r>
          </w:p>
        </w:tc>
        <w:tc>
          <w:tcPr>
            <w:tcW w:w="1940" w:type="dxa"/>
            <w:vAlign w:val="bottom"/>
          </w:tcPr>
          <w:p>
            <w:pPr>
              <w:jc w:val="right"/>
              <w:ind w:right="390"/>
              <w:spacing w:after="0"/>
              <w:rPr>
                <w:sz w:val="20"/>
                <w:szCs w:val="20"/>
                <w:color w:val="auto"/>
              </w:rPr>
            </w:pPr>
            <w:r>
              <w:rPr>
                <w:rFonts w:ascii="Arial" w:cs="Arial" w:eastAsia="Arial" w:hAnsi="Arial"/>
                <w:sz w:val="18"/>
                <w:szCs w:val="18"/>
                <w:color w:val="auto"/>
              </w:rPr>
              <w:t>1.05</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1.03</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1.00</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0.99</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1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FY13</w:t>
            </w:r>
          </w:p>
        </w:tc>
        <w:tc>
          <w:tcPr>
            <w:tcW w:w="19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0.98</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0.99</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1.10</w:t>
            </w:r>
          </w:p>
        </w:tc>
        <w:tc>
          <w:tcPr>
            <w:tcW w:w="11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1 %</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FY14</w:t>
            </w:r>
          </w:p>
        </w:tc>
        <w:tc>
          <w:tcPr>
            <w:tcW w:w="1940" w:type="dxa"/>
            <w:vAlign w:val="bottom"/>
          </w:tcPr>
          <w:p>
            <w:pPr>
              <w:jc w:val="right"/>
              <w:ind w:right="390"/>
              <w:spacing w:after="0"/>
              <w:rPr>
                <w:sz w:val="20"/>
                <w:szCs w:val="20"/>
                <w:color w:val="auto"/>
              </w:rPr>
            </w:pPr>
            <w:r>
              <w:rPr>
                <w:rFonts w:ascii="Arial" w:cs="Arial" w:eastAsia="Arial" w:hAnsi="Arial"/>
                <w:sz w:val="18"/>
                <w:szCs w:val="18"/>
                <w:color w:val="auto"/>
              </w:rPr>
              <w:t>1.01</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3 %</w:t>
            </w:r>
          </w:p>
        </w:tc>
        <w:tc>
          <w:tcPr>
            <w:tcW w:w="1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British Pound - Hedge Spot Rate (US$ per GBP)</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FY10</w:t>
            </w:r>
          </w:p>
        </w:tc>
        <w:tc>
          <w:tcPr>
            <w:tcW w:w="19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1.45</w:t>
            </w:r>
          </w:p>
        </w:tc>
        <w:tc>
          <w:tcPr>
            <w:tcW w:w="1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1.44</w:t>
            </w:r>
          </w:p>
        </w:tc>
        <w:tc>
          <w:tcPr>
            <w:tcW w:w="1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1.42</w:t>
            </w:r>
          </w:p>
        </w:tc>
        <w:tc>
          <w:tcPr>
            <w:tcW w:w="1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1.40</w:t>
            </w:r>
          </w:p>
        </w:tc>
        <w:tc>
          <w:tcPr>
            <w:tcW w:w="880" w:type="dxa"/>
            <w:vAlign w:val="bottom"/>
            <w:shd w:val="clear" w:color="auto" w:fill="CCEEFF"/>
          </w:tcPr>
          <w:p>
            <w:pPr>
              <w:spacing w:after="0"/>
              <w:rPr>
                <w:sz w:val="23"/>
                <w:szCs w:val="23"/>
                <w:color w:val="auto"/>
              </w:rPr>
            </w:pP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FY11</w:t>
            </w:r>
          </w:p>
        </w:tc>
        <w:tc>
          <w:tcPr>
            <w:tcW w:w="1940" w:type="dxa"/>
            <w:vAlign w:val="bottom"/>
          </w:tcPr>
          <w:p>
            <w:pPr>
              <w:jc w:val="right"/>
              <w:ind w:right="390"/>
              <w:spacing w:after="0"/>
              <w:rPr>
                <w:sz w:val="20"/>
                <w:szCs w:val="20"/>
                <w:color w:val="auto"/>
              </w:rPr>
            </w:pPr>
            <w:r>
              <w:rPr>
                <w:rFonts w:ascii="Arial" w:cs="Arial" w:eastAsia="Arial" w:hAnsi="Arial"/>
                <w:sz w:val="18"/>
                <w:szCs w:val="18"/>
                <w:color w:val="auto"/>
              </w:rPr>
              <w:t>1.47</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1 %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1.65</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15 %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1.63</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15 %</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1.59</w:t>
            </w:r>
          </w:p>
        </w:tc>
        <w:tc>
          <w:tcPr>
            <w:tcW w:w="88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1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19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1.50</w:t>
            </w:r>
          </w:p>
        </w:tc>
        <w:tc>
          <w:tcPr>
            <w:tcW w:w="11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2 %</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1.54</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1.57</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1.58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FY13</w:t>
            </w:r>
          </w:p>
        </w:tc>
        <w:tc>
          <w:tcPr>
            <w:tcW w:w="1940" w:type="dxa"/>
            <w:vAlign w:val="bottom"/>
          </w:tcPr>
          <w:p>
            <w:pPr>
              <w:jc w:val="right"/>
              <w:ind w:right="390"/>
              <w:spacing w:after="0"/>
              <w:rPr>
                <w:sz w:val="20"/>
                <w:szCs w:val="20"/>
                <w:color w:val="auto"/>
              </w:rPr>
            </w:pPr>
            <w:r>
              <w:rPr>
                <w:rFonts w:ascii="Arial" w:cs="Arial" w:eastAsia="Arial" w:hAnsi="Arial"/>
                <w:sz w:val="18"/>
                <w:szCs w:val="18"/>
                <w:color w:val="auto"/>
              </w:rPr>
              <w:t>1.62</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8 %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1.63</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6 %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1.60</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2 %</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1.57</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1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1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9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1.59</w:t>
            </w:r>
          </w:p>
        </w:tc>
        <w:tc>
          <w:tcPr>
            <w:tcW w:w="11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1.57</w:t>
            </w: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w:t>
            </w:r>
          </w:p>
        </w:tc>
        <w:tc>
          <w:tcPr>
            <w:tcW w:w="1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7"/>
        </w:trPr>
        <w:tc>
          <w:tcPr>
            <w:tcW w:w="16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342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Swiss Franc - Hedge Spot Rate (CHF per US$)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40"/>
              <w:spacing w:after="0"/>
              <w:rPr>
                <w:sz w:val="20"/>
                <w:szCs w:val="20"/>
                <w:color w:val="auto"/>
              </w:rPr>
            </w:pPr>
            <w:r>
              <w:rPr>
                <w:rFonts w:ascii="Arial" w:cs="Arial" w:eastAsia="Arial" w:hAnsi="Arial"/>
                <w:sz w:val="18"/>
                <w:szCs w:val="18"/>
                <w:color w:val="auto"/>
              </w:rPr>
              <w:t>FY11</w:t>
            </w:r>
          </w:p>
        </w:tc>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1.05</w:t>
            </w:r>
          </w:p>
        </w:tc>
        <w:tc>
          <w:tcPr>
            <w:tcW w:w="122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1.04</w:t>
            </w:r>
          </w:p>
        </w:tc>
        <w:tc>
          <w:tcPr>
            <w:tcW w:w="118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1.05</w:t>
            </w:r>
          </w:p>
        </w:tc>
        <w:tc>
          <w:tcPr>
            <w:tcW w:w="92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19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1.05</w:t>
            </w:r>
          </w:p>
        </w:tc>
        <w:tc>
          <w:tcPr>
            <w:tcW w:w="1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1.01</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0.96</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FY13</w:t>
            </w:r>
          </w:p>
        </w:tc>
        <w:tc>
          <w:tcPr>
            <w:tcW w:w="1900" w:type="dxa"/>
            <w:vAlign w:val="bottom"/>
          </w:tcPr>
          <w:p>
            <w:pPr>
              <w:jc w:val="right"/>
              <w:ind w:right="350"/>
              <w:spacing w:after="0"/>
              <w:rPr>
                <w:sz w:val="20"/>
                <w:szCs w:val="20"/>
                <w:color w:val="auto"/>
              </w:rPr>
            </w:pPr>
            <w:r>
              <w:rPr>
                <w:rFonts w:ascii="Arial" w:cs="Arial" w:eastAsia="Arial" w:hAnsi="Arial"/>
                <w:sz w:val="18"/>
                <w:szCs w:val="18"/>
                <w:color w:val="auto"/>
              </w:rPr>
              <w:t>0.82</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(22)%</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0.85</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(21)%</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0.92</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.92</w:t>
            </w: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1600" w:type="dxa"/>
            <w:vAlign w:val="bottom"/>
          </w:tcPr>
          <w:p>
            <w:pPr>
              <w:ind w:left="40"/>
              <w:spacing w:after="0"/>
              <w:rPr>
                <w:sz w:val="20"/>
                <w:szCs w:val="20"/>
                <w:color w:val="auto"/>
              </w:rPr>
            </w:pPr>
            <w:r>
              <w:rPr>
                <w:rFonts w:ascii="Arial" w:cs="Arial" w:eastAsia="Arial" w:hAnsi="Arial"/>
                <w:sz w:val="18"/>
                <w:szCs w:val="18"/>
                <w:color w:val="auto"/>
              </w:rPr>
              <w:t>FY14</w:t>
            </w:r>
          </w:p>
        </w:tc>
        <w:tc>
          <w:tcPr>
            <w:tcW w:w="1900" w:type="dxa"/>
            <w:vAlign w:val="bottom"/>
          </w:tcPr>
          <w:p>
            <w:pPr>
              <w:jc w:val="right"/>
              <w:ind w:right="350"/>
              <w:spacing w:after="0"/>
              <w:rPr>
                <w:sz w:val="20"/>
                <w:szCs w:val="20"/>
                <w:color w:val="auto"/>
              </w:rPr>
            </w:pPr>
            <w:r>
              <w:rPr>
                <w:rFonts w:ascii="Arial" w:cs="Arial" w:eastAsia="Arial" w:hAnsi="Arial"/>
                <w:sz w:val="18"/>
                <w:szCs w:val="18"/>
                <w:color w:val="auto"/>
              </w:rPr>
              <w:t>0.94</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15 %</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0.97</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14 %</w:t>
            </w:r>
          </w:p>
        </w:tc>
        <w:tc>
          <w:tcPr>
            <w:tcW w:w="1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20" w:type="dxa"/>
            <w:vAlign w:val="bottom"/>
          </w:tcPr>
          <w:p>
            <w:pPr>
              <w:spacing w:after="0"/>
              <w:rPr>
                <w:sz w:val="23"/>
                <w:szCs w:val="23"/>
                <w:color w:val="auto"/>
              </w:rPr>
            </w:pPr>
          </w:p>
        </w:tc>
      </w:tr>
    </w:tbl>
    <w:p>
      <w:pPr>
        <w:spacing w:after="0" w:line="391" w:lineRule="exact"/>
        <w:rPr>
          <w:sz w:val="20"/>
          <w:szCs w:val="20"/>
          <w:color w:val="auto"/>
        </w:rPr>
      </w:pPr>
    </w:p>
    <w:p>
      <w:pPr>
        <w:ind w:left="960" w:hanging="925"/>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generally place our cash flow hedge contracts on a rolling twelve month basis</w:t>
      </w:r>
    </w:p>
    <w:p>
      <w:pPr>
        <w:spacing w:after="0" w:line="3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Recent Accounting Pronouncements</w:t>
      </w:r>
    </w:p>
    <w:p>
      <w:pPr>
        <w:spacing w:after="0" w:line="27" w:lineRule="exact"/>
        <w:rPr>
          <w:rFonts w:ascii="Arial" w:cs="Arial" w:eastAsia="Arial" w:hAnsi="Arial"/>
          <w:sz w:val="18"/>
          <w:szCs w:val="18"/>
          <w:color w:val="auto"/>
        </w:rPr>
      </w:pPr>
    </w:p>
    <w:p>
      <w:pPr>
        <w:ind w:right="520"/>
        <w:spacing w:after="0" w:line="261" w:lineRule="auto"/>
        <w:rPr>
          <w:rFonts w:ascii="Arial" w:cs="Arial" w:eastAsia="Arial" w:hAnsi="Arial"/>
          <w:sz w:val="18"/>
          <w:szCs w:val="18"/>
          <w:color w:val="auto"/>
        </w:rPr>
      </w:pPr>
      <w:r>
        <w:rPr>
          <w:rFonts w:ascii="Arial" w:cs="Arial" w:eastAsia="Arial" w:hAnsi="Arial"/>
          <w:sz w:val="18"/>
          <w:szCs w:val="18"/>
          <w:color w:val="auto"/>
        </w:rPr>
        <w:t>New pronouncements issued but not effective until after September 29, 2012 are not expected to have a material impact on financial position, results of operation or liquidity.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Standards Implemented</w:t>
      </w:r>
    </w:p>
    <w:p>
      <w:pPr>
        <w:spacing w:after="0" w:line="18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In June 2011, the FASB issued Accounting Standards Update No. 2011-05, </w:t>
      </w:r>
      <w:r>
        <w:rPr>
          <w:rFonts w:ascii="Arial" w:cs="Arial" w:eastAsia="Arial" w:hAnsi="Arial"/>
          <w:sz w:val="18"/>
          <w:szCs w:val="18"/>
          <w:i w:val="1"/>
          <w:iCs w:val="1"/>
          <w:color w:val="auto"/>
        </w:rPr>
        <w:t>Comprehensive Income (Topic 220): Presentation of Comprehensive Income</w:t>
      </w:r>
      <w:r>
        <w:rPr>
          <w:rFonts w:ascii="Arial" w:cs="Arial" w:eastAsia="Arial" w:hAnsi="Arial"/>
          <w:sz w:val="18"/>
          <w:szCs w:val="18"/>
          <w:color w:val="auto"/>
        </w:rPr>
        <w:t>. Update No. 2011-05 updates the disclosure requirements for comprehensive income to include total comprehensive income, the components of net income, and the components of other comprehensive income either in a single continuous statement of comprehensive income or in two separate but consecutive statements. The updated guidance does not affect how earnings per share is calculated or presented. The updated guidance is effective for fiscal years, and interim periods</w:t>
      </w:r>
    </w:p>
    <w:p>
      <w:pPr>
        <w:sectPr>
          <w:pgSz w:w="11900" w:h="16838" w:orient="portrait"/>
          <w:cols w:equalWidth="0" w:num="1">
            <w:col w:w="11420"/>
          </w:cols>
          <w:pgMar w:left="240" w:top="125"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within those years, beginning after December 15, 2011, and should be applied retrospectively. Early adoption is permitted and amendments do not require any transition disclosures.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adopted this standard in the first quarter of fiscal 2013 using the single continuous statement approach.</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Such risks and uncertainties include technological advances in the medical field and our standards for transfusion medicine and our ability to successfully implement products that incorporate such advances and standards, product demand and market acceptance of our products, regulatory uncertainties, the effect of economic and political conditions, the impact of competitive products and pricing, the impact of industry consolidation, foreign currency exchange rates, changes in customers’ ordering patterns, the effect of industry consolidation as seen in the plasma market, the effect of communicable diseases and the effect of uncertainties in markets outside the U.S. (including Europe and Asia) in which we operate. The foregoing list should not be construed as exhaustive. See the “Risk Factors” and “Management’s Discussion and Analysis of Financial Condition and Results of Operations” sections contained elsewhere in this report, as well as our Annual Report on Form 10-K for the fiscal year ended March 31,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exposures relative to market risk are due to foreign exchange risk and interest rate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See the section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We do not use the financial instruments for speculative or trading activities.</w:t>
      </w:r>
    </w:p>
    <w:p>
      <w:pPr>
        <w:spacing w:after="0" w:line="3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$10.5 million increase in the fair value of the forward contracts; whereas a 10% weakening of the US dollar would result in a $11.2 million decrease in the fair value of the forward contracts.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Our exposure to changes in interest rates is associated with borrowings on our credit facility, all of which is variable rate debt. Total outstanding debt under our credit facility as of September 29, 2012 was $475 million of term loan borrowings with an interest rate of 1.625% based on prevailing LIBOR rates. An increase of 100 basis points in LIBOR rates would result in additional annual interest expense of $4.8 million. All other long-term debt is at fixed rates.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an evaluation, as of September 29, 2012, under the supervision and with the participation of our management, including our Chief Executive Officer and Chief Financial Officer (the Company’s principal executive officer and principal financial officer, respectively) regarding the effectiveness of the design and operation of our disclosure controls and procedures as defined in Rule 13a-15 under the Securities Exchange Act of 1934 (the “Exchange Act”). Based upon that evaluation, the Chief Executive Officer and Chief Financial Officer concluded that our disclosure controls and procedures are effective as of September 29, 2012.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acquired Pall Corporation's transfusion medicine business on August 1, 2012. We have extended our oversight and monitoring processes that support our internal control over financial reporting to include the acquired operations. We are continuing to integrate the acquired operations into our overall internal control over financial reporting process. There has been no other change in our internal control over financial reporting during the quarter ended September 29, 2012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00"/>
          </w:cols>
          <w:pgMar w:left="24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Fenwal Patent Litigation</w:t>
      </w:r>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For the past five years, we have pursued a patent infringement lawsuit against Fenwal, the details of which are summarized in our Form 10-K for the fiscal year ended March 31, 2012. In January 2010, we were awarded damages and an injunction against Fenwal in connection with this lawsuit.</w:t>
      </w:r>
    </w:p>
    <w:p>
      <w:pPr>
        <w:spacing w:after="0" w:line="147"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On June 2, 2010, the United States Court of Appeals reversed the trial court's claim construction and accordingly, vacated the injunction and damages previously awarded to Haemonetics and remanded the case to the trial court for further proceedings. On September 15, 2011, the trial court granted a summary judgment motion which essentially ended the U.S. case in Fenwal's favor.</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continue to pursue a patent infringement action in Germany against Fenwal and its European and German subsidiary, for Fenwal's infringement of Haemonetics' corresponding European patent to the Haemonetics patent at issue in the United States litigation. Further details related to these proceedings have been disclosed in our Form 10-K for the fiscal year ended March 31, 2012. There has been no material developments related to these proceedings during the current fiscal year.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u w:val="single" w:color="auto"/>
          <w:color w:val="auto"/>
        </w:rPr>
        <w:t>Risk Factors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to the other information set forth in this report, careful consideration should be given to the factors discussed in Part 1, “Item 1A. Risk Factors” in the Company’s Annual Report on Form 10-K for the year ended March 31, 2012, which could materially affect the Company’s business, financial condition or future results. The risks described in the Company’s Annual Report on Form 10-K are not the only risks facing the Company. Additional risks and uncertainties not currently known to the Company or that it currently deems to be immaterial also may materially adversely affect its business, financial condition and/or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Unregistered Sales of Equity Securities and Use of Proceeds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the August 1, 2012 press release, the Company announced that its Board of Directors approved the repurchase of up to $50.0 million worth of Company shares during fiscal year 2013. Through September 29, 2012, the Company repurchased 74,300 shares of its common stock for an aggregate purchase price of $5.3 million. We reflect stock repurchases in our financial statements on a “trade date” basis and as Authorized Unissued (Haemonetics is a Massachusetts company and under Massachusetts law repurchased shares are treated as authorized but unissued).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All of the purchases during the quarter were made under the publicly announced program. All purchases were made in the open market.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center"/>
              <w:ind w:right="143"/>
              <w:spacing w:after="0"/>
              <w:rPr>
                <w:sz w:val="20"/>
                <w:szCs w:val="20"/>
                <w:color w:val="auto"/>
              </w:rPr>
            </w:pPr>
            <w:r>
              <w:rPr>
                <w:rFonts w:ascii="Arial" w:cs="Arial" w:eastAsia="Arial" w:hAnsi="Arial"/>
                <w:sz w:val="14"/>
                <w:szCs w:val="14"/>
                <w:color w:val="auto"/>
                <w:w w:val="95"/>
              </w:rPr>
              <w:t>Total Dollar Value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center"/>
              <w:ind w:right="143"/>
              <w:spacing w:after="0"/>
              <w:rPr>
                <w:sz w:val="20"/>
                <w:szCs w:val="20"/>
                <w:color w:val="auto"/>
              </w:rPr>
            </w:pPr>
            <w:r>
              <w:rPr>
                <w:rFonts w:ascii="Arial" w:cs="Arial" w:eastAsia="Arial" w:hAnsi="Arial"/>
                <w:sz w:val="14"/>
                <w:szCs w:val="14"/>
                <w:color w:val="auto"/>
              </w:rPr>
              <w:t>Maximum Dollar</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3"/>
              </w:rPr>
              <w:t>Average Price</w:t>
            </w:r>
          </w:p>
        </w:tc>
        <w:tc>
          <w:tcPr>
            <w:tcW w:w="220" w:type="dxa"/>
            <w:vAlign w:val="bottom"/>
          </w:tcPr>
          <w:p>
            <w:pPr>
              <w:spacing w:after="0"/>
              <w:rPr>
                <w:sz w:val="12"/>
                <w:szCs w:val="12"/>
                <w:color w:val="auto"/>
              </w:rPr>
            </w:pPr>
          </w:p>
        </w:tc>
        <w:tc>
          <w:tcPr>
            <w:tcW w:w="1600" w:type="dxa"/>
            <w:vAlign w:val="bottom"/>
          </w:tcPr>
          <w:p>
            <w:pPr>
              <w:jc w:val="center"/>
              <w:ind w:right="123"/>
              <w:spacing w:after="0" w:line="149" w:lineRule="exact"/>
              <w:rPr>
                <w:sz w:val="20"/>
                <w:szCs w:val="20"/>
                <w:color w:val="auto"/>
              </w:rPr>
            </w:pPr>
            <w:r>
              <w:rPr>
                <w:rFonts w:ascii="Arial" w:cs="Arial" w:eastAsia="Arial" w:hAnsi="Arial"/>
                <w:sz w:val="14"/>
                <w:szCs w:val="14"/>
                <w:color w:val="auto"/>
                <w:w w:val="88"/>
              </w:rPr>
              <w:t>of Shares Purchased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ind w:right="143"/>
              <w:spacing w:after="0" w:line="149" w:lineRule="exact"/>
              <w:rPr>
                <w:sz w:val="20"/>
                <w:szCs w:val="20"/>
                <w:color w:val="auto"/>
              </w:rPr>
            </w:pPr>
            <w:r>
              <w:rPr>
                <w:rFonts w:ascii="Arial" w:cs="Arial" w:eastAsia="Arial" w:hAnsi="Arial"/>
                <w:sz w:val="14"/>
                <w:szCs w:val="14"/>
                <w:color w:val="auto"/>
                <w:w w:val="89"/>
              </w:rPr>
              <w:t>Value of Shares that</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4"/>
              </w:rPr>
              <w:t>Total Number</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9"/>
              </w:rPr>
              <w:t>Paid per Share</w:t>
            </w:r>
          </w:p>
        </w:tc>
        <w:tc>
          <w:tcPr>
            <w:tcW w:w="220" w:type="dxa"/>
            <w:vAlign w:val="bottom"/>
          </w:tcPr>
          <w:p>
            <w:pPr>
              <w:spacing w:after="0"/>
              <w:rPr>
                <w:sz w:val="12"/>
                <w:szCs w:val="12"/>
                <w:color w:val="auto"/>
              </w:rPr>
            </w:pPr>
          </w:p>
        </w:tc>
        <w:tc>
          <w:tcPr>
            <w:tcW w:w="1600" w:type="dxa"/>
            <w:vAlign w:val="bottom"/>
          </w:tcPr>
          <w:p>
            <w:pPr>
              <w:jc w:val="center"/>
              <w:ind w:right="143"/>
              <w:spacing w:after="0" w:line="149" w:lineRule="exact"/>
              <w:rPr>
                <w:sz w:val="20"/>
                <w:szCs w:val="20"/>
                <w:color w:val="auto"/>
              </w:rPr>
            </w:pPr>
            <w:r>
              <w:rPr>
                <w:rFonts w:ascii="Arial" w:cs="Arial" w:eastAsia="Arial" w:hAnsi="Arial"/>
                <w:sz w:val="14"/>
                <w:szCs w:val="14"/>
                <w:color w:val="auto"/>
                <w:w w:val="94"/>
              </w:rPr>
              <w:t>as Part of Publicly</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ind w:right="143"/>
              <w:spacing w:after="0" w:line="149" w:lineRule="exact"/>
              <w:rPr>
                <w:sz w:val="20"/>
                <w:szCs w:val="20"/>
                <w:color w:val="auto"/>
              </w:rPr>
            </w:pPr>
            <w:r>
              <w:rPr>
                <w:rFonts w:ascii="Arial" w:cs="Arial" w:eastAsia="Arial" w:hAnsi="Arial"/>
                <w:sz w:val="14"/>
                <w:szCs w:val="14"/>
                <w:color w:val="auto"/>
                <w:w w:val="93"/>
              </w:rPr>
              <w:t>May Yet be</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0"/>
              </w:rPr>
              <w:t>of Shares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7"/>
              </w:rPr>
              <w:t>including</w:t>
            </w:r>
          </w:p>
        </w:tc>
        <w:tc>
          <w:tcPr>
            <w:tcW w:w="220" w:type="dxa"/>
            <w:vAlign w:val="bottom"/>
          </w:tcPr>
          <w:p>
            <w:pPr>
              <w:spacing w:after="0"/>
              <w:rPr>
                <w:sz w:val="12"/>
                <w:szCs w:val="12"/>
                <w:color w:val="auto"/>
              </w:rPr>
            </w:pPr>
          </w:p>
        </w:tc>
        <w:tc>
          <w:tcPr>
            <w:tcW w:w="1600" w:type="dxa"/>
            <w:vAlign w:val="bottom"/>
          </w:tcPr>
          <w:p>
            <w:pPr>
              <w:jc w:val="center"/>
              <w:ind w:right="123"/>
              <w:spacing w:after="0" w:line="149" w:lineRule="exact"/>
              <w:rPr>
                <w:sz w:val="20"/>
                <w:szCs w:val="20"/>
                <w:color w:val="auto"/>
              </w:rPr>
            </w:pPr>
            <w:r>
              <w:rPr>
                <w:rFonts w:ascii="Arial" w:cs="Arial" w:eastAsia="Arial" w:hAnsi="Arial"/>
                <w:sz w:val="14"/>
                <w:szCs w:val="14"/>
                <w:color w:val="auto"/>
                <w:w w:val="91"/>
              </w:rPr>
              <w:t>Announced Plans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ind w:right="163"/>
              <w:spacing w:after="0" w:line="149" w:lineRule="exact"/>
              <w:rPr>
                <w:sz w:val="20"/>
                <w:szCs w:val="20"/>
                <w:color w:val="auto"/>
              </w:rPr>
            </w:pPr>
            <w:r>
              <w:rPr>
                <w:rFonts w:ascii="Arial" w:cs="Arial" w:eastAsia="Arial" w:hAnsi="Arial"/>
                <w:sz w:val="14"/>
                <w:szCs w:val="14"/>
                <w:color w:val="auto"/>
                <w:w w:val="90"/>
              </w:rPr>
              <w:t>Purchased Under the</w:t>
            </w:r>
          </w:p>
        </w:tc>
        <w:tc>
          <w:tcPr>
            <w:tcW w:w="0" w:type="dxa"/>
            <w:vAlign w:val="bottom"/>
          </w:tcPr>
          <w:p>
            <w:pPr>
              <w:spacing w:after="0"/>
              <w:rPr>
                <w:sz w:val="1"/>
                <w:szCs w:val="1"/>
                <w:color w:val="auto"/>
              </w:rPr>
            </w:pPr>
          </w:p>
        </w:tc>
      </w:tr>
      <w:tr>
        <w:trPr>
          <w:trHeight w:val="188"/>
        </w:trPr>
        <w:tc>
          <w:tcPr>
            <w:tcW w:w="3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Period</w:t>
            </w:r>
          </w:p>
        </w:tc>
        <w:tc>
          <w:tcPr>
            <w:tcW w:w="120" w:type="dxa"/>
            <w:vAlign w:val="bottom"/>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Repurchased</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color w:val="auto"/>
                <w:w w:val="92"/>
              </w:rPr>
              <w:t>Commissions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color w:val="auto"/>
                <w:w w:val="93"/>
              </w:rPr>
              <w:t>or Programs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color w:val="auto"/>
                <w:w w:val="91"/>
              </w:rPr>
              <w:t>Plans or Programs</w:t>
            </w:r>
          </w:p>
        </w:tc>
        <w:tc>
          <w:tcPr>
            <w:tcW w:w="0" w:type="dxa"/>
            <w:vAlign w:val="bottom"/>
          </w:tcPr>
          <w:p>
            <w:pPr>
              <w:spacing w:after="0"/>
              <w:rPr>
                <w:sz w:val="1"/>
                <w:szCs w:val="1"/>
                <w:color w:val="auto"/>
              </w:rPr>
            </w:pPr>
          </w:p>
        </w:tc>
      </w:tr>
      <w:tr>
        <w:trPr>
          <w:trHeight w:val="243"/>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August 1, 2011 to December 31, 2011</w:t>
            </w:r>
          </w:p>
        </w:tc>
        <w:tc>
          <w:tcPr>
            <w:tcW w:w="1840" w:type="dxa"/>
            <w:vAlign w:val="bottom"/>
          </w:tcPr>
          <w:p>
            <w:pPr>
              <w:jc w:val="right"/>
              <w:ind w:right="41"/>
              <w:spacing w:after="0"/>
              <w:rPr>
                <w:sz w:val="20"/>
                <w:szCs w:val="20"/>
                <w:color w:val="auto"/>
              </w:rPr>
            </w:pPr>
            <w:r>
              <w:rPr>
                <w:rFonts w:ascii="Arial" w:cs="Arial" w:eastAsia="Arial" w:hAnsi="Arial"/>
                <w:sz w:val="18"/>
                <w:szCs w:val="18"/>
                <w:color w:val="auto"/>
              </w:rPr>
              <w:t>74,300</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2"/>
              <w:spacing w:after="0"/>
              <w:rPr>
                <w:sz w:val="20"/>
                <w:szCs w:val="20"/>
                <w:color w:val="auto"/>
              </w:rPr>
            </w:pPr>
            <w:r>
              <w:rPr>
                <w:rFonts w:ascii="Arial" w:cs="Arial" w:eastAsia="Arial" w:hAnsi="Arial"/>
                <w:sz w:val="18"/>
                <w:szCs w:val="18"/>
                <w:color w:val="auto"/>
              </w:rPr>
              <w:t>71.91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23"/>
              <w:spacing w:after="0"/>
              <w:rPr>
                <w:sz w:val="20"/>
                <w:szCs w:val="20"/>
                <w:color w:val="auto"/>
              </w:rPr>
            </w:pPr>
            <w:r>
              <w:rPr>
                <w:rFonts w:ascii="Arial" w:cs="Arial" w:eastAsia="Arial" w:hAnsi="Arial"/>
                <w:sz w:val="18"/>
                <w:szCs w:val="18"/>
                <w:color w:val="auto"/>
              </w:rPr>
              <w:t>5,342,978</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3"/>
              <w:spacing w:after="0"/>
              <w:rPr>
                <w:sz w:val="20"/>
                <w:szCs w:val="20"/>
                <w:color w:val="auto"/>
              </w:rPr>
            </w:pPr>
            <w:r>
              <w:rPr>
                <w:rFonts w:ascii="Arial" w:cs="Arial" w:eastAsia="Arial" w:hAnsi="Arial"/>
                <w:sz w:val="18"/>
                <w:szCs w:val="18"/>
                <w:color w:val="auto"/>
              </w:rPr>
              <w:t>44,657,022</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74,300</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2"/>
              <w:spacing w:after="0"/>
              <w:rPr>
                <w:sz w:val="20"/>
                <w:szCs w:val="20"/>
                <w:color w:val="auto"/>
              </w:rPr>
            </w:pPr>
            <w:r>
              <w:rPr>
                <w:rFonts w:ascii="Arial" w:cs="Arial" w:eastAsia="Arial" w:hAnsi="Arial"/>
                <w:sz w:val="18"/>
                <w:szCs w:val="18"/>
                <w:color w:val="auto"/>
              </w:rPr>
              <w:t>71.91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color w:val="auto"/>
              </w:rPr>
              <w:t>5,342,978</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3"/>
              <w:spacing w:after="0"/>
              <w:rPr>
                <w:sz w:val="20"/>
                <w:szCs w:val="20"/>
                <w:color w:val="auto"/>
              </w:rPr>
            </w:pPr>
            <w:r>
              <w:rPr>
                <w:rFonts w:ascii="Arial" w:cs="Arial" w:eastAsia="Arial" w:hAnsi="Arial"/>
                <w:sz w:val="18"/>
                <w:szCs w:val="18"/>
                <w:color w:val="auto"/>
              </w:rPr>
              <w:t>44,657,022</w:t>
            </w:r>
          </w:p>
        </w:tc>
        <w:tc>
          <w:tcPr>
            <w:tcW w:w="0" w:type="dxa"/>
            <w:vAlign w:val="bottom"/>
          </w:tcPr>
          <w:p>
            <w:pPr>
              <w:spacing w:after="0"/>
              <w:rPr>
                <w:sz w:val="1"/>
                <w:szCs w:val="1"/>
                <w:color w:val="auto"/>
              </w:rPr>
            </w:pPr>
          </w:p>
        </w:tc>
      </w:tr>
      <w:tr>
        <w:trPr>
          <w:trHeight w:val="20"/>
        </w:trPr>
        <w:tc>
          <w:tcPr>
            <w:tcW w:w="3780" w:type="dxa"/>
            <w:vAlign w:val="bottom"/>
            <w:gridSpan w:val="4"/>
            <w:vMerge w:val="restart"/>
          </w:tcPr>
          <w:p>
            <w:pPr>
              <w:spacing w:after="0"/>
              <w:rPr>
                <w:sz w:val="20"/>
                <w:szCs w:val="20"/>
                <w:color w:val="auto"/>
              </w:rPr>
            </w:pPr>
            <w:r>
              <w:rPr>
                <w:rFonts w:ascii="Arial" w:cs="Arial" w:eastAsia="Arial" w:hAnsi="Arial"/>
                <w:sz w:val="18"/>
                <w:szCs w:val="18"/>
                <w:color w:val="auto"/>
              </w:rPr>
              <w:t>Item 3. Defaults upon Senior Securities</w:t>
            </w: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780" w:type="dxa"/>
            <w:vAlign w:val="bottom"/>
            <w:gridSpan w:val="4"/>
            <w:vMerge w:val="continue"/>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780" w:type="dxa"/>
            <w:vAlign w:val="bottom"/>
            <w:gridSpan w:val="4"/>
          </w:tcPr>
          <w:p>
            <w:pPr>
              <w:spacing w:after="0"/>
              <w:rPr>
                <w:sz w:val="20"/>
                <w:szCs w:val="20"/>
                <w:color w:val="auto"/>
              </w:rPr>
            </w:pPr>
            <w:r>
              <w:rPr>
                <w:rFonts w:ascii="Arial" w:cs="Arial" w:eastAsia="Arial" w:hAnsi="Arial"/>
                <w:sz w:val="18"/>
                <w:szCs w:val="18"/>
                <w:color w:val="auto"/>
              </w:rPr>
              <w:t>Not applicable.</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80" w:type="dxa"/>
            <w:vAlign w:val="bottom"/>
            <w:gridSpan w:val="4"/>
          </w:tcPr>
          <w:p>
            <w:pPr>
              <w:spacing w:after="0"/>
              <w:rPr>
                <w:sz w:val="20"/>
                <w:szCs w:val="20"/>
                <w:color w:val="auto"/>
              </w:rPr>
            </w:pPr>
            <w:r>
              <w:rPr>
                <w:rFonts w:ascii="Arial" w:cs="Arial" w:eastAsia="Arial" w:hAnsi="Arial"/>
                <w:sz w:val="18"/>
                <w:szCs w:val="18"/>
                <w:color w:val="auto"/>
              </w:rPr>
              <w:t>Item 4. [Removed and Reserved]</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80" w:type="dxa"/>
            <w:vAlign w:val="bottom"/>
            <w:gridSpan w:val="4"/>
          </w:tcPr>
          <w:p>
            <w:pPr>
              <w:spacing w:after="0"/>
              <w:rPr>
                <w:sz w:val="20"/>
                <w:szCs w:val="20"/>
                <w:color w:val="auto"/>
              </w:rPr>
            </w:pPr>
            <w:r>
              <w:rPr>
                <w:rFonts w:ascii="Arial" w:cs="Arial" w:eastAsia="Arial" w:hAnsi="Arial"/>
                <w:sz w:val="18"/>
                <w:szCs w:val="18"/>
                <w:color w:val="auto"/>
              </w:rPr>
              <w:t>Item 5. [Removed and Reserved]</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171" w:lineRule="exact"/>
        <w:rPr>
          <w:sz w:val="20"/>
          <w:szCs w:val="20"/>
          <w:color w:val="auto"/>
        </w:rPr>
      </w:pPr>
    </w:p>
    <w:p>
      <w:pPr>
        <w:ind w:left="1300" w:right="200" w:hanging="1255"/>
        <w:spacing w:after="0" w:line="277" w:lineRule="auto"/>
        <w:tabs>
          <w:tab w:leader="none" w:pos="12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pursuant to Section 302 of Sarbanes-Oxley Act of 2002, of Brian Concannon, President and Chief Executive Officer of the Company</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10360" w:type="dxa"/>
            <w:vAlign w:val="bottom"/>
          </w:tcPr>
          <w:p>
            <w:pPr>
              <w:ind w:left="460"/>
              <w:spacing w:after="0"/>
              <w:rPr>
                <w:sz w:val="20"/>
                <w:szCs w:val="20"/>
                <w:color w:val="auto"/>
              </w:rPr>
            </w:pPr>
            <w:r>
              <w:rPr>
                <w:rFonts w:ascii="Arial" w:cs="Arial" w:eastAsia="Arial" w:hAnsi="Arial"/>
                <w:sz w:val="18"/>
                <w:szCs w:val="18"/>
                <w:color w:val="auto"/>
                <w:w w:val="95"/>
              </w:rPr>
              <w:t>Certification pursuant to Section 302 of Sarbanes-Oxley of 2002, of Christopher Lindop, Chief Financial Officer and Vice President</w:t>
            </w:r>
          </w:p>
        </w:tc>
      </w:tr>
      <w:tr>
        <w:trPr>
          <w:trHeight w:val="230"/>
        </w:trPr>
        <w:tc>
          <w:tcPr>
            <w:tcW w:w="800" w:type="dxa"/>
            <w:vAlign w:val="bottom"/>
          </w:tcPr>
          <w:p>
            <w:pPr>
              <w:spacing w:after="0"/>
              <w:rPr>
                <w:sz w:val="20"/>
                <w:szCs w:val="20"/>
                <w:color w:val="auto"/>
              </w:rPr>
            </w:pPr>
          </w:p>
        </w:tc>
        <w:tc>
          <w:tcPr>
            <w:tcW w:w="10360" w:type="dxa"/>
            <w:vAlign w:val="bottom"/>
          </w:tcPr>
          <w:p>
            <w:pPr>
              <w:ind w:left="460"/>
              <w:spacing w:after="0"/>
              <w:rPr>
                <w:sz w:val="20"/>
                <w:szCs w:val="20"/>
                <w:color w:val="auto"/>
              </w:rPr>
            </w:pPr>
            <w:r>
              <w:rPr>
                <w:rFonts w:ascii="Arial" w:cs="Arial" w:eastAsia="Arial" w:hAnsi="Arial"/>
                <w:sz w:val="18"/>
                <w:szCs w:val="18"/>
                <w:color w:val="auto"/>
              </w:rPr>
              <w:t>Business Development of the Company</w:t>
            </w:r>
          </w:p>
        </w:tc>
      </w:tr>
      <w:tr>
        <w:trPr>
          <w:trHeight w:val="526"/>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10360" w:type="dxa"/>
            <w:vAlign w:val="bottom"/>
          </w:tcPr>
          <w:p>
            <w:pPr>
              <w:ind w:left="460"/>
              <w:spacing w:after="0"/>
              <w:rPr>
                <w:sz w:val="20"/>
                <w:szCs w:val="20"/>
                <w:color w:val="auto"/>
              </w:rPr>
            </w:pPr>
            <w:r>
              <w:rPr>
                <w:rFonts w:ascii="Arial" w:cs="Arial" w:eastAsia="Arial" w:hAnsi="Arial"/>
                <w:sz w:val="18"/>
                <w:szCs w:val="18"/>
                <w:color w:val="auto"/>
                <w:w w:val="90"/>
              </w:rPr>
              <w:t>Certification Pursuant to 18 United States Code Section 1350, as adopted Pursuant to Section 906 of the Sarbanes-Oxley Act of 2002, of</w:t>
            </w:r>
          </w:p>
        </w:tc>
      </w:tr>
      <w:tr>
        <w:trPr>
          <w:trHeight w:val="230"/>
        </w:trPr>
        <w:tc>
          <w:tcPr>
            <w:tcW w:w="800" w:type="dxa"/>
            <w:vAlign w:val="bottom"/>
          </w:tcPr>
          <w:p>
            <w:pPr>
              <w:spacing w:after="0"/>
              <w:rPr>
                <w:sz w:val="20"/>
                <w:szCs w:val="20"/>
                <w:color w:val="auto"/>
              </w:rPr>
            </w:pPr>
          </w:p>
        </w:tc>
        <w:tc>
          <w:tcPr>
            <w:tcW w:w="10360" w:type="dxa"/>
            <w:vAlign w:val="bottom"/>
          </w:tcPr>
          <w:p>
            <w:pPr>
              <w:ind w:left="460"/>
              <w:spacing w:after="0"/>
              <w:rPr>
                <w:sz w:val="20"/>
                <w:szCs w:val="20"/>
                <w:color w:val="auto"/>
              </w:rPr>
            </w:pPr>
            <w:r>
              <w:rPr>
                <w:rFonts w:ascii="Arial" w:cs="Arial" w:eastAsia="Arial" w:hAnsi="Arial"/>
                <w:sz w:val="18"/>
                <w:szCs w:val="18"/>
                <w:color w:val="auto"/>
              </w:rPr>
              <w:t>Brian Concannon, President and Chief Executive Officer of the Company</w:t>
            </w:r>
          </w:p>
        </w:tc>
      </w:tr>
      <w:tr>
        <w:trPr>
          <w:trHeight w:val="526"/>
        </w:trPr>
        <w:tc>
          <w:tcPr>
            <w:tcW w:w="800" w:type="dxa"/>
            <w:vAlign w:val="bottom"/>
          </w:tcPr>
          <w:p>
            <w:pPr>
              <w:spacing w:after="0"/>
              <w:rPr>
                <w:sz w:val="20"/>
                <w:szCs w:val="20"/>
                <w:color w:val="auto"/>
              </w:rPr>
            </w:pPr>
            <w:r>
              <w:rPr>
                <w:rFonts w:ascii="Arial" w:cs="Arial" w:eastAsia="Arial" w:hAnsi="Arial"/>
                <w:sz w:val="18"/>
                <w:szCs w:val="18"/>
                <w:color w:val="auto"/>
              </w:rPr>
              <w:t>32.2</w:t>
            </w:r>
          </w:p>
        </w:tc>
        <w:tc>
          <w:tcPr>
            <w:tcW w:w="10360" w:type="dxa"/>
            <w:vAlign w:val="bottom"/>
          </w:tcPr>
          <w:p>
            <w:pPr>
              <w:ind w:left="460"/>
              <w:spacing w:after="0"/>
              <w:rPr>
                <w:sz w:val="20"/>
                <w:szCs w:val="20"/>
                <w:color w:val="auto"/>
              </w:rPr>
            </w:pPr>
            <w:r>
              <w:rPr>
                <w:rFonts w:ascii="Arial" w:cs="Arial" w:eastAsia="Arial" w:hAnsi="Arial"/>
                <w:sz w:val="18"/>
                <w:szCs w:val="18"/>
                <w:color w:val="auto"/>
                <w:w w:val="90"/>
              </w:rPr>
              <w:t>Certification Pursuant to 18 United States Code Section 1350, as adopted Pursuant to Section 906 of the Sarbanes-Oxley Act of 2002, of</w:t>
            </w:r>
          </w:p>
        </w:tc>
      </w:tr>
      <w:tr>
        <w:trPr>
          <w:trHeight w:val="230"/>
        </w:trPr>
        <w:tc>
          <w:tcPr>
            <w:tcW w:w="800" w:type="dxa"/>
            <w:vAlign w:val="bottom"/>
          </w:tcPr>
          <w:p>
            <w:pPr>
              <w:spacing w:after="0"/>
              <w:rPr>
                <w:sz w:val="20"/>
                <w:szCs w:val="20"/>
                <w:color w:val="auto"/>
              </w:rPr>
            </w:pPr>
          </w:p>
        </w:tc>
        <w:tc>
          <w:tcPr>
            <w:tcW w:w="10360" w:type="dxa"/>
            <w:vAlign w:val="bottom"/>
          </w:tcPr>
          <w:p>
            <w:pPr>
              <w:ind w:left="460"/>
              <w:spacing w:after="0"/>
              <w:rPr>
                <w:sz w:val="20"/>
                <w:szCs w:val="20"/>
                <w:color w:val="auto"/>
              </w:rPr>
            </w:pPr>
            <w:r>
              <w:rPr>
                <w:rFonts w:ascii="Arial" w:cs="Arial" w:eastAsia="Arial" w:hAnsi="Arial"/>
                <w:sz w:val="18"/>
                <w:szCs w:val="18"/>
                <w:color w:val="auto"/>
              </w:rPr>
              <w:t>Christopher Lindop, Chief Financial Officer and Vice President Business Development of the Company</w:t>
            </w:r>
          </w:p>
        </w:tc>
      </w:tr>
      <w:tr>
        <w:trPr>
          <w:trHeight w:val="526"/>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10360" w:type="dxa"/>
            <w:vAlign w:val="bottom"/>
          </w:tcPr>
          <w:p>
            <w:pPr>
              <w:ind w:left="460"/>
              <w:spacing w:after="0"/>
              <w:rPr>
                <w:sz w:val="20"/>
                <w:szCs w:val="20"/>
                <w:color w:val="auto"/>
              </w:rPr>
            </w:pPr>
            <w:r>
              <w:rPr>
                <w:rFonts w:ascii="Arial" w:cs="Arial" w:eastAsia="Arial" w:hAnsi="Arial"/>
                <w:sz w:val="18"/>
                <w:szCs w:val="18"/>
                <w:color w:val="auto"/>
                <w:w w:val="91"/>
              </w:rPr>
              <w:t>The following materials from Haemonetics Corporation on Form 10-Q for the quarter ended September 29, 2012, formatted in Extensible</w:t>
            </w:r>
          </w:p>
        </w:tc>
      </w:tr>
      <w:tr>
        <w:trPr>
          <w:trHeight w:val="216"/>
        </w:trPr>
        <w:tc>
          <w:tcPr>
            <w:tcW w:w="800" w:type="dxa"/>
            <w:vAlign w:val="bottom"/>
          </w:tcPr>
          <w:p>
            <w:pPr>
              <w:spacing w:after="0"/>
              <w:rPr>
                <w:sz w:val="18"/>
                <w:szCs w:val="18"/>
                <w:color w:val="auto"/>
              </w:rPr>
            </w:pPr>
          </w:p>
        </w:tc>
        <w:tc>
          <w:tcPr>
            <w:tcW w:w="10360" w:type="dxa"/>
            <w:vAlign w:val="bottom"/>
          </w:tcPr>
          <w:p>
            <w:pPr>
              <w:ind w:left="460"/>
              <w:spacing w:after="0"/>
              <w:rPr>
                <w:sz w:val="20"/>
                <w:szCs w:val="20"/>
                <w:color w:val="auto"/>
              </w:rPr>
            </w:pPr>
            <w:r>
              <w:rPr>
                <w:rFonts w:ascii="Arial" w:cs="Arial" w:eastAsia="Arial" w:hAnsi="Arial"/>
                <w:sz w:val="18"/>
                <w:szCs w:val="18"/>
                <w:color w:val="auto"/>
                <w:w w:val="95"/>
              </w:rPr>
              <w:t>Business Reporting Language (XBRL); (i) Consolidated Statements of Income, (ii) Consolidated Balance Sheets, (iii) Consolidated</w:t>
            </w:r>
          </w:p>
        </w:tc>
      </w:tr>
      <w:tr>
        <w:trPr>
          <w:trHeight w:val="230"/>
        </w:trPr>
        <w:tc>
          <w:tcPr>
            <w:tcW w:w="800" w:type="dxa"/>
            <w:vAlign w:val="bottom"/>
          </w:tcPr>
          <w:p>
            <w:pPr>
              <w:spacing w:after="0"/>
              <w:rPr>
                <w:sz w:val="20"/>
                <w:szCs w:val="20"/>
                <w:color w:val="auto"/>
              </w:rPr>
            </w:pPr>
          </w:p>
        </w:tc>
        <w:tc>
          <w:tcPr>
            <w:tcW w:w="10360" w:type="dxa"/>
            <w:vAlign w:val="bottom"/>
          </w:tcPr>
          <w:p>
            <w:pPr>
              <w:ind w:left="460"/>
              <w:spacing w:after="0"/>
              <w:rPr>
                <w:sz w:val="20"/>
                <w:szCs w:val="20"/>
                <w:color w:val="auto"/>
              </w:rPr>
            </w:pPr>
            <w:r>
              <w:rPr>
                <w:rFonts w:ascii="Arial" w:cs="Arial" w:eastAsia="Arial" w:hAnsi="Arial"/>
                <w:sz w:val="18"/>
                <w:szCs w:val="18"/>
                <w:color w:val="auto"/>
              </w:rPr>
              <w:t>Statements of Cash Flows, and (iv) Notes to Consolidated Financial Statements.</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71" w:lineRule="exact"/>
        <w:rPr>
          <w:sz w:val="20"/>
          <w:szCs w:val="20"/>
          <w:color w:val="auto"/>
        </w:rPr>
      </w:pPr>
    </w:p>
    <w:p>
      <w:pPr>
        <w:ind w:left="720" w:hanging="685"/>
        <w:spacing w:after="0" w:line="264"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HAEMONETICS CORPORATION</w:t>
      </w:r>
    </w:p>
    <w:p>
      <w:pPr>
        <w:spacing w:after="0" w:line="63" w:lineRule="exact"/>
        <w:rPr>
          <w:sz w:val="20"/>
          <w:szCs w:val="20"/>
          <w:color w:val="auto"/>
        </w:rPr>
      </w:pPr>
    </w:p>
    <w:p>
      <w:pPr>
        <w:ind w:left="40"/>
        <w:spacing w:after="0"/>
        <w:tabs>
          <w:tab w:leader="none" w:pos="4360" w:val="left"/>
          <w:tab w:leader="none" w:pos="4940" w:val="left"/>
        </w:tabs>
        <w:rPr>
          <w:sz w:val="20"/>
          <w:szCs w:val="20"/>
          <w:color w:val="auto"/>
        </w:rPr>
      </w:pPr>
      <w:r>
        <w:rPr>
          <w:rFonts w:ascii="Arial" w:cs="Arial" w:eastAsia="Arial" w:hAnsi="Arial"/>
          <w:sz w:val="18"/>
          <w:szCs w:val="18"/>
          <w:color w:val="auto"/>
        </w:rPr>
        <w:t>November 7,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296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Brian Concannon, President and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4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40"/>
        <w:spacing w:after="0"/>
        <w:tabs>
          <w:tab w:leader="none" w:pos="4360" w:val="left"/>
          <w:tab w:leader="none" w:pos="4940" w:val="left"/>
        </w:tabs>
        <w:rPr>
          <w:sz w:val="20"/>
          <w:szCs w:val="20"/>
          <w:color w:val="auto"/>
        </w:rPr>
      </w:pPr>
      <w:r>
        <w:rPr>
          <w:rFonts w:ascii="Arial" w:cs="Arial" w:eastAsia="Arial" w:hAnsi="Arial"/>
          <w:sz w:val="18"/>
          <w:szCs w:val="18"/>
          <w:color w:val="auto"/>
        </w:rPr>
        <w:t>November 7,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2967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Christopher Lindop, Chief Financial</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Officer and Vice President Business Development</w:t>
      </w:r>
    </w:p>
    <w:p>
      <w:pPr>
        <w:spacing w:after="0" w:line="4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80"/>
          </w:cols>
          <w:pgMar w:left="240" w:top="125" w:right="37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Brian Concannon, certify that:</w:t>
      </w:r>
    </w:p>
    <w:p>
      <w:pPr>
        <w:spacing w:after="0" w:line="11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November 7, 2012</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Brian Concannon, President and Chief Executive</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20"/>
          </w:cols>
          <w:pgMar w:left="240" w:top="904"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Lindop, certify that:</w:t>
      </w:r>
    </w:p>
    <w:p>
      <w:pPr>
        <w:spacing w:after="0" w:line="11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November 7, 2012</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Lindop, Chief Financial Officer and</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Vice President Business Development</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September 29, 2012 as filed with the Securities and Exchange Commission on the date hereof (the “Report”), I, Brian Concannon,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November 7, 2012</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Brian Concannon,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September 29, 2012 as filed with the Securities and Exchange Commission on the date hereof (the “Report”), I, Christopher Lindop, Chief Financial Officer and Vice President Business Development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November 7, 2012</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Lindop,</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 and Vice President</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Business Development</w:t>
      </w:r>
    </w:p>
    <w:p>
      <w:pPr>
        <w:spacing w:after="0" w:line="200" w:lineRule="exact"/>
        <w:rPr>
          <w:sz w:val="20"/>
          <w:szCs w:val="20"/>
          <w:color w:val="auto"/>
        </w:rPr>
      </w:pPr>
    </w:p>
    <w:p>
      <w:pPr>
        <w:spacing w:after="0" w:line="2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2019-12-09T08:33:18Z</dcterms:created>
  <dcterms:modified xsi:type="dcterms:W3CDTF">2019-12-09T08:33:18Z</dcterms:modified>
</cp:coreProperties>
</file>