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 ended: </w:t>
      </w:r>
      <w:r>
        <w:rPr>
          <w:rFonts w:ascii="Arial" w:cs="Arial" w:eastAsia="Arial" w:hAnsi="Arial"/>
          <w:sz w:val="17"/>
          <w:szCs w:val="17"/>
          <w:b w:val="1"/>
          <w:bCs w:val="1"/>
          <w:color w:val="auto"/>
        </w:rPr>
        <w:t>December 27, 2008 Commission File Number: 1-10730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HAEMONETICS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5"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Massachusetts</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04-2882273</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100"/>
          </w:cols>
          <w:pgMar w:left="240" w:top="233" w:right="239" w:bottom="0" w:gutter="0" w:footer="0" w:header="0"/>
          <w:type w:val="continuous"/>
        </w:sectPr>
      </w:pPr>
    </w:p>
    <w:p>
      <w:pPr>
        <w:spacing w:after="0" w:line="30"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400 Wood Road, Braintree, MA 02184</w:t>
      </w:r>
    </w:p>
    <w:p>
      <w:pPr>
        <w:spacing w:after="0" w:line="50" w:lineRule="exact"/>
        <w:rPr>
          <w:sz w:val="24"/>
          <w:szCs w:val="24"/>
          <w:color w:val="auto"/>
        </w:rPr>
      </w:pPr>
    </w:p>
    <w:p>
      <w:pPr>
        <w:ind w:left="4280"/>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20"/>
          </w:cols>
          <w:pgMar w:left="240" w:top="233" w:right="239" w:bottom="0" w:gutter="0" w:footer="0" w:header="0"/>
          <w:type w:val="continuous"/>
        </w:sectPr>
      </w:pPr>
    </w:p>
    <w:p>
      <w:pPr>
        <w:spacing w:after="0" w:line="230"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8"/>
          <w:szCs w:val="18"/>
          <w:color w:val="auto"/>
        </w:rPr>
        <w:t>Registrant’s telephone number, including area code</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(781) 848-7100</w:t>
      </w:r>
    </w:p>
    <w:p>
      <w:pPr>
        <w:spacing w:after="0" w:line="229"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181" w:lineRule="exact"/>
        <w:rPr>
          <w:sz w:val="24"/>
          <w:szCs w:val="24"/>
          <w:color w:val="auto"/>
        </w:rPr>
      </w:pPr>
    </w:p>
    <w:p>
      <w:pPr>
        <w:jc w:val="center"/>
        <w:spacing w:after="0"/>
        <w:tabs>
          <w:tab w:leader="none" w:pos="3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25"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type w:val="continuous"/>
        </w:sectPr>
      </w:pPr>
    </w:p>
    <w:p>
      <w:pPr>
        <w:spacing w:after="0" w:line="124" w:lineRule="exact"/>
        <w:rPr>
          <w:sz w:val="24"/>
          <w:szCs w:val="24"/>
          <w:color w:val="auto"/>
        </w:rPr>
      </w:pPr>
    </w:p>
    <w:p>
      <w:pPr>
        <w:jc w:val="center"/>
        <w:ind w:left="6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5000" w:space="720"/>
            <w:col w:w="5700"/>
          </w:cols>
          <w:pgMar w:left="240" w:top="233" w:right="239" w:bottom="0" w:gutter="0" w:footer="0" w:header="0"/>
          <w:type w:val="continuous"/>
        </w:sectPr>
      </w:pPr>
    </w:p>
    <w:p>
      <w:pPr>
        <w:spacing w:after="0" w:line="48" w:lineRule="exact"/>
        <w:rPr>
          <w:sz w:val="24"/>
          <w:szCs w:val="24"/>
          <w:color w:val="auto"/>
        </w:rPr>
      </w:pPr>
    </w:p>
    <w:p>
      <w:pPr>
        <w:jc w:val="center"/>
        <w:ind w:left="5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5000" w:space="720"/>
            <w:col w:w="5700"/>
          </w:cols>
          <w:pgMar w:left="240" w:top="233" w:right="23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5" w:lineRule="exact"/>
        <w:rPr>
          <w:sz w:val="24"/>
          <w:szCs w:val="24"/>
          <w:color w:val="auto"/>
        </w:rPr>
      </w:pPr>
    </w:p>
    <w:p>
      <w:pPr>
        <w:jc w:val="center"/>
        <w:spacing w:after="0"/>
        <w:tabs>
          <w:tab w:leader="none" w:pos="3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No x</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number of shares of $.01 par value common stock outstanding as of December 27, 2008: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25,431,571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072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10720" w:type="dxa"/>
            <w:vAlign w:val="bottom"/>
            <w:gridSpan w:val="10"/>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72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1660" w:type="dxa"/>
            <w:vAlign w:val="bottom"/>
            <w:tcBorders>
              <w:bottom w:val="single" w:sz="8" w:color="0000EE"/>
            </w:tcBorders>
          </w:tcPr>
          <w:p>
            <w:pPr>
              <w:ind w:left="40"/>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Financial Statements</w:t>
              </w:r>
            </w:hyperlink>
          </w:p>
        </w:tc>
        <w:tc>
          <w:tcPr>
            <w:tcW w:w="8340" w:type="dxa"/>
            <w:vAlign w:val="bottom"/>
            <w:gridSpan w:val="7"/>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60" w:type="dxa"/>
            <w:vAlign w:val="bottom"/>
            <w:gridSpan w:val="9"/>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Unaudited Consolidated Statements of Income — Three and Nine Months Ended December 27, 2008 and December 29, 2007</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9080" w:type="dxa"/>
            <w:vAlign w:val="bottom"/>
            <w:tcBorders>
              <w:top w:val="single" w:sz="8" w:color="0000EE"/>
            </w:tcBorders>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Unaudited Consolidated Balance Sheets —December 27, 2008 and March 29, 2008</w:t>
              </w:r>
            </w:hyperlink>
          </w:p>
        </w:tc>
        <w:tc>
          <w:tcPr>
            <w:tcW w:w="1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2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1036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Statement of Stockholders’ Equity - Nine Months Ended December 27, 2008</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20" w:type="dxa"/>
            <w:vAlign w:val="bottom"/>
            <w:gridSpan w:val="3"/>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85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Cash Flows - Nine Months Ended December 27, 2008 and December 29, 2007</w:t>
              </w:r>
            </w:hyperlink>
          </w:p>
        </w:tc>
        <w:tc>
          <w:tcPr>
            <w:tcW w:w="1860" w:type="dxa"/>
            <w:vAlign w:val="bottom"/>
            <w:gridSpan w:val="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53"/>
        </w:trPr>
        <w:tc>
          <w:tcPr>
            <w:tcW w:w="360" w:type="dxa"/>
            <w:vAlign w:val="bottom"/>
          </w:tcPr>
          <w:p>
            <w:pPr>
              <w:spacing w:after="0"/>
              <w:rPr>
                <w:sz w:val="24"/>
                <w:szCs w:val="24"/>
                <w:color w:val="auto"/>
              </w:rPr>
            </w:pPr>
          </w:p>
        </w:tc>
        <w:tc>
          <w:tcPr>
            <w:tcW w:w="10360" w:type="dxa"/>
            <w:vAlign w:val="bottom"/>
            <w:gridSpan w:val="9"/>
          </w:tcPr>
          <w:p>
            <w:pPr>
              <w:spacing w:after="0"/>
              <w:rPr>
                <w:sz w:val="20"/>
                <w:szCs w:val="20"/>
                <w:color w:val="auto"/>
              </w:rPr>
            </w:pPr>
            <w:r>
              <w:rPr>
                <w:rFonts w:ascii="Arial" w:cs="Arial" w:eastAsia="Arial" w:hAnsi="Arial"/>
                <w:sz w:val="18"/>
                <w:szCs w:val="18"/>
                <w:color w:val="auto"/>
              </w:rPr>
              <w:t>Notes to Unaudited Consolidated Financial Statements</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92"/>
        </w:trPr>
        <w:tc>
          <w:tcPr>
            <w:tcW w:w="72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ITEM 2.</w:t>
              </w:r>
            </w:hyperlink>
          </w:p>
        </w:tc>
        <w:tc>
          <w:tcPr>
            <w:tcW w:w="6880" w:type="dxa"/>
            <w:vAlign w:val="bottom"/>
            <w:tcBorders>
              <w:bottom w:val="single" w:sz="8" w:color="0000EE"/>
            </w:tcBorders>
            <w:gridSpan w:val="4"/>
          </w:tcPr>
          <w:p>
            <w:pPr>
              <w:ind w:left="40"/>
              <w:spacing w:after="0"/>
              <w:rPr>
                <w:rFonts w:ascii="Arial" w:cs="Arial" w:eastAsia="Arial" w:hAnsi="Arial"/>
                <w:sz w:val="18"/>
                <w:szCs w:val="18"/>
                <w:b w:val="1"/>
                <w:bCs w:val="1"/>
                <w:color w:val="0000EE"/>
                <w:w w:val="89"/>
              </w:rPr>
            </w:pPr>
            <w:hyperlink w:anchor="page16">
              <w:r>
                <w:rPr>
                  <w:rFonts w:ascii="Arial" w:cs="Arial" w:eastAsia="Arial" w:hAnsi="Arial"/>
                  <w:sz w:val="18"/>
                  <w:szCs w:val="18"/>
                  <w:b w:val="1"/>
                  <w:bCs w:val="1"/>
                  <w:color w:val="0000EE"/>
                  <w:w w:val="89"/>
                </w:rPr>
                <w:t>Management’s Discussion and Analysis of Financial Condition and Results of Operations</w:t>
              </w:r>
            </w:hyperlink>
          </w:p>
        </w:tc>
        <w:tc>
          <w:tcPr>
            <w:tcW w:w="3120" w:type="dxa"/>
            <w:vAlign w:val="bottom"/>
            <w:gridSpan w:val="4"/>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720" w:type="dxa"/>
            <w:vAlign w:val="bottom"/>
            <w:gridSpan w:val="2"/>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ITEM 3.</w:t>
              </w:r>
            </w:hyperlink>
          </w:p>
        </w:tc>
        <w:tc>
          <w:tcPr>
            <w:tcW w:w="10000" w:type="dxa"/>
            <w:vAlign w:val="bottom"/>
            <w:gridSpan w:val="8"/>
          </w:tcPr>
          <w:p>
            <w:pPr>
              <w:ind w:left="40"/>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Quantitative and Qualitative Disclosures about Market Risk</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gridSpan w:val="2"/>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ITEM 4.</w:t>
              </w:r>
            </w:hyperlink>
          </w:p>
        </w:tc>
        <w:tc>
          <w:tcPr>
            <w:tcW w:w="3520" w:type="dxa"/>
            <w:vAlign w:val="bottom"/>
            <w:gridSpan w:val="5"/>
          </w:tcPr>
          <w:p>
            <w:pPr>
              <w:ind w:left="40"/>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Controls and Procedures</w:t>
              </w:r>
            </w:hyperlink>
          </w:p>
        </w:tc>
        <w:tc>
          <w:tcPr>
            <w:tcW w:w="7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3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412"/>
        </w:trPr>
        <w:tc>
          <w:tcPr>
            <w:tcW w:w="282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OTHER INFORMATION</w:t>
              </w:r>
            </w:hyperlink>
          </w:p>
        </w:tc>
        <w:tc>
          <w:tcPr>
            <w:tcW w:w="1420" w:type="dxa"/>
            <w:vAlign w:val="bottom"/>
          </w:tcPr>
          <w:p>
            <w:pPr>
              <w:spacing w:after="0"/>
              <w:rPr>
                <w:sz w:val="24"/>
                <w:szCs w:val="24"/>
                <w:color w:val="auto"/>
              </w:rPr>
            </w:pPr>
          </w:p>
        </w:tc>
        <w:tc>
          <w:tcPr>
            <w:tcW w:w="7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72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ITEM 6.</w:t>
              </w:r>
            </w:hyperlink>
          </w:p>
        </w:tc>
        <w:tc>
          <w:tcPr>
            <w:tcW w:w="680" w:type="dxa"/>
            <w:vAlign w:val="bottom"/>
            <w:tcBorders>
              <w:bottom w:val="single" w:sz="8" w:color="0000EE"/>
            </w:tcBorders>
            <w:gridSpan w:val="2"/>
          </w:tcPr>
          <w:p>
            <w:pPr>
              <w:ind w:left="40"/>
              <w:spacing w:after="0"/>
              <w:rPr>
                <w:rFonts w:ascii="Arial" w:cs="Arial" w:eastAsia="Arial" w:hAnsi="Arial"/>
                <w:sz w:val="18"/>
                <w:szCs w:val="18"/>
                <w:b w:val="1"/>
                <w:bCs w:val="1"/>
                <w:color w:val="0000EE"/>
                <w:w w:val="88"/>
              </w:rPr>
            </w:pPr>
            <w:hyperlink w:anchor="page25">
              <w:r>
                <w:rPr>
                  <w:rFonts w:ascii="Arial" w:cs="Arial" w:eastAsia="Arial" w:hAnsi="Arial"/>
                  <w:sz w:val="18"/>
                  <w:szCs w:val="18"/>
                  <w:b w:val="1"/>
                  <w:bCs w:val="1"/>
                  <w:color w:val="0000EE"/>
                  <w:w w:val="88"/>
                </w:rPr>
                <w:t>Exhibits</w:t>
              </w:r>
            </w:hyperlink>
          </w:p>
        </w:tc>
        <w:tc>
          <w:tcPr>
            <w:tcW w:w="2840" w:type="dxa"/>
            <w:vAlign w:val="bottom"/>
            <w:gridSpan w:val="3"/>
          </w:tcPr>
          <w:p>
            <w:pPr>
              <w:spacing w:after="0"/>
              <w:rPr>
                <w:sz w:val="24"/>
                <w:szCs w:val="24"/>
                <w:color w:val="auto"/>
              </w:rPr>
            </w:pPr>
          </w:p>
        </w:tc>
        <w:tc>
          <w:tcPr>
            <w:tcW w:w="7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4240" w:type="dxa"/>
            <w:vAlign w:val="bottom"/>
            <w:gridSpan w:val="7"/>
          </w:tcPr>
          <w:p>
            <w:pPr>
              <w:ind w:left="360"/>
              <w:spacing w:after="0"/>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7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53"/>
        </w:trPr>
        <w:tc>
          <w:tcPr>
            <w:tcW w:w="36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20" w:type="dxa"/>
            <w:vAlign w:val="bottom"/>
          </w:tcPr>
          <w:p>
            <w:pPr>
              <w:jc w:val="right"/>
              <w:ind w:right="5610"/>
              <w:spacing w:after="0"/>
              <w:rPr>
                <w:sz w:val="20"/>
                <w:szCs w:val="20"/>
                <w:color w:val="auto"/>
              </w:rPr>
            </w:pPr>
            <w:r>
              <w:rPr>
                <w:rFonts w:ascii="Arial" w:cs="Arial" w:eastAsia="Arial" w:hAnsi="Arial"/>
                <w:sz w:val="18"/>
                <w:szCs w:val="18"/>
                <w:color w:val="auto"/>
              </w:rPr>
              <w:t>1</w:t>
            </w:r>
          </w:p>
        </w:tc>
      </w:tr>
      <w:tr>
        <w:trPr>
          <w:trHeight w:val="132"/>
        </w:trPr>
        <w:tc>
          <w:tcPr>
            <w:tcW w:w="3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72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6"/>
          </w:tcPr>
          <w:p>
            <w:pPr>
              <w:ind w:lef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December 27</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252"/>
              <w:spacing w:after="0" w:line="119" w:lineRule="exact"/>
              <w:rPr>
                <w:sz w:val="20"/>
                <w:szCs w:val="20"/>
                <w:color w:val="auto"/>
              </w:rPr>
            </w:pPr>
            <w:r>
              <w:rPr>
                <w:rFonts w:ascii="Arial" w:cs="Arial" w:eastAsia="Arial" w:hAnsi="Arial"/>
                <w:sz w:val="13"/>
                <w:szCs w:val="13"/>
                <w:b w:val="1"/>
                <w:bCs w:val="1"/>
                <w:color w:val="auto"/>
              </w:rPr>
              <w:t>December 29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December 27</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52"/>
              <w:spacing w:after="0" w:line="119" w:lineRule="exact"/>
              <w:rPr>
                <w:sz w:val="20"/>
                <w:szCs w:val="20"/>
                <w:color w:val="auto"/>
              </w:rPr>
            </w:pPr>
            <w:r>
              <w:rPr>
                <w:rFonts w:ascii="Arial" w:cs="Arial" w:eastAsia="Arial" w:hAnsi="Arial"/>
                <w:sz w:val="13"/>
                <w:szCs w:val="13"/>
                <w:b w:val="1"/>
                <w:bCs w:val="1"/>
                <w:color w:val="auto"/>
              </w:rPr>
              <w:t>December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155,447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134,587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445,482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77,151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68,029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219,460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189,761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78,296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66,558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226,022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187,940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5,840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5,529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16,901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47,965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141,687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158,588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(expense)/income, net</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(1,451)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(2,366)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23,489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20,892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66,637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55,932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7,273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6,538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21,272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17,733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16,216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14,354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45,365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38,199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Basic income per common share</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per common share assuming dilution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0.62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0.54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26,056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26,437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26,163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26,776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December 27, 2008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29, 2008</w:t>
            </w:r>
          </w:p>
        </w:tc>
      </w:tr>
      <w:tr>
        <w:trPr>
          <w:trHeight w:val="142"/>
        </w:trPr>
        <w:tc>
          <w:tcPr>
            <w:tcW w:w="69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jc w:val="center"/>
              <w:ind w:right="176"/>
              <w:spacing w:after="0" w:line="142" w:lineRule="exact"/>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125,325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133,553</w:t>
            </w:r>
          </w:p>
        </w:tc>
      </w:tr>
      <w:tr>
        <w:trPr>
          <w:trHeight w:val="202"/>
        </w:trPr>
        <w:tc>
          <w:tcPr>
            <w:tcW w:w="6980" w:type="dxa"/>
            <w:vAlign w:val="bottom"/>
          </w:tcPr>
          <w:p>
            <w:pPr>
              <w:spacing w:after="0" w:line="201" w:lineRule="exact"/>
              <w:rPr>
                <w:sz w:val="20"/>
                <w:szCs w:val="20"/>
                <w:color w:val="auto"/>
              </w:rPr>
            </w:pPr>
            <w:r>
              <w:rPr>
                <w:rFonts w:ascii="Arial" w:cs="Arial" w:eastAsia="Arial" w:hAnsi="Arial"/>
                <w:sz w:val="18"/>
                <w:szCs w:val="18"/>
                <w:color w:val="auto"/>
              </w:rPr>
              <w:t>Accounts receivable, less allowance of $1,994 at December 27, 2008 and $2,365 at</w:t>
            </w: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March 29, 2008</w:t>
            </w:r>
          </w:p>
        </w:tc>
        <w:tc>
          <w:tcPr>
            <w:tcW w:w="260" w:type="dxa"/>
            <w:vAlign w:val="bottom"/>
          </w:tcPr>
          <w:p>
            <w:pPr>
              <w:spacing w:after="0"/>
              <w:rPr>
                <w:sz w:val="20"/>
                <w:szCs w:val="20"/>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124,575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120,252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65,388</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Deferred tax asset, net</w:t>
            </w:r>
          </w:p>
        </w:tc>
        <w:tc>
          <w:tcPr>
            <w:tcW w:w="26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8,491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12,058</w:t>
            </w:r>
          </w:p>
        </w:tc>
      </w:tr>
      <w:tr>
        <w:trPr>
          <w:trHeight w:val="178"/>
        </w:trPr>
        <w:tc>
          <w:tcPr>
            <w:tcW w:w="6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ectPr>
          <w:pgSz w:w="11900" w:h="16900" w:orient="portrait"/>
          <w:cols w:equalWidth="0" w:num="1">
            <w:col w:w="11460"/>
          </w:cols>
          <w:pgMar w:left="240" w:top="108"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21,944</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b w:val="1"/>
                <w:bCs w:val="1"/>
                <w:color w:val="auto"/>
              </w:rPr>
              <w:t>Total current assets</w:t>
            </w:r>
          </w:p>
        </w:tc>
        <w:tc>
          <w:tcPr>
            <w:tcW w:w="7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353,892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359,434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Land, building and building improvements</w:t>
            </w:r>
          </w:p>
        </w:tc>
        <w:tc>
          <w:tcPr>
            <w:tcW w:w="7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42,487</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43,873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Plant equipment and machinery</w:t>
            </w:r>
          </w:p>
        </w:tc>
        <w:tc>
          <w:tcPr>
            <w:tcW w:w="7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101,232</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Office equipment and information technology</w:t>
            </w:r>
          </w:p>
        </w:tc>
        <w:tc>
          <w:tcPr>
            <w:tcW w:w="7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52,844</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52,787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Haemonetics equipment</w:t>
            </w:r>
          </w:p>
        </w:tc>
        <w:tc>
          <w:tcPr>
            <w:tcW w:w="7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189,531</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178,827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Total property, plant and equipment</w:t>
            </w:r>
          </w:p>
        </w:tc>
        <w:tc>
          <w:tcPr>
            <w:tcW w:w="7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386,094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7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(256,624)</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(247,814)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b w:val="1"/>
                <w:bCs w:val="1"/>
                <w:color w:val="auto"/>
              </w:rPr>
              <w:t>Net property, plant and equipment</w:t>
            </w:r>
          </w:p>
        </w:tc>
        <w:tc>
          <w:tcPr>
            <w:tcW w:w="7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129,470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spacing w:after="0" w:line="201" w:lineRule="exact"/>
              <w:rPr>
                <w:sz w:val="20"/>
                <w:szCs w:val="20"/>
                <w:color w:val="auto"/>
              </w:rPr>
            </w:pPr>
            <w:r>
              <w:rPr>
                <w:rFonts w:ascii="Arial" w:cs="Arial" w:eastAsia="Arial" w:hAnsi="Arial"/>
                <w:sz w:val="18"/>
                <w:szCs w:val="18"/>
                <w:color w:val="auto"/>
              </w:rPr>
              <w:t>Other intangibles, less amortization of $24,078 at December 27, 2008 and $19,821 at</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March 29, 2008</w:t>
            </w:r>
          </w:p>
        </w:tc>
        <w:tc>
          <w:tcPr>
            <w:tcW w:w="760" w:type="dxa"/>
            <w:vAlign w:val="bottom"/>
          </w:tcPr>
          <w:p>
            <w:pPr>
              <w:spacing w:after="0"/>
              <w:rPr>
                <w:sz w:val="20"/>
                <w:szCs w:val="20"/>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63,936</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64,333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55,434</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Deferred tax asset, long term</w:t>
            </w:r>
          </w:p>
        </w:tc>
        <w:tc>
          <w:tcPr>
            <w:tcW w:w="7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14,784</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9,244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7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4,832</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other assets</w:t>
            </w:r>
          </w:p>
        </w:tc>
        <w:tc>
          <w:tcPr>
            <w:tcW w:w="7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138,986</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133,032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assets</w:t>
            </w:r>
          </w:p>
        </w:tc>
        <w:tc>
          <w:tcPr>
            <w:tcW w:w="760" w:type="dxa"/>
            <w:vAlign w:val="bottom"/>
            <w:tcBorders>
              <w:bottom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622,348</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608,950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and current maturities of long-term debt</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4,434</w:t>
            </w:r>
          </w:p>
        </w:tc>
        <w:tc>
          <w:tcPr>
            <w:tcW w:w="740" w:type="dxa"/>
            <w:vAlign w:val="bottom"/>
            <w:gridSpan w:val="2"/>
            <w:shd w:val="clear" w:color="auto" w:fill="CCEEFF"/>
          </w:tcPr>
          <w:p>
            <w:pPr>
              <w:jc w:val="right"/>
              <w:ind w:right="61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Accounts payable</w:t>
            </w:r>
          </w:p>
        </w:tc>
        <w:tc>
          <w:tcPr>
            <w:tcW w:w="7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17,201</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costs</w:t>
            </w:r>
          </w:p>
        </w:tc>
        <w:tc>
          <w:tcPr>
            <w:tcW w:w="7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24,967</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Accrued income taxes</w:t>
            </w:r>
          </w:p>
        </w:tc>
        <w:tc>
          <w:tcPr>
            <w:tcW w:w="7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6,466</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5,285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32,466</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b w:val="1"/>
                <w:bCs w:val="1"/>
                <w:color w:val="auto"/>
              </w:rPr>
              <w:t>Total current liabilities</w:t>
            </w:r>
          </w:p>
        </w:tc>
        <w:tc>
          <w:tcPr>
            <w:tcW w:w="7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85,534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7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5,522</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6,037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liability</w:t>
            </w:r>
          </w:p>
        </w:tc>
        <w:tc>
          <w:tcPr>
            <w:tcW w:w="7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7,655</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7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7,849</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7,795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$0.01 par value; Authorized - 150,000,000 shares; Issued and outstanding—</w:t>
            </w:r>
          </w:p>
        </w:tc>
        <w:tc>
          <w:tcPr>
            <w:tcW w:w="7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25,431,571 shares at December 27, 2008 and 25,694,769 shares at March 29, 2008</w:t>
            </w:r>
          </w:p>
        </w:tc>
        <w:tc>
          <w:tcPr>
            <w:tcW w:w="7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w:t>
            </w:r>
          </w:p>
        </w:tc>
        <w:tc>
          <w:tcPr>
            <w:tcW w:w="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7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217,036</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186,933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7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295,576</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302,196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7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2,922</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4,803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7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515,788</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b w:val="1"/>
                <w:bCs w:val="1"/>
                <w:color w:val="auto"/>
              </w:rPr>
              <w:t>Total liabilities and stockholders’ equity</w:t>
            </w: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622,348</w:t>
            </w:r>
          </w:p>
        </w:tc>
        <w:tc>
          <w:tcPr>
            <w:tcW w:w="740" w:type="dxa"/>
            <w:vAlign w:val="bottom"/>
            <w:gridSpan w:val="2"/>
          </w:tcPr>
          <w:p>
            <w:pPr>
              <w:jc w:val="right"/>
              <w:ind w:right="61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608,950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line="275" w:lineRule="auto"/>
        <w:rPr>
          <w:sz w:val="20"/>
          <w:szCs w:val="20"/>
          <w:color w:val="auto"/>
        </w:rPr>
      </w:pPr>
      <w:r>
        <w:rPr>
          <w:rFonts w:ascii="Arial" w:cs="Arial" w:eastAsia="Arial" w:hAnsi="Arial"/>
          <w:sz w:val="18"/>
          <w:szCs w:val="18"/>
          <w:b w:val="1"/>
          <w:bCs w:val="1"/>
          <w:color w:val="auto"/>
        </w:rPr>
        <w:t>HAEMONETICS CORPORATION AND SUBSIDIARIES CONSOLIDATED STATEMENT OF STOCKHOLDERS’ EQUITY AND OTHER COMPREHENSIVE INCOME (Unaudited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Accumulated Other</w:t>
            </w: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Total</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9"/>
              </w:rPr>
              <w:t>Common Stock</w:t>
            </w: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Stockholders’</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Comprehensive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4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9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9"/>
              </w:rPr>
              <w:t>Income / (Loss)</w:t>
            </w: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3"/>
              </w:rPr>
              <w:t>Equity</w:t>
            </w:r>
          </w:p>
        </w:tc>
        <w:tc>
          <w:tcPr>
            <w:tcW w:w="12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March 29, 2008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25,695</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186,933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302,196</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4,803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494,188</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4"/>
                <w:szCs w:val="14"/>
                <w:color w:val="auto"/>
              </w:rPr>
              <w:t>Employee stock purchase plan</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800" w:type="dxa"/>
            <w:vAlign w:val="bottom"/>
          </w:tcPr>
          <w:p>
            <w:pPr>
              <w:ind w:left="680"/>
              <w:spacing w:after="0" w:line="129" w:lineRule="exact"/>
              <w:rPr>
                <w:sz w:val="20"/>
                <w:szCs w:val="20"/>
                <w:color w:val="auto"/>
              </w:rPr>
            </w:pPr>
            <w:r>
              <w:rPr>
                <w:rFonts w:ascii="Arial" w:cs="Arial" w:eastAsia="Arial" w:hAnsi="Arial"/>
                <w:sz w:val="12"/>
                <w:szCs w:val="12"/>
                <w:color w:val="auto"/>
                <w:w w:val="74"/>
              </w:rPr>
              <w:t>59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2,658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Arial" w:cs="Arial" w:eastAsia="Arial" w:hAnsi="Arial"/>
                <w:sz w:val="14"/>
                <w:szCs w:val="14"/>
                <w:color w:val="auto"/>
              </w:rPr>
              <w:t>2,659</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Exercise of stock options and related tax</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benefit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760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28,141</w:t>
            </w: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28,149</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60"/>
              <w:spacing w:after="0" w:line="149" w:lineRule="exact"/>
              <w:rPr>
                <w:sz w:val="20"/>
                <w:szCs w:val="20"/>
                <w:color w:val="auto"/>
              </w:rPr>
            </w:pPr>
            <w:r>
              <w:rPr>
                <w:rFonts w:ascii="Arial" w:cs="Arial" w:eastAsia="Arial" w:hAnsi="Arial"/>
                <w:sz w:val="14"/>
                <w:szCs w:val="14"/>
                <w:color w:val="auto"/>
              </w:rPr>
              <w:t>Shares repurchased</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(1,100)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(8,003)</w:t>
            </w:r>
          </w:p>
        </w:tc>
        <w:tc>
          <w:tcPr>
            <w:tcW w:w="1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(51,984)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(59,998)</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Issuance of restricted stock, net of</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cancellations</w:t>
            </w:r>
          </w:p>
        </w:tc>
        <w:tc>
          <w:tcPr>
            <w:tcW w:w="800" w:type="dxa"/>
            <w:vAlign w:val="bottom"/>
            <w:shd w:val="clear" w:color="auto" w:fill="CCEEFF"/>
          </w:tcPr>
          <w:p>
            <w:pPr>
              <w:ind w:left="680"/>
              <w:spacing w:after="0"/>
              <w:rPr>
                <w:sz w:val="20"/>
                <w:szCs w:val="20"/>
                <w:color w:val="auto"/>
              </w:rPr>
            </w:pPr>
            <w:r>
              <w:rPr>
                <w:rFonts w:ascii="Arial" w:cs="Arial" w:eastAsia="Arial" w:hAnsi="Arial"/>
                <w:sz w:val="12"/>
                <w:szCs w:val="12"/>
                <w:color w:val="auto"/>
                <w:w w:val="74"/>
              </w:rPr>
              <w:t>18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60"/>
              <w:spacing w:after="0" w:line="149" w:lineRule="exact"/>
              <w:rPr>
                <w:sz w:val="20"/>
                <w:szCs w:val="20"/>
                <w:color w:val="auto"/>
              </w:rPr>
            </w:pPr>
            <w:r>
              <w:rPr>
                <w:rFonts w:ascii="Arial" w:cs="Arial" w:eastAsia="Arial" w:hAnsi="Arial"/>
                <w:sz w:val="14"/>
                <w:szCs w:val="14"/>
                <w:color w:val="auto"/>
              </w:rPr>
              <w:t>Stock Compensation expense</w:t>
            </w:r>
          </w:p>
        </w:tc>
        <w:tc>
          <w:tcPr>
            <w:tcW w:w="9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7,307</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7,307</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45,365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45,365</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(7,983)</w:t>
            </w:r>
          </w:p>
        </w:tc>
        <w:tc>
          <w:tcPr>
            <w:tcW w:w="10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(7,983)</w:t>
            </w:r>
          </w:p>
        </w:tc>
        <w:tc>
          <w:tcPr>
            <w:tcW w:w="1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Unrealized gain on hedges, net</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1,833</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1,833</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Borders>
              <w:bottom w:val="single" w:sz="8" w:color="CCEEFF"/>
            </w:tcBorders>
          </w:tcPr>
          <w:p>
            <w:pPr>
              <w:ind w:left="160"/>
              <w:spacing w:after="0" w:line="149" w:lineRule="exact"/>
              <w:rPr>
                <w:sz w:val="20"/>
                <w:szCs w:val="20"/>
                <w:color w:val="auto"/>
              </w:rPr>
            </w:pPr>
            <w:r>
              <w:rPr>
                <w:rFonts w:ascii="Arial" w:cs="Arial" w:eastAsia="Arial" w:hAnsi="Arial"/>
                <w:sz w:val="14"/>
                <w:szCs w:val="14"/>
                <w:color w:val="auto"/>
              </w:rPr>
              <w:t>Reclassification of hedge loss to earnings</w:t>
            </w:r>
          </w:p>
        </w:tc>
        <w:tc>
          <w:tcPr>
            <w:tcW w:w="940" w:type="dxa"/>
            <w:vAlign w:val="bottom"/>
            <w:tcBorders>
              <w:bottom w:val="single" w:sz="8" w:color="CCEEFF"/>
            </w:tcBorders>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gridSpan w:val="2"/>
          </w:tcPr>
          <w:p>
            <w:pPr>
              <w:jc w:val="right"/>
              <w:ind w:right="200"/>
              <w:spacing w:after="0" w:line="149" w:lineRule="exact"/>
              <w:rPr>
                <w:sz w:val="20"/>
                <w:szCs w:val="20"/>
                <w:color w:val="auto"/>
              </w:rPr>
            </w:pPr>
            <w:r>
              <w:rPr>
                <w:rFonts w:ascii="Arial" w:cs="Arial" w:eastAsia="Arial" w:hAnsi="Arial"/>
                <w:sz w:val="14"/>
                <w:szCs w:val="14"/>
                <w:color w:val="auto"/>
              </w:rPr>
              <w:t>4,269</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4,269</w:t>
            </w: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4,269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shd w:val="clear" w:color="auto" w:fill="CCEEFF"/>
          </w:tcPr>
          <w:p>
            <w:pPr>
              <w:ind w:left="160"/>
              <w:spacing w:after="0" w:line="142" w:lineRule="exact"/>
              <w:rPr>
                <w:sz w:val="20"/>
                <w:szCs w:val="20"/>
                <w:color w:val="auto"/>
              </w:rPr>
            </w:pPr>
            <w:r>
              <w:rPr>
                <w:rFonts w:ascii="Arial" w:cs="Arial" w:eastAsia="Arial" w:hAnsi="Arial"/>
                <w:sz w:val="14"/>
                <w:szCs w:val="14"/>
                <w:color w:val="auto"/>
              </w:rPr>
              <w:t>Comprehensive income</w:t>
            </w:r>
          </w:p>
        </w:tc>
        <w:tc>
          <w:tcPr>
            <w:tcW w:w="940" w:type="dxa"/>
            <w:vAlign w:val="bottom"/>
            <w:gridSpan w:val="2"/>
            <w:shd w:val="clear" w:color="auto" w:fill="CCEEFF"/>
          </w:tcPr>
          <w:p>
            <w:pPr>
              <w:ind w:left="6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43,484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27, 2008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25,432</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217,036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295,576</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2,922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515,788</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0" w:right="239" w:bottom="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December 27,</w:t>
            </w: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231"/>
              <w:spacing w:after="0" w:line="119" w:lineRule="exact"/>
              <w:rPr>
                <w:sz w:val="20"/>
                <w:szCs w:val="20"/>
                <w:color w:val="auto"/>
              </w:rPr>
            </w:pPr>
            <w:r>
              <w:rPr>
                <w:rFonts w:ascii="Arial" w:cs="Arial" w:eastAsia="Arial" w:hAnsi="Arial"/>
                <w:sz w:val="13"/>
                <w:szCs w:val="13"/>
                <w:b w:val="1"/>
                <w:bCs w:val="1"/>
                <w:color w:val="auto"/>
              </w:rPr>
              <w:t>December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45,365</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38,199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Non cash items: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Stock compensation expense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7,307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Loss/(gain) on sales of plant, property and equipment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Unrealized loss/(gain) from hedging activities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Change in operating assets and liabilities: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accounts receivable, net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Increase in inventories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(8,920)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(Increase)/Decrease in prepaid income taxes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Increase in other assets and other long-term liabilities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(9,165)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benefit of exercise of stock options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Increase in accounts payable and accrued expenses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6,917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72,658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 on property, plant and equipment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Proceeds from sale of property, plant and equipment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2,522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Medicell</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Acquisition of HaemoScope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Infonale, Inc.</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Payments on long-term real estate mortgage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decrease in short-term revolving credit agreements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Payments on long-term credit agreements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stock purchase plan</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Exercise of stock options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20,299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on exercise of stock options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Stock Repurchase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(59,998)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(74,996)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133,553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229,227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Transfers from inventory to fixed assets for placements of Haemonetics equipment</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6,174</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Interest paid</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414</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40" w:type="dxa"/>
            <w:vAlign w:val="bottom"/>
            <w:tcBorders>
              <w:top w:val="single" w:sz="8" w:color="CCEEFF"/>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Income taxes paid</w:t>
            </w: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19,951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accruals) considered necessary for a fair presentation have been included. All significant intercompany transactions have been eliminated. Certain reclassifications were made to prior year balances to conform with the presentation of the financial statements as of and for the three and nine month periods ended December 27, 2008. Operating results for the three and nine month periods ended December 27, 2008 are not necessarily indicative of the results that may be expected for the full fiscal year ending March 28, 2009, or any other interim period. These unaudited consolidated financial statements should be read in conjunction with our audited consolidated financial statements and footnotes included in our annual report on Form 10-K for the fiscal year ended March 29, 2008.</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Our fiscal year ends on the Saturday closest to the last day of March. Fiscal years 2009 and 2008 include 52 weeks with all four quarters including 13 weeks.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ectPr>
          <w:pgSz w:w="11900" w:h="16838" w:orient="portrait"/>
          <w:cols w:equalWidth="0" w:num="1">
            <w:col w:w="11420"/>
          </w:cols>
          <w:pgMar w:left="240" w:top="337" w:right="239" w:bottom="86" w:gutter="0" w:footer="0" w:header="0"/>
        </w:sectPr>
      </w:pPr>
    </w:p>
    <w:bookmarkStart w:id="4" w:name="page5"/>
    <w:bookmarkEnd w:id="4"/>
    <w:p>
      <w:pPr>
        <w:spacing w:after="0" w:line="7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revenue recognition policy is to recognize revenues from product sales, software and services in accordance with SAB No. 104, “Revenue Recognition” , EITF 00-21, “Revenue Arrangements with Multiple Deliverables” and Statement of Position (“SOP”) 97-2, “Software Revenue Recognition, as amended”. These standards require that revenues are recognized when persuasive evidence of an arrangement exists, product delivery, including customer acceptance, has occurred or services have been rendered, the price is fixed or determinable and collectibility is reasonably assured. When more than one element such as equipment, disposables and services are contained in a single arrangement, we allocate revenue between the elements based on each element’s relative fair value, provided that each element meets the criteria for treatment as a separate unit of accounting. An item is considered a separate unit of accounting if it has value to the customer on a stand alone basis and there is objective and reliable evidence of the fair value of the undelivered items. The fair value of the undelivered elements is determined by the price charged when the element is sold separately, or in cases when the item is not sold separately, by using other objective evidence as defined in EITF 00-21, or vendor specific objective evidenced under SOP 97-2.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Product sales consist of the sale of our equipment devices and the related disposables used with these devices. On product sales to end customers, revenue is recognized when both the title and risk of loss have transferred to the customer as determined by the shipping terms and all obligations have been completed. Examples of common post delivery obligations are installation and training. For product sales to distributors, we recognize revenue for both equipment and disposables upon shipment of these products to our distributors. Our standard contracts with our distributors state that title to the equipment passes to the distributors at point of shipment to a distributor’s location. The distributors are responsible for shipment to the end customer along with installation, training and acceptance of the equipment by the end customer. All shipments to distributors are at contract prices and payment is not contingent upon resale of the product.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and Service Revenues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At this time, our software and services business principally provides support to our plasma and blood collection customers. Through our Software Solutions Divison, (formerly 5D™ Information Management and Information Data Management), we provide information technology platforms and technical support for donor recruitment, blood and plasma testing laboratories, and for efficient and compliant operations of blood and plasma collection centers. For plasma customers, we also provide information technology platforms for managing distribution of plasma from collection centers to plasma fractionation facilities. Software license revenues are generally billed periodically, monthly or quarterly and recognized over the period in which the service is provided. Our software and service business model includes the provision of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September 2008, the FASB issued FASB Staff Position (FSP) No. 133-1 and FIN 45-4, “Disclosures about Credit Derivatives and Certain Guarantees: An Amendment of FASB Statement No. 133 and FASB Interpretation No. 45”. The FSP is intended to improve disclosures about credit derivatives by requiring more information about the potential adverse effects of changes in credit risk on the financial position, financial performance, and cash flows of the sellers of credit derivatives. It amends FASB Statement No. 133, “Accounting for Derivative Instruments and Hedging Activities”, to require disclosures by sellers of credit derivatives, including credit derivatives embedded in hybrid instruments. The provisions of the FSP that amend Statement 133 and Interpretation 45 are effective for reporting periods (annual or interim) ending after November 15, 2008. These statements became effective during this quarter and did not have an impact on our financial position and results of operation as we have not issued or purchased credit derivatives.</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May 2008, the FASB issued SFAS No. 162, “The Hierarchy of Generally Accepted Accounting Principles”, which will provide framework for selecting accounting principles to be used in preparing financial statements that are presented in conformity with U.S. generally accepted accounting principles (GAAP) for nongovernmental entities. Prior to the issuance of SFAS No. 162, the GAAP hierarchy was defined in the American Institute of Certified Public Accountants’ (AICPA) Statement on Auditing Standards (SAS) No. 69, “The Meaning of Present Fairly in Conformity With Generally Accepted Accounting Principles</w:t>
      </w:r>
      <w:r>
        <w:rPr>
          <w:rFonts w:ascii="Arial" w:cs="Arial" w:eastAsia="Arial" w:hAnsi="Arial"/>
          <w:sz w:val="17"/>
          <w:szCs w:val="17"/>
          <w:i w:val="1"/>
          <w:iCs w:val="1"/>
          <w:color w:val="auto"/>
        </w:rPr>
        <w:t>”</w:t>
      </w:r>
      <w:r>
        <w:rPr>
          <w:rFonts w:ascii="Arial" w:cs="Arial" w:eastAsia="Arial" w:hAnsi="Arial"/>
          <w:sz w:val="17"/>
          <w:szCs w:val="17"/>
          <w:color w:val="auto"/>
        </w:rPr>
        <w:t>. With the issuance of SFAS No. 162, the GAAP hierarchy for nongovernmental entities will move from auditing literature to accounting literature</w:t>
      </w:r>
      <w:r>
        <w:rPr>
          <w:rFonts w:ascii="Arial" w:cs="Arial" w:eastAsia="Arial" w:hAnsi="Arial"/>
          <w:sz w:val="16"/>
          <w:szCs w:val="16"/>
          <w:color w:val="auto"/>
        </w:rPr>
        <w:t>.</w:t>
      </w:r>
      <w:r>
        <w:rPr>
          <w:rFonts w:ascii="Arial" w:cs="Arial" w:eastAsia="Arial" w:hAnsi="Arial"/>
          <w:sz w:val="17"/>
          <w:szCs w:val="17"/>
          <w:color w:val="auto"/>
        </w:rPr>
        <w:t xml:space="preserve"> SFAS No. 162 will be effective 60 days following the SEC’s approval of the Public Company Accounting Oversight Board (PCAOB) amendments to AU Section 411, “The Meaning of Present Fairly in Conformity With Generally Accepted Accounting Principles”. This statement became effective during this quarter and did not have an impact on our financial position and results of operations.</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SFAS No. 161 is effective for any reporting period (annual or quarterly interim) beginning on or after November 15, 2008. We are currently evaluating the potential impact of SFAS No. 161 on our financial position and results of operations. This statement is effective for our fourth quarter interim period ending March 28, 2009 and our 2009 annual financial statements.</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December 2007, the FASB issued SFAS No. 141 (revised 2007), “Business Combinations” (“SFAS 141(R)”). In SFAS 141(R), the FASB retained the fundamental requirements of SFAS No. 141 to account for all business combinations using the acquisition method (formerly the purchase method) and for an acquiring entity to be identified in all business combinations. However, the new standard requires the acquiring entity in a business combination to recognize all (and only) the assets acquired and liabilities assumed in the transaction; establishes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SFAS 141(R) is effective for annual periods beginning on or after December 15, 2008. We are currently evaluating the potential impact of SFAS 141(R) on our financial position and results of operations. This statement is effective for our fiscal year 2010.</w:t>
      </w:r>
    </w:p>
    <w:p>
      <w:pPr>
        <w:sectPr>
          <w:pgSz w:w="11900" w:h="16912" w:orient="portrait"/>
          <w:cols w:equalWidth="0" w:num="1">
            <w:col w:w="11420"/>
          </w:cols>
          <w:pgMar w:left="240" w:top="125" w:right="239" w:bottom="0" w:gutter="0" w:footer="0" w:header="0"/>
        </w:sectPr>
      </w:pPr>
    </w:p>
    <w:bookmarkStart w:id="5" w:name="page6"/>
    <w:bookmarkEnd w:id="5"/>
    <w:p>
      <w:pPr>
        <w:ind w:right="60"/>
        <w:spacing w:after="0" w:line="272" w:lineRule="auto"/>
        <w:rPr>
          <w:sz w:val="20"/>
          <w:szCs w:val="20"/>
          <w:color w:val="auto"/>
        </w:rPr>
      </w:pPr>
      <w:r>
        <w:rPr>
          <w:rFonts w:ascii="Arial" w:cs="Arial" w:eastAsia="Arial" w:hAnsi="Arial"/>
          <w:sz w:val="17"/>
          <w:szCs w:val="17"/>
          <w:color w:val="auto"/>
        </w:rPr>
        <w:t>In December 2007, the FASB issued SFAS No. 160, “Noncontrolling Interests in Consolidated Financial Statements - an amendment of ARB No. 51”, of which the objective is to improve the relevance, comparability, and transparency of the financial information that a reporting entity provides in its consolidated financial statements by establishing accounting and reporting standards by requiring all entities to report noncontrolling (minority) interests in subsidiaries in the same way - as equity in the consolidated financial statements. Moreover, SFAS No. 160 eliminates the diversity that currently exists in accounting for transactions between an entity and noncontrolling interests by requiring they be treated as equity transactions. SFAS No. 160 is effective for annual periods beginning on or after December 15, 2008. We are currently evaluating the potential impact of SFAS No. 160 on our financial position and results of operations. This statement is effective for our fiscal year 2010.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 as required by SFAS Statement No. 128, “Earnings Per Share.” Basic EPS is computed by dividing net income by weighted average shares outstanding. Diluted EPS includes the effect of potentially dilutive common shares.</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4"/>
              </w:rPr>
              <w:t>For the 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820" w:type="dxa"/>
            <w:vAlign w:val="bottom"/>
            <w:tcBorders>
              <w:top w:val="single" w:sz="8" w:color="auto"/>
              <w:bottom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8"/>
              </w:rPr>
              <w:t>December 27, 2008</w:t>
            </w:r>
          </w:p>
        </w:tc>
        <w:tc>
          <w:tcPr>
            <w:tcW w:w="18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98"/>
              </w:rPr>
              <w:t>December 29, 2007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60" w:type="dxa"/>
            <w:vAlign w:val="bottom"/>
            <w:gridSpan w:val="4"/>
          </w:tcPr>
          <w:p>
            <w:pPr>
              <w:jc w:val="center"/>
              <w:ind w:right="112"/>
              <w:spacing w:after="0" w:line="142" w:lineRule="exact"/>
              <w:rPr>
                <w:sz w:val="20"/>
                <w:szCs w:val="20"/>
                <w:color w:val="auto"/>
              </w:rPr>
            </w:pPr>
            <w:r>
              <w:rPr>
                <w:rFonts w:ascii="Arial" w:cs="Arial" w:eastAsia="Arial" w:hAnsi="Arial"/>
                <w:sz w:val="14"/>
                <w:szCs w:val="14"/>
                <w:b w:val="1"/>
                <w:bCs w:val="1"/>
                <w:color w:val="auto"/>
                <w:w w:val="90"/>
              </w:rPr>
              <w:t>(in thousands, except per share amounts)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16,216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14,354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25,375</w:t>
            </w:r>
          </w:p>
        </w:tc>
        <w:tc>
          <w:tcPr>
            <w:tcW w:w="1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Basic income per share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0.64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16,216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25,375</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 units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681</w:t>
            </w:r>
          </w:p>
        </w:tc>
        <w:tc>
          <w:tcPr>
            <w:tcW w:w="1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26,056</w:t>
            </w:r>
          </w:p>
        </w:tc>
        <w:tc>
          <w:tcPr>
            <w:tcW w:w="1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26,437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Diluted income per share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0.62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820" w:type="dxa"/>
            <w:vAlign w:val="bottom"/>
            <w:tcBorders>
              <w:top w:val="single" w:sz="8" w:color="auto"/>
              <w:bottom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8"/>
              </w:rPr>
              <w:t>December 27, 2008</w:t>
            </w:r>
          </w:p>
        </w:tc>
        <w:tc>
          <w:tcPr>
            <w:tcW w:w="18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98"/>
              </w:rPr>
              <w:t>December 29, 2007</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60" w:type="dxa"/>
            <w:vAlign w:val="bottom"/>
            <w:gridSpan w:val="4"/>
          </w:tcPr>
          <w:p>
            <w:pPr>
              <w:jc w:val="center"/>
              <w:ind w:right="112"/>
              <w:spacing w:after="0" w:line="142" w:lineRule="exact"/>
              <w:rPr>
                <w:sz w:val="20"/>
                <w:szCs w:val="20"/>
                <w:color w:val="auto"/>
              </w:rPr>
            </w:pPr>
            <w:r>
              <w:rPr>
                <w:rFonts w:ascii="Arial" w:cs="Arial" w:eastAsia="Arial" w:hAnsi="Arial"/>
                <w:sz w:val="14"/>
                <w:szCs w:val="14"/>
                <w:b w:val="1"/>
                <w:bCs w:val="1"/>
                <w:color w:val="auto"/>
                <w:w w:val="90"/>
              </w:rPr>
              <w:t>(in thousands, except per share amounts)</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45,365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38,199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25,340</w:t>
            </w:r>
          </w:p>
        </w:tc>
        <w:tc>
          <w:tcPr>
            <w:tcW w:w="1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25,881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Basic income per share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1.79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45,365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25,340</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 units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823</w:t>
            </w:r>
          </w:p>
        </w:tc>
        <w:tc>
          <w:tcPr>
            <w:tcW w:w="1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26,163</w:t>
            </w:r>
          </w:p>
        </w:tc>
        <w:tc>
          <w:tcPr>
            <w:tcW w:w="1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26,776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Diluted income per share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Stock-based compensation expense of $7.3 million and $7.1 million was recognized for the nine months ended December 27, 2008 and December 29, 2007, respectively. The related income tax benefit recognized in the consolidated statements of income was $2.1 million for both the nine month periods ended December 27, 2008 and December 29, 2007. We recognize stock-based compensation on a straight line basis.</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For a more detailed description of our stock-based compensation plans, see Note 11—Capital Stock to the Company’s consolidated financial statements included in our Annual Report on Form 10-K for the year ended March 29, 2008. Our stock-based compensation plans currently consist of stock options, restricted stock awards, restricted stock units and an employee stock purchase plan. Options become exercisable in the manner specified by the Compensation Committee of our Board of Directors. With the exception of one performance based restricted stock award granted in the first quarter of this</w:t>
      </w:r>
    </w:p>
    <w:p>
      <w:pPr>
        <w:sectPr>
          <w:pgSz w:w="11900" w:h="16838" w:orient="portrait"/>
          <w:cols w:equalWidth="0" w:num="1">
            <w:col w:w="11260"/>
          </w:cols>
          <w:pgMar w:left="240" w:top="341" w:right="399" w:bottom="0" w:gutter="0" w:footer="0" w:header="0"/>
        </w:sectPr>
      </w:pPr>
    </w:p>
    <w:bookmarkStart w:id="6" w:name="page7"/>
    <w:bookmarkEnd w:id="6"/>
    <w:p>
      <w:pPr>
        <w:spacing w:after="0" w:line="6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year and an option award with a five year vesting period granted in the third quarter of this year, all options, restricted stock awards and restricted stock units granted to employees in the nine months ended December 27, 2008 vest over a four year period of time and the options expire not more than 7 years from the date of grant.</w:t>
      </w:r>
    </w:p>
    <w:p>
      <w:pPr>
        <w:spacing w:after="0" w:line="18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Cash flows relating to the benefits of tax deductions in excess of compensation cost recognized (in our reported results) are reported as a financing cash flow, rather than as an operating cash flow and are recognized as a credit to additional paid-in-capital. This excess tax benefit was $0.7 million and $0.5 million for the three months ended December 27, 2008 and December 29, 2007, respectively, and $6.1 million and $1.3 million for the nine months ended December 27, 2008 and December 29, 2007,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information related to stock options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auto"/>
                <w:w w:val="95"/>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6"/>
              </w:rPr>
              <w:t>Life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Exercise Price</w:t>
            </w:r>
          </w:p>
        </w:tc>
        <w:tc>
          <w:tcPr>
            <w:tcW w:w="200" w:type="dxa"/>
            <w:vAlign w:val="bottom"/>
          </w:tcPr>
          <w:p>
            <w:pPr>
              <w:spacing w:after="0"/>
              <w:rPr>
                <w:sz w:val="14"/>
                <w:szCs w:val="14"/>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000’s)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29, 2008</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3,657,566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CCEEFF"/>
            </w:tcBorders>
            <w:shd w:val="clear" w:color="auto" w:fill="CCEEFF"/>
          </w:tcPr>
          <w:p>
            <w:pPr>
              <w:jc w:val="right"/>
              <w:ind w:right="40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Exercised</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(180,095)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26.52</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(40,030)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June 28, 2008</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3,438,283</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37.51</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91"/>
              </w:rPr>
              <w:t>4.37</w:t>
            </w:r>
          </w:p>
        </w:tc>
        <w:tc>
          <w:tcPr>
            <w:tcW w:w="680" w:type="dxa"/>
            <w:vAlign w:val="bottom"/>
            <w:tcBorders>
              <w:bottom w:val="single" w:sz="8" w:color="CCEEFF"/>
            </w:tcBorders>
            <w:gridSpan w:val="2"/>
          </w:tcPr>
          <w:p>
            <w:pPr>
              <w:jc w:val="right"/>
              <w:ind w:right="404"/>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69,606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46,138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58.45</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(480,045)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(10,589)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39.65</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27, 2008</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2,993,787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4.35</w:t>
            </w:r>
          </w:p>
        </w:tc>
        <w:tc>
          <w:tcPr>
            <w:tcW w:w="680" w:type="dxa"/>
            <w:vAlign w:val="bottom"/>
            <w:tcBorders>
              <w:top w:val="single" w:sz="8" w:color="CCEEFF"/>
              <w:bottom w:val="single" w:sz="8" w:color="CCEEFF"/>
            </w:tcBorders>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Exercised</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(99,365)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27.16</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(22,505)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December 27, 2008</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3,235,856</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41.53</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91"/>
              </w:rPr>
              <w:t>4.44</w:t>
            </w:r>
          </w:p>
        </w:tc>
        <w:tc>
          <w:tcPr>
            <w:tcW w:w="680" w:type="dxa"/>
            <w:vAlign w:val="bottom"/>
            <w:tcBorders>
              <w:bottom w:val="single" w:sz="8" w:color="CCEEFF"/>
            </w:tcBorders>
            <w:gridSpan w:val="2"/>
          </w:tcPr>
          <w:p>
            <w:pPr>
              <w:jc w:val="right"/>
              <w:ind w:right="404"/>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44,426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Exercisable at December 27, 2008</w:t>
            </w:r>
          </w:p>
        </w:tc>
        <w:tc>
          <w:tcPr>
            <w:tcW w:w="1380" w:type="dxa"/>
            <w:vAlign w:val="bottom"/>
          </w:tcPr>
          <w:p>
            <w:pPr>
              <w:jc w:val="right"/>
              <w:spacing w:after="0"/>
              <w:rPr>
                <w:sz w:val="20"/>
                <w:szCs w:val="20"/>
                <w:color w:val="auto"/>
              </w:rPr>
            </w:pPr>
            <w:r>
              <w:rPr>
                <w:rFonts w:ascii="Arial" w:cs="Arial" w:eastAsia="Arial" w:hAnsi="Arial"/>
                <w:sz w:val="18"/>
                <w:szCs w:val="18"/>
                <w:color w:val="auto"/>
              </w:rPr>
              <w:t>2,087,991</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36.20</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3.89</w:t>
            </w:r>
          </w:p>
        </w:tc>
        <w:tc>
          <w:tcPr>
            <w:tcW w:w="680" w:type="dxa"/>
            <w:vAlign w:val="bottom"/>
            <w:gridSpan w:val="2"/>
          </w:tcPr>
          <w:p>
            <w:pPr>
              <w:jc w:val="right"/>
              <w:ind w:right="404"/>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39,696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Expected to Vest at December 27, 2008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2,985,496</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40.75</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4.37</w:t>
            </w:r>
          </w:p>
        </w:tc>
        <w:tc>
          <w:tcPr>
            <w:tcW w:w="680" w:type="dxa"/>
            <w:vAlign w:val="bottom"/>
            <w:gridSpan w:val="2"/>
          </w:tcPr>
          <w:p>
            <w:pPr>
              <w:jc w:val="right"/>
              <w:ind w:right="404"/>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43,306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total intrinsic value of options exercised during the three month periods ended December 27, 2008 and December 29, 2007, was $2.8 million and $5.8 million, respectively. The total intrinsic value of options exercised was $21.6 million and $16.4 million for the nine month periods ended December 27, 2008 and December 29, 2007, respectively.</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As of December 27, 2008 and December 29, 2007, there was $13.8 million and $16.2 million, respectively, of total unrecognized compensation cost related to non vested stock options. That cost is expected to be recognized over a weighted average period of 2.4 years and 2.3 years, respectively. The total fair value of shares fully vested during the nine months ended December 27, 2008 and December 29, 2007 was $29.0 million $34.0 million, respectively.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weighted average fair value for our options granted in the first nine months of fiscal year 2009 and 2008 was $16.67and $17.45, respectively. The fair value was estimated using the Black-Scholes option-pricing model based on the weighted average of the high and low stock prices at the grant date and the weighted average assumptions specific to the underlying options. Expected volatility assumptions are based on the historical volatility of our common stock. The risk-free interest rate was selected based upon yields of U.S. Treasury issues with a term equal to the expected life of the option being valued. The expected life of the option was estimated with reference to historical exercise patterns, the contractual term of the option and the vesting period. The assumptions utilized for option grants during the periods presented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4040" w:type="dxa"/>
            <w:vAlign w:val="bottom"/>
            <w:gridSpan w:val="4"/>
          </w:tcPr>
          <w:p>
            <w:pPr>
              <w:jc w:val="right"/>
              <w:ind w:right="148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5860" w:type="dxa"/>
            <w:vAlign w:val="bottom"/>
          </w:tcPr>
          <w:p>
            <w:pPr>
              <w:spacing w:after="0"/>
              <w:rPr>
                <w:sz w:val="12"/>
                <w:szCs w:val="12"/>
                <w:color w:val="auto"/>
              </w:rPr>
            </w:pPr>
          </w:p>
        </w:tc>
        <w:tc>
          <w:tcPr>
            <w:tcW w:w="204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December 27, 2008</w:t>
            </w:r>
          </w:p>
        </w:tc>
        <w:tc>
          <w:tcPr>
            <w:tcW w:w="18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December 29, 2007</w:t>
            </w:r>
          </w:p>
        </w:tc>
        <w:tc>
          <w:tcPr>
            <w:tcW w:w="160" w:type="dxa"/>
            <w:vAlign w:val="bottom"/>
          </w:tcPr>
          <w:p>
            <w:pPr>
              <w:spacing w:after="0"/>
              <w:rPr>
                <w:sz w:val="12"/>
                <w:szCs w:val="12"/>
                <w:color w:val="auto"/>
              </w:rPr>
            </w:pP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 Options Black-Scholes assumptions (weighted average):</w:t>
            </w:r>
          </w:p>
        </w:tc>
        <w:tc>
          <w:tcPr>
            <w:tcW w:w="1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Volatility</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29.79%</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29.56%</w:t>
            </w: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life (years)</w:t>
            </w: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of December 27, 2008 and December 29, 2007, there was $0.3 and $0.3 million, respectively, of total unrecognized compensation cost related to non vested restricted stock awards. That cost was expected to be recognized over a weighted average period of 1.92 and 3.34 years, respectively. The total fair value of restricted stock awards vested during the nine months ended December 27, 2008 was $0.1 million and $0.0 million during the nine months ended December 29,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information related to restricted stock awards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140" w:type="dxa"/>
            <w:vAlign w:val="bottom"/>
            <w:vMerge w:val="restart"/>
          </w:tcPr>
          <w:p>
            <w:pPr>
              <w:ind w:left="660"/>
              <w:spacing w:after="0"/>
              <w:rPr>
                <w:sz w:val="20"/>
                <w:szCs w:val="20"/>
                <w:color w:val="auto"/>
              </w:rPr>
            </w:pPr>
            <w:r>
              <w:rPr>
                <w:rFonts w:ascii="Arial" w:cs="Arial" w:eastAsia="Arial" w:hAnsi="Arial"/>
                <w:sz w:val="14"/>
                <w:szCs w:val="14"/>
                <w:b w:val="1"/>
                <w:bCs w:val="1"/>
                <w:color w:val="auto"/>
                <w:w w:val="98"/>
              </w:rPr>
              <w:t>Shares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March 29, 2008</w:t>
            </w: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84"/>
              </w:rPr>
              <w:t>48.09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88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Granted</w:t>
            </w:r>
          </w:p>
        </w:tc>
        <w:tc>
          <w:tcPr>
            <w:tcW w:w="5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3,456</w:t>
            </w:r>
          </w:p>
        </w:tc>
        <w:tc>
          <w:tcPr>
            <w:tcW w:w="420" w:type="dxa"/>
            <w:vAlign w:val="bottom"/>
            <w:gridSpan w:val="2"/>
            <w:shd w:val="clear" w:color="auto" w:fill="CCEEFF"/>
          </w:tcPr>
          <w:p>
            <w:pPr>
              <w:jc w:val="right"/>
              <w:ind w:right="10"/>
              <w:spacing w:after="0" w:line="205"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1100"/>
              <w:spacing w:after="0" w:line="205" w:lineRule="exact"/>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Released</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(2,500)</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Terminated</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Nonvested at December 27, 2008</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10,956</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December 27, 2008 and December 29, 2007, there was $4.2 and $2.2 million, respectively, of total unrecognized compensation cost related to non vested restricted stock units. That cost was expected to be recognized over a weighted average period of 3.4 and 3.7 years, respectively. The total fair value of shares fully vested was $0.8 million and $0.0 million for the nine months ended December 27, 2008 and December 29, 2007,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information related to restricted stock units is as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100" w:type="dxa"/>
            <w:vAlign w:val="bottom"/>
            <w:vMerge w:val="restart"/>
          </w:tcPr>
          <w:p>
            <w:pPr>
              <w:ind w:left="640"/>
              <w:spacing w:after="0"/>
              <w:rPr>
                <w:sz w:val="20"/>
                <w:szCs w:val="20"/>
                <w:color w:val="auto"/>
              </w:rPr>
            </w:pPr>
            <w:r>
              <w:rPr>
                <w:rFonts w:ascii="Arial" w:cs="Arial" w:eastAsia="Arial" w:hAnsi="Arial"/>
                <w:sz w:val="14"/>
                <w:szCs w:val="14"/>
                <w:b w:val="1"/>
                <w:bCs w:val="1"/>
                <w:color w:val="auto"/>
                <w:w w:val="94"/>
              </w:rPr>
              <w:t>Shares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Market Value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March 29, 2008</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Vested</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June 28, 2008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56,637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Vested</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September 27, 2008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59,066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56,237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Vested</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(12,417)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27, 2008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101,525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of December 27, 2008 and December 29, 2007, there was $0.3 and $0.1 million, respectively, of total unrecognized compensation expense, net of estimated forfeitures, related to the Employee Stock Purchase Plan (“ESPP”) shares. That cost was expected to be recognized over the remainder of fiscal year 2009 and fiscal year 2008,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December 27, 2008 and December 29, 2007, there were 59,263 and 55,766 shares purchased under the ESPP,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They were purchased at $44.86 and $39.61 per share under the ESPP.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ACCOUNTING FOR SHIPPING AND HANDLING COSTS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Shipping and handling costs are included in cost of goods sold with the exception of $5.0 million and $2.8 million for the three months ended December 27, 2008 and December 29, 2007, respectively, and $10.8 million and $7.2 million for the nine months ended December 27, 2008 and December 29, 2007, respectively, that are included in selling, general, and administrative expenses. Freight is classified in cost of goods sold when the customer is charged for freight and in selling, general and administration when the customer is not explicitly charged for freight.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FOREIGN CURRENCY</w:t>
      </w:r>
    </w:p>
    <w:p>
      <w:pPr>
        <w:spacing w:after="0" w:line="22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enter into forward exchange contracts to hedge the probable cash flows from forecasted inter-company foreign currency denominated revenues, principally Japanese Yen and Euro. The purpose of our hedging strategy is to lock in foreign exchange rates for 12 months to minimize, for this period of time, the unforeseen impact on our results of operations of fluctuations in foreign exchange rates. We also enter into forward contracts that settle within 35 days to hedge certain monetary assets and liabilities denominated in foreign currencies. These derivative financial instruments are not used for trading purposes. The forward exchange contracts are recorded at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fair value and are included in other current assets or other current liabilities on our consolidated balance sheets. The gains or losses on the forward exchange contracts designated as hedges are recorded in net revenues on our consolidated statements of income when the underlying hedge transaction affects earnings. The cash flows related to the gains and losses on these foreign currency hedges are classified in the consolidated statements of cash flows as part of cash flows from operating activities. In the event the hedged forecasted transaction does not occur, or it becomes probable that it will not occur, the Company would reclassify any gain or loss on the related cash flow hedge from other comprehensive income to earnings at that time. The ineffective portion of a derivative’s change in fair value is recognized currently in other income, net in our consolidated statements of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PRODUCT WARRANTIES</w:t>
      </w:r>
    </w:p>
    <w:p>
      <w:pPr>
        <w:sectPr>
          <w:pgSz w:w="11900" w:h="16838" w:orient="portrait"/>
          <w:cols w:equalWidth="0" w:num="1">
            <w:col w:w="11380"/>
          </w:cols>
          <w:pgMar w:left="240" w:top="125" w:right="279" w:bottom="0" w:gutter="0" w:footer="0" w:header="0"/>
        </w:sectPr>
      </w:pPr>
    </w:p>
    <w:bookmarkStart w:id="8" w:name="page9"/>
    <w:bookmarkEnd w:id="8"/>
    <w:p>
      <w:pPr>
        <w:jc w:val="both"/>
        <w:ind w:right="160"/>
        <w:spacing w:after="0" w:line="264" w:lineRule="auto"/>
        <w:rPr>
          <w:sz w:val="20"/>
          <w:szCs w:val="20"/>
          <w:color w:val="auto"/>
        </w:rPr>
      </w:pPr>
      <w:r>
        <w:rPr>
          <w:rFonts w:ascii="Arial" w:cs="Arial" w:eastAsia="Arial" w:hAnsi="Arial"/>
          <w:sz w:val="18"/>
          <w:szCs w:val="18"/>
          <w:color w:val="auto"/>
        </w:rPr>
        <w:t>We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ectPr>
          <w:pgSz w:w="11900" w:h="16838" w:orient="portrait"/>
          <w:cols w:equalWidth="0" w:num="1">
            <w:col w:w="11320"/>
          </w:cols>
          <w:pgMar w:left="240" w:top="34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Warranty accrual as of the beginning of the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Warranty Provision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Warranty Spending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Warranty accrual as of the end of the period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Warranty accrual as of the beginning of the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Warranty Provision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Warranty Spending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Warranty accrual as of the end of the period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780"/>
        <w:spacing w:after="0"/>
        <w:rPr>
          <w:sz w:val="20"/>
          <w:szCs w:val="20"/>
          <w:color w:val="auto"/>
        </w:rPr>
      </w:pPr>
      <w:r>
        <w:rPr>
          <w:rFonts w:ascii="Arial" w:cs="Arial" w:eastAsia="Arial" w:hAnsi="Arial"/>
          <w:sz w:val="14"/>
          <w:szCs w:val="14"/>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23152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ind w:left="280"/>
        <w:spacing w:after="0"/>
        <w:tabs>
          <w:tab w:leader="none" w:pos="2200" w:val="left"/>
        </w:tabs>
        <w:rPr>
          <w:sz w:val="20"/>
          <w:szCs w:val="20"/>
          <w:color w:val="auto"/>
        </w:rPr>
      </w:pPr>
      <w:r>
        <w:rPr>
          <w:rFonts w:ascii="Arial" w:cs="Arial" w:eastAsia="Arial" w:hAnsi="Arial"/>
          <w:sz w:val="14"/>
          <w:szCs w:val="14"/>
          <w:b w:val="1"/>
          <w:bCs w:val="1"/>
          <w:color w:val="auto"/>
        </w:rPr>
        <w:t>December 27, 2008</w:t>
      </w:r>
      <w:r>
        <w:rPr>
          <w:sz w:val="20"/>
          <w:szCs w:val="20"/>
          <w:color w:val="auto"/>
        </w:rPr>
        <w:tab/>
      </w:r>
      <w:r>
        <w:rPr>
          <w:rFonts w:ascii="Arial" w:cs="Arial" w:eastAsia="Arial" w:hAnsi="Arial"/>
          <w:sz w:val="12"/>
          <w:szCs w:val="12"/>
          <w:b w:val="1"/>
          <w:bCs w:val="1"/>
          <w:color w:val="auto"/>
        </w:rPr>
        <w:t>December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315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ind w:left="1380"/>
        <w:spacing w:after="0" w:line="235"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0</wp:posOffset>
            </wp:positionV>
            <wp:extent cx="675767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5767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992</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c>
          <w:tcPr>
            <w:tcW w:w="40" w:type="dxa"/>
            <w:vAlign w:val="bottom"/>
          </w:tcPr>
          <w:p>
            <w:pPr>
              <w:spacing w:after="0"/>
              <w:rPr>
                <w:sz w:val="20"/>
                <w:szCs w:val="20"/>
                <w:color w:val="auto"/>
              </w:rPr>
            </w:pPr>
          </w:p>
        </w:tc>
      </w:tr>
      <w:tr>
        <w:trPr>
          <w:trHeight w:val="416"/>
        </w:trPr>
        <w:tc>
          <w:tcPr>
            <w:tcW w:w="180" w:type="dxa"/>
            <w:vAlign w:val="bottom"/>
          </w:tcPr>
          <w:p>
            <w:pPr>
              <w:spacing w:after="0"/>
              <w:rPr>
                <w:sz w:val="24"/>
                <w:szCs w:val="24"/>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431</w:t>
            </w:r>
          </w:p>
        </w:tc>
        <w:tc>
          <w:tcPr>
            <w:tcW w:w="4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(431)</w:t>
            </w:r>
          </w:p>
        </w:tc>
      </w:tr>
      <w:tr>
        <w:trPr>
          <w:trHeight w:val="20"/>
        </w:trPr>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1,176</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c>
          <w:tcPr>
            <w:tcW w:w="40" w:type="dxa"/>
            <w:vAlign w:val="bottom"/>
          </w:tcPr>
          <w:p>
            <w:pPr>
              <w:spacing w:after="0"/>
              <w:rPr>
                <w:sz w:val="24"/>
                <w:szCs w:val="24"/>
                <w:color w:val="auto"/>
              </w:rPr>
            </w:pP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3520" w:type="dxa"/>
            <w:vAlign w:val="bottom"/>
            <w:gridSpan w:val="7"/>
          </w:tcPr>
          <w:p>
            <w:pPr>
              <w:jc w:val="right"/>
              <w:ind w:right="1060"/>
              <w:spacing w:after="0"/>
              <w:rPr>
                <w:sz w:val="20"/>
                <w:szCs w:val="20"/>
                <w:color w:val="auto"/>
              </w:rPr>
            </w:pPr>
            <w:r>
              <w:rPr>
                <w:rFonts w:ascii="Arial" w:cs="Arial" w:eastAsia="Arial" w:hAnsi="Arial"/>
                <w:sz w:val="14"/>
                <w:szCs w:val="14"/>
                <w:b w:val="1"/>
                <w:bCs w:val="1"/>
                <w:color w:val="auto"/>
              </w:rPr>
              <w:t>For the nine months ended</w:t>
            </w:r>
          </w:p>
        </w:tc>
      </w:tr>
      <w:tr>
        <w:trPr>
          <w:trHeight w:val="142"/>
        </w:trPr>
        <w:tc>
          <w:tcPr>
            <w:tcW w:w="18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8"/>
              </w:rPr>
              <w:t>December 27, 2008</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December 29, 2007</w:t>
            </w:r>
          </w:p>
        </w:tc>
        <w:tc>
          <w:tcPr>
            <w:tcW w:w="60" w:type="dxa"/>
            <w:vAlign w:val="bottom"/>
            <w:gridSpan w:val="2"/>
          </w:tcPr>
          <w:p>
            <w:pPr>
              <w:spacing w:after="0"/>
              <w:rPr>
                <w:sz w:val="12"/>
                <w:szCs w:val="12"/>
                <w:color w:val="auto"/>
              </w:rPr>
            </w:pPr>
          </w:p>
        </w:tc>
      </w:tr>
      <w:tr>
        <w:trPr>
          <w:trHeight w:val="128"/>
        </w:trPr>
        <w:tc>
          <w:tcPr>
            <w:tcW w:w="180" w:type="dxa"/>
            <w:vAlign w:val="bottom"/>
          </w:tcPr>
          <w:p>
            <w:pPr>
              <w:spacing w:after="0"/>
              <w:rPr>
                <w:sz w:val="11"/>
                <w:szCs w:val="11"/>
                <w:color w:val="auto"/>
              </w:rPr>
            </w:pPr>
          </w:p>
        </w:tc>
        <w:tc>
          <w:tcPr>
            <w:tcW w:w="3460" w:type="dxa"/>
            <w:vAlign w:val="bottom"/>
            <w:gridSpan w:val="5"/>
          </w:tcPr>
          <w:p>
            <w:pPr>
              <w:jc w:val="right"/>
              <w:ind w:right="1292"/>
              <w:spacing w:after="0" w:line="128" w:lineRule="exact"/>
              <w:rPr>
                <w:sz w:val="20"/>
                <w:szCs w:val="20"/>
                <w:color w:val="auto"/>
              </w:rPr>
            </w:pPr>
            <w:r>
              <w:rPr>
                <w:rFonts w:ascii="Arial" w:cs="Arial" w:eastAsia="Arial" w:hAnsi="Arial"/>
                <w:sz w:val="14"/>
                <w:szCs w:val="14"/>
                <w:b w:val="1"/>
                <w:bCs w:val="1"/>
                <w:color w:val="auto"/>
              </w:rPr>
              <w:t>(in thousands)</w:t>
            </w:r>
          </w:p>
        </w:tc>
        <w:tc>
          <w:tcPr>
            <w:tcW w:w="60" w:type="dxa"/>
            <w:vAlign w:val="bottom"/>
            <w:gridSpan w:val="2"/>
          </w:tcPr>
          <w:p>
            <w:pPr>
              <w:spacing w:after="0"/>
              <w:rPr>
                <w:sz w:val="11"/>
                <w:szCs w:val="11"/>
                <w:color w:val="auto"/>
              </w:rPr>
            </w:pPr>
          </w:p>
        </w:tc>
      </w:tr>
      <w:tr>
        <w:trPr>
          <w:trHeight w:val="230"/>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929</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c>
          <w:tcPr>
            <w:tcW w:w="4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1,496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1,420</w:t>
            </w:r>
          </w:p>
        </w:tc>
        <w:tc>
          <w:tcPr>
            <w:tcW w:w="4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(1,249)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(1,420)</w:t>
            </w:r>
          </w:p>
        </w:tc>
      </w:tr>
      <w:tr>
        <w:trPr>
          <w:trHeight w:val="20"/>
        </w:trPr>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1,176</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c>
          <w:tcPr>
            <w:tcW w:w="40" w:type="dxa"/>
            <w:vAlign w:val="bottom"/>
          </w:tcPr>
          <w:p>
            <w:pPr>
              <w:spacing w:after="0"/>
              <w:rPr>
                <w:sz w:val="24"/>
                <w:szCs w:val="24"/>
                <w:color w:val="auto"/>
              </w:rPr>
            </w:pP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-2152015</wp:posOffset>
            </wp:positionV>
            <wp:extent cx="675767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57670" cy="13716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-1877695</wp:posOffset>
            </wp:positionV>
            <wp:extent cx="675767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57670" cy="13716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-1594485</wp:posOffset>
            </wp:positionV>
            <wp:extent cx="675767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57670" cy="14605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-994410</wp:posOffset>
            </wp:positionV>
            <wp:extent cx="675767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57670" cy="13716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-719455</wp:posOffset>
            </wp:positionV>
            <wp:extent cx="675767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57670" cy="13716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-445135</wp:posOffset>
            </wp:positionV>
            <wp:extent cx="675767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57670" cy="13716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-162560</wp:posOffset>
            </wp:positionV>
            <wp:extent cx="675767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57670" cy="1460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6180" w:space="720"/>
            <w:col w:w="4420"/>
          </w:cols>
          <w:pgMar w:left="240" w:top="341" w:right="339" w:bottom="0" w:gutter="0" w:footer="0" w:header="0"/>
          <w:type w:val="continuous"/>
        </w:sectPr>
      </w:pPr>
    </w:p>
    <w:p>
      <w:pPr>
        <w:spacing w:after="0" w:line="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Comprehensive income is the total of net income and all other non-owner changes in stockholders’ equity. For us, all other non-owner changes are primarily foreign currency translation, the change in our net minimum pension liability, and the changes in fair value of the effective portion of our outstanding cash flow hedge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other comprehensive income is as follows: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60" w:type="dxa"/>
            <w:vAlign w:val="bottom"/>
            <w:gridSpan w:val="7"/>
          </w:tcPr>
          <w:p>
            <w:pPr>
              <w:jc w:val="right"/>
              <w:ind w:right="108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42"/>
        </w:trPr>
        <w:tc>
          <w:tcPr>
            <w:tcW w:w="7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8"/>
              </w:rPr>
              <w:t>December 27, 2008</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96"/>
              </w:rPr>
              <w:t>December 29, 2007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gain/(loss) on cash flow hedges, net of tax</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into earnings of cash flow hedge losses, net of tax</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gridSpan w:val="7"/>
          </w:tcPr>
          <w:p>
            <w:pPr>
              <w:jc w:val="right"/>
              <w:ind w:right="11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42"/>
        </w:trPr>
        <w:tc>
          <w:tcPr>
            <w:tcW w:w="7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8"/>
              </w:rPr>
              <w:t>December 27, 2008</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96"/>
              </w:rPr>
              <w:t>December 29, 2007</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gain/(loss) on cash flow hedges, net of tax</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into earnings of cash flow hedge losses, net of tax</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43,484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41,787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INVENTORIES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27, 2008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March 29, 2008</w:t>
            </w:r>
          </w:p>
        </w:tc>
      </w:tr>
      <w:tr>
        <w:trPr>
          <w:trHeight w:val="142"/>
        </w:trPr>
        <w:tc>
          <w:tcPr>
            <w:tcW w:w="53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1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16,107</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10,727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14,430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34,851</w:t>
            </w:r>
          </w:p>
        </w:tc>
      </w:tr>
      <w:tr>
        <w:trPr>
          <w:trHeight w:val="20"/>
        </w:trPr>
        <w:tc>
          <w:tcPr>
            <w:tcW w:w="5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320"/>
          </w:cols>
          <w:pgMar w:left="240" w:top="341" w:right="339" w:bottom="0" w:gutter="0" w:footer="0" w:header="0"/>
          <w:type w:val="continuous"/>
        </w:sectPr>
      </w:pPr>
    </w:p>
    <w:bookmarkStart w:id="9" w:name="page10"/>
    <w:bookmarkEnd w:id="9"/>
    <w:p>
      <w:pPr>
        <w:ind w:left="5380"/>
        <w:spacing w:after="0"/>
        <w:tabs>
          <w:tab w:leader="none" w:pos="6600" w:val="left"/>
          <w:tab w:leader="none" w:pos="7300" w:val="left"/>
          <w:tab w:leader="none" w:pos="8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73,557</w:t>
        <w:tab/>
        <w:t>$</w:t>
      </w:r>
      <w:r>
        <w:rPr>
          <w:sz w:val="20"/>
          <w:szCs w:val="20"/>
          <w:color w:val="auto"/>
        </w:rPr>
        <w:tab/>
      </w:r>
      <w:r>
        <w:rPr>
          <w:rFonts w:ascii="Arial" w:cs="Arial" w:eastAsia="Arial" w:hAnsi="Arial"/>
          <w:sz w:val="15"/>
          <w:szCs w:val="15"/>
          <w:color w:val="auto"/>
        </w:rPr>
        <w:t>65,388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231521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15210" cy="26035"/>
                    </a:xfrm>
                    <a:prstGeom prst="rect">
                      <a:avLst/>
                    </a:prstGeom>
                    <a:noFill/>
                  </pic:spPr>
                </pic:pic>
              </a:graphicData>
            </a:graphic>
          </wp:anchor>
        </w:drawing>
      </w:r>
    </w:p>
    <w:p>
      <w:pPr>
        <w:spacing w:after="0" w:line="242" w:lineRule="exact"/>
        <w:rPr>
          <w:sz w:val="20"/>
          <w:szCs w:val="20"/>
          <w:color w:val="auto"/>
        </w:rPr>
      </w:pPr>
    </w:p>
    <w:p>
      <w:pPr>
        <w:ind w:right="6980" w:firstLine="8"/>
        <w:spacing w:after="0" w:line="503" w:lineRule="auto"/>
        <w:tabs>
          <w:tab w:leader="none" w:pos="40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Goodwill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our goodwill during the nine months ended December 27, 2008 is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900" w:type="dxa"/>
            <w:vAlign w:val="bottom"/>
          </w:tcPr>
          <w:p>
            <w:pPr>
              <w:jc w:val="right"/>
              <w:ind w:right="1430"/>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3140" w:type="dxa"/>
            <w:vAlign w:val="bottom"/>
            <w:tcBorders>
              <w:bottom w:val="single" w:sz="8" w:color="010101"/>
            </w:tcBorders>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4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31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Carrying amount as of March 29, 2008</w:t>
            </w:r>
          </w:p>
        </w:tc>
        <w:tc>
          <w:tcPr>
            <w:tcW w:w="3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54,222</w:t>
            </w: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Medicell (a)</w:t>
            </w:r>
          </w:p>
        </w:tc>
        <w:tc>
          <w:tcPr>
            <w:tcW w:w="2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Haemoscope (b)</w:t>
            </w:r>
          </w:p>
        </w:tc>
        <w:tc>
          <w:tcPr>
            <w:tcW w:w="2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Effect of change in rates used for translation</w:t>
            </w:r>
          </w:p>
        </w:tc>
        <w:tc>
          <w:tcPr>
            <w:tcW w:w="29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Carrying amount as of December 27, 2008</w:t>
            </w:r>
          </w:p>
        </w:tc>
        <w:tc>
          <w:tcPr>
            <w:tcW w:w="35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55,434</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-1382395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-1382395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900" w:hanging="328"/>
        <w:spacing w:after="0" w:line="277" w:lineRule="auto"/>
        <w:tabs>
          <w:tab w:leader="none" w:pos="671"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full description of the acquisition of Medicell Ltd., which occurred on April 4, 2008, is included in Foot Note #10, Goodwill and Other Intangibles, of our Form 10-Q for the quarter ended June 28, 2008.</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7"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Foot Note #3, Acquisitions, in our fiscal year 2008 Form 10-K for a full description of the acquisition of Haemoscope Corporation’s TEG® Thrombelastograph® Hemostasis Analyzer business, which occurred on November 20, 2007.</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 of December 27, 2008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Gross Carrying Amount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Accumulated</w:t>
            </w: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2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(in thousands)</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Useful Life (in years)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Amortized Intangibles</w:t>
            </w: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11,926</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4,742</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15,382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technology</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29,682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11,315</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contracts and related relationships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29,925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7,561</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88,014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24,078</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 of March 29, 2008</w:t>
            </w: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4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Gross Carrying Amount</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Accumulated</w:t>
            </w: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2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2"/>
          </w:tcPr>
          <w:p>
            <w:pPr>
              <w:ind w:left="5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(in thousands)</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Useful Life (in years)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Amortized Intangibles</w:t>
            </w: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980" w:type="dxa"/>
            <w:vAlign w:val="bottom"/>
            <w:gridSpan w:val="2"/>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11,725</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4,073</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13,638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technology</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28,327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10,013</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contracts and related relationships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29,342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5,439</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83,632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19,821</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2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 Life Intangibles Trade name</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n/a</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84,154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19,821</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5" w:right="199" w:bottom="0" w:gutter="0" w:footer="0" w:header="0"/>
        </w:sectPr>
      </w:pPr>
    </w:p>
    <w:bookmarkStart w:id="10" w:name="page11"/>
    <w:bookmarkEnd w:id="10"/>
    <w:p>
      <w:pPr>
        <w:spacing w:after="0" w:line="3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changes to the net carrying value of our intangible assets from March 29, 2008 to December 27, 2008, reflect the capitalization of software costs associated with our devices and software products (see Footnote #17), amortization expense and the effect of exchange rate changes in the translation of our intangible assets held by our international subsidiaries.</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For the three months ended December 27, 2008 and December 29, 2007, amortization expense for amortized other intangible assets was $1.4 million and $0.9 million, respectively. For the nine months ended December 27, 2008 and December 29, 2007, amortization expense for amortized other intangible assets was $4.4 million and $2.6 million, respectively. Annual amortization expense is expected to approximate $5.8 million for fiscal year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2009, $6.8 million for fiscal year 2010, $6.7 million for fiscal year 2011, $6.2 million for fiscal year 2012, $6.1 million for fiscal year 2013, and $6.7 million for fiscal year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We adopted Financial Accounting Standards Board (FASB)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 of March 30, 2008. Statement No. 157 defines fair value, establishes a framework for measuring fair value in accordance with U.S. GAAP, and expands disclosures about fair value measurements. Statement No. 157 does not require any new fair value measurements; rather, it applies to other accounting pronouncements that require or permit fair value measurements. In February 2008, the FASB released Staff Position No. 157-2, </w:t>
      </w:r>
      <w:r>
        <w:rPr>
          <w:rFonts w:ascii="Arial" w:cs="Arial" w:eastAsia="Arial" w:hAnsi="Arial"/>
          <w:sz w:val="18"/>
          <w:szCs w:val="18"/>
          <w:i w:val="1"/>
          <w:iCs w:val="1"/>
          <w:color w:val="auto"/>
        </w:rPr>
        <w:t>Effective Date of FASB Statement No. 157</w:t>
      </w:r>
      <w:r>
        <w:rPr>
          <w:rFonts w:ascii="Arial" w:cs="Arial" w:eastAsia="Arial" w:hAnsi="Arial"/>
          <w:sz w:val="18"/>
          <w:szCs w:val="18"/>
          <w:color w:val="auto"/>
        </w:rPr>
        <w:t>, which delays the effective date of Statement No. 157 for all nonfinancial assets and nonfinancial liabilities, except for those that are recognized or disclosed at fair value in the financial statements on a recurring basis. In accordance with Staff Position No. 157-2, we have not applied the provisions of Statement No. 157 to the following nonfinancial assets and nonfinancial liabilities:</w:t>
      </w:r>
    </w:p>
    <w:p>
      <w:pPr>
        <w:spacing w:after="0" w:line="189" w:lineRule="exact"/>
        <w:rPr>
          <w:sz w:val="20"/>
          <w:szCs w:val="20"/>
          <w:color w:val="auto"/>
        </w:rPr>
      </w:pPr>
    </w:p>
    <w:p>
      <w:pPr>
        <w:ind w:left="660" w:right="160" w:hanging="328"/>
        <w:spacing w:after="0" w:line="258"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Nonfinancial assets and nonfinancial liabilities initially measured at fair value in a business combination or other new basis event, but not measured at fair value in subsequent reporting periods;</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Reporting units and nonfinancial assets and nonfinancial liabilities measured at fair value for our goodwill impairment test in accordance with FASB Statement No. 142, </w:t>
      </w:r>
      <w:r>
        <w:rPr>
          <w:rFonts w:ascii="Arial" w:cs="Arial" w:eastAsia="Arial" w:hAnsi="Arial"/>
          <w:sz w:val="18"/>
          <w:szCs w:val="18"/>
          <w:i w:val="1"/>
          <w:iCs w:val="1"/>
          <w:color w:val="auto"/>
        </w:rPr>
        <w:t>Goodwill and Other Intangible Assets;</w:t>
      </w: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Indefinite-lived intangible assets measured at fair value for impairment assessment in accordance with Statement No. 142;</w:t>
      </w:r>
    </w:p>
    <w:p>
      <w:pPr>
        <w:spacing w:after="0" w:line="9" w:lineRule="exact"/>
        <w:rPr>
          <w:rFonts w:ascii="Arial" w:cs="Arial" w:eastAsia="Arial" w:hAnsi="Arial"/>
          <w:sz w:val="18"/>
          <w:szCs w:val="18"/>
          <w:color w:val="auto"/>
        </w:rPr>
      </w:pPr>
    </w:p>
    <w:p>
      <w:pPr>
        <w:ind w:left="660" w:right="680" w:hanging="328"/>
        <w:spacing w:after="0" w:line="250"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Nonfinancial long-lived assets or asset groups measured at fair value for impairment assessment or disposal under FASB Statement No. 144, </w:t>
      </w:r>
      <w:r>
        <w:rPr>
          <w:rFonts w:ascii="Arial" w:cs="Arial" w:eastAsia="Arial" w:hAnsi="Arial"/>
          <w:sz w:val="18"/>
          <w:szCs w:val="18"/>
          <w:i w:val="1"/>
          <w:iCs w:val="1"/>
          <w:color w:val="auto"/>
        </w:rPr>
        <w:t xml:space="preserve">Accounting for the Impairment or Disposal of Long-Lived Assets; </w:t>
      </w:r>
      <w:r>
        <w:rPr>
          <w:rFonts w:ascii="Arial" w:cs="Arial" w:eastAsia="Arial" w:hAnsi="Arial"/>
          <w:sz w:val="18"/>
          <w:szCs w:val="18"/>
          <w:color w:val="auto"/>
        </w:rPr>
        <w:t>and</w:t>
      </w:r>
    </w:p>
    <w:p>
      <w:pPr>
        <w:ind w:left="660" w:right="420" w:hanging="328"/>
        <w:spacing w:after="0" w:line="261"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Nonfinancial liabilities associated with exit or disposal activities initially measured at fair value under FASB Statement No. 146,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Costs Associated with Exit or Disposal Activities.</w:t>
      </w:r>
    </w:p>
    <w:p>
      <w:pPr>
        <w:spacing w:after="0" w:line="18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will be required to apply the provisions of Statement No. 157 to these nonfinancial assets and nonfinancial liabilities as of March 29, 2009 and are currently evaluating the impact of the application of Statement No. 157 as it pertains to these items. The application of Statement No. 157 for financial assets and financial liabilities did not have a material impact on our financial position, results of operations or cash flows.</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and foreign currency derivative contracts. Statement No. 157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Statement No. 157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81"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580" w:hanging="328"/>
        <w:spacing w:after="0" w:line="261"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80" w:hanging="328"/>
        <w:spacing w:after="0" w:line="277"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money market funds carried at fair value are generally classified within Level 1 of the fair value hierarchy because they are valued using quoted market prices.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recognize all derivative financial instruments in our consolidated financial statements at fair value in accordance with FASB Statement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We determine the fair value of these instruments using the framework prescribed by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No. 157 by considering the estimated amount we would receive or pay to terminate these agreements at the reporting date and by taking into account current interest rates, the creditworthiness of the counterparty for assets, and our creditworthiness for liabilities. We use a discounted cash flow model to value these forward foreign exchange contracts. The most significant input to this model is the current foreign exchange spot rate. We have classified our derivative assets and liabilities within Level 2 of the fair value hierarchy because these observable inputs are available for substantially the full term of our derivative instruments.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Measured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December 27, 2008:</w:t>
      </w:r>
    </w:p>
    <w:p>
      <w:pPr>
        <w:sectPr>
          <w:pgSz w:w="11900" w:h="16874" w:orient="portrait"/>
          <w:cols w:equalWidth="0" w:num="1">
            <w:col w:w="11420"/>
          </w:cols>
          <w:pgMar w:left="240" w:top="125"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Quoted</w:t>
            </w: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Market Prices</w:t>
            </w: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Assets</w:t>
            </w:r>
          </w:p>
        </w:tc>
        <w:tc>
          <w:tcPr>
            <w:tcW w:w="2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2"/>
                <w:szCs w:val="12"/>
                <w:color w:val="auto"/>
              </w:rPr>
            </w:pPr>
          </w:p>
        </w:tc>
        <w:tc>
          <w:tcPr>
            <w:tcW w:w="11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8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Money market funds</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89,043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89,043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Forward currency exchange contracts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39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89,043</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92,343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Forward currency exchange contracts</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assets or liabilities measured at fair value using significant unobservable inputs (Level 3) during the nine months ended December 27, 2008.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No. 159</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In February 2007, the FASB issued Statement No. 159, </w:t>
      </w:r>
      <w:r>
        <w:rPr>
          <w:rFonts w:ascii="Arial" w:cs="Arial" w:eastAsia="Arial" w:hAnsi="Arial"/>
          <w:sz w:val="18"/>
          <w:szCs w:val="18"/>
          <w:i w:val="1"/>
          <w:iCs w:val="1"/>
          <w:color w:val="auto"/>
        </w:rPr>
        <w:t>The Fair Value Option for Financial Assets and Financial Liabilities, including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FASB Statement No. 115</w:t>
      </w:r>
      <w:r>
        <w:rPr>
          <w:rFonts w:ascii="Arial" w:cs="Arial" w:eastAsia="Arial" w:hAnsi="Arial"/>
          <w:sz w:val="18"/>
          <w:szCs w:val="18"/>
          <w:color w:val="auto"/>
        </w:rPr>
        <w:t>, which allows an entity to elect to record financial assets and financial liabilities at fair value upon their initial recognition on 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contract-by-contract basis. We adopted Statement No. 159 as of March 30, 2008 and did not elect the fair value option for our eligible financial assets and financial liabilities.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reported tax rate includes two principal components: an annual effective tax rate and discrete items that are recorded in the quarter that an event occurs.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Events or items that give rise to discrete recognition include finalizing audit examinations for open tax years and a statute of limitation’s expiration.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740" w:type="dxa"/>
            <w:vAlign w:val="bottom"/>
            <w:gridSpan w:val="4"/>
          </w:tcPr>
          <w:p>
            <w:pPr>
              <w:jc w:val="right"/>
              <w:ind w:right="1070"/>
              <w:spacing w:after="0"/>
              <w:rPr>
                <w:sz w:val="20"/>
                <w:szCs w:val="20"/>
                <w:color w:val="auto"/>
              </w:rPr>
            </w:pPr>
            <w:r>
              <w:rPr>
                <w:rFonts w:ascii="Arial" w:cs="Arial" w:eastAsia="Arial" w:hAnsi="Arial"/>
                <w:sz w:val="14"/>
                <w:szCs w:val="14"/>
                <w:b w:val="1"/>
                <w:bCs w:val="1"/>
                <w:color w:val="auto"/>
              </w:rPr>
              <w:t>For the three months ended</w:t>
            </w:r>
          </w:p>
        </w:tc>
        <w:tc>
          <w:tcPr>
            <w:tcW w:w="3760" w:type="dxa"/>
            <w:vAlign w:val="bottom"/>
            <w:gridSpan w:val="4"/>
          </w:tcPr>
          <w:p>
            <w:pPr>
              <w:jc w:val="right"/>
              <w:ind w:right="111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60" w:type="dxa"/>
            <w:vAlign w:val="bottom"/>
            <w:tcBorders>
              <w:top w:val="single" w:sz="8" w:color="auto"/>
            </w:tcBorders>
            <w:gridSpan w:val="2"/>
          </w:tcPr>
          <w:p>
            <w:pPr>
              <w:jc w:val="right"/>
              <w:ind w:right="410"/>
              <w:spacing w:after="0" w:line="142" w:lineRule="exact"/>
              <w:rPr>
                <w:sz w:val="20"/>
                <w:szCs w:val="20"/>
                <w:color w:val="auto"/>
              </w:rPr>
            </w:pPr>
            <w:r>
              <w:rPr>
                <w:rFonts w:ascii="Arial" w:cs="Arial" w:eastAsia="Arial" w:hAnsi="Arial"/>
                <w:sz w:val="14"/>
                <w:szCs w:val="14"/>
                <w:b w:val="1"/>
                <w:bCs w:val="1"/>
                <w:color w:val="auto"/>
              </w:rPr>
              <w:t>December 27, 2008</w:t>
            </w:r>
          </w:p>
        </w:tc>
        <w:tc>
          <w:tcPr>
            <w:tcW w:w="16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December 29, 2007</w:t>
            </w:r>
          </w:p>
        </w:tc>
        <w:tc>
          <w:tcPr>
            <w:tcW w:w="280" w:type="dxa"/>
            <w:vAlign w:val="bottom"/>
          </w:tcPr>
          <w:p>
            <w:pPr>
              <w:spacing w:after="0"/>
              <w:rPr>
                <w:sz w:val="12"/>
                <w:szCs w:val="12"/>
                <w:color w:val="auto"/>
              </w:rPr>
            </w:pPr>
          </w:p>
        </w:tc>
        <w:tc>
          <w:tcPr>
            <w:tcW w:w="1880" w:type="dxa"/>
            <w:vAlign w:val="bottom"/>
            <w:tcBorders>
              <w:top w:val="single" w:sz="8" w:color="auto"/>
            </w:tcBorders>
            <w:gridSpan w:val="2"/>
          </w:tcPr>
          <w:p>
            <w:pPr>
              <w:jc w:val="right"/>
              <w:ind w:right="410"/>
              <w:spacing w:after="0" w:line="142" w:lineRule="exact"/>
              <w:rPr>
                <w:sz w:val="20"/>
                <w:szCs w:val="20"/>
                <w:color w:val="auto"/>
              </w:rPr>
            </w:pPr>
            <w:r>
              <w:rPr>
                <w:rFonts w:ascii="Arial" w:cs="Arial" w:eastAsia="Arial" w:hAnsi="Arial"/>
                <w:sz w:val="14"/>
                <w:szCs w:val="14"/>
                <w:b w:val="1"/>
                <w:bCs w:val="1"/>
                <w:color w:val="auto"/>
              </w:rPr>
              <w:t>December 27, 2008</w:t>
            </w:r>
          </w:p>
        </w:tc>
        <w:tc>
          <w:tcPr>
            <w:tcW w:w="16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December 29, 2007</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Annual Effective Tax Rate</w:t>
            </w:r>
          </w:p>
        </w:tc>
        <w:tc>
          <w:tcPr>
            <w:tcW w:w="1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35.1%</w:t>
            </w:r>
          </w:p>
        </w:tc>
        <w:tc>
          <w:tcPr>
            <w:tcW w:w="1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1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35.1%</w:t>
            </w:r>
          </w:p>
        </w:tc>
        <w:tc>
          <w:tcPr>
            <w:tcW w:w="1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Discrete Items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Income Tax Rate</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annual effective rate for the three months ended December 27, 2008 was 35.1%, a decrease of 0.8% over the three months ended December 29, 2007. This decrease is a result of changes in the global distribution of our income, partially offset by a reduction in tax exempt income. The annual effective rate for the nine months ended December 27, 2008 was 35.1%, an increase of 0.1% over that for the nine months ended December 29, 2007. This increase is a result of a reduction in tax exempt income, partially offset by a change in the global distribution of our income.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Discrete tax benefits were recognized in the three months ended December 27, 2008 and December 29, 2007. For the third quarter of fiscal 2009, the discrete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benefits totaled $973,000. The noted discrete benefits were comprised of the release of $1.1 million tax reserves due to a statute of limitations expiration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$135,000 discrete benefit for the reinstated research &amp; development credit for the first and second quarter of fiscal 2009 that was offset in part by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$301,000 tax provision due to the finalization of our fiscal 2008 U.S. Federal income tax returns. For the nine months ended December 27, 2008 discrete tax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benefits totaled $2.1 million, including the amounts described above, and benefits of $1.2 million related to a statute of limitations expiration in Japan.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Future adjustments may increase or decrease the reported tax rate.</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As of March 29, 2008, our unrecognized tax benefits totaled approximately $5.2 million which, if recognized, would favorably affect our effective tax rate in future periods. Each year the statute of limitations for income tax returns filed in various jurisdictions closes, sometimes without adjustments. In the nine months ended December 27, 2008, there was a release of $2.0 million of tax reserves as a result of the expiration of the statute of limitations. Total unrecognized tax benefits on December 27, 2008 were $3.2 million. At this time, we do not expect any further release of tax reserves in fiscal 2009.</w:t>
      </w:r>
    </w:p>
    <w:p>
      <w:pPr>
        <w:spacing w:after="0" w:line="15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Our historic practice has been and continues to be to recognize interest and penalties related to federal, state, and foreign income tax matters in income tax expense. Approximately $0.9 million and $0.8 million are accrued for interest at December 27, 2008 and March 29, 2008, respectively.</w:t>
      </w:r>
    </w:p>
    <w:p>
      <w:pPr>
        <w:spacing w:after="0" w:line="14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conduct business globally and, as a result, file consolidated and separate federal,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ectPr>
          <w:pgSz w:w="11900" w:h="16838" w:orient="portrait"/>
          <w:cols w:equalWidth="0" w:num="1">
            <w:col w:w="11420"/>
          </w:cols>
          <w:pgMar w:left="240" w:top="320" w:right="23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14. DEFINED BENEFIT PENSION PLANS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Certain of the Company’s foreign subsidiaries have defined benefit pension plans covering substantially all full time employees at those subsidiaries. Net periodic benefit costs for the plans in the aggregate include the following components: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40" w:type="dxa"/>
            <w:vAlign w:val="bottom"/>
            <w:tcBorders>
              <w:bottom w:val="single" w:sz="8" w:color="auto"/>
            </w:tcBorders>
            <w:gridSpan w:val="4"/>
          </w:tcPr>
          <w:p>
            <w:pPr>
              <w:jc w:val="center"/>
              <w:ind w:left="184"/>
              <w:spacing w:after="0"/>
              <w:rPr>
                <w:sz w:val="20"/>
                <w:szCs w:val="20"/>
                <w:color w:val="auto"/>
              </w:rPr>
            </w:pPr>
            <w:r>
              <w:rPr>
                <w:rFonts w:ascii="Arial" w:cs="Arial" w:eastAsia="Arial" w:hAnsi="Arial"/>
                <w:sz w:val="14"/>
                <w:szCs w:val="14"/>
                <w:b w:val="1"/>
                <w:bCs w:val="1"/>
                <w:color w:val="auto"/>
                <w:w w:val="91"/>
              </w:rPr>
              <w:t>For the three months ended</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December 27, 2008</w:t>
            </w: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December 29, 2007</w:t>
            </w: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80"/>
        </w:trPr>
        <w:tc>
          <w:tcPr>
            <w:tcW w:w="6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40" w:type="dxa"/>
            <w:vAlign w:val="bottom"/>
            <w:gridSpan w:val="4"/>
          </w:tcPr>
          <w:p>
            <w:pPr>
              <w:jc w:val="center"/>
              <w:ind w:left="204"/>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11"/>
        </w:trPr>
        <w:tc>
          <w:tcPr>
            <w:tcW w:w="6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760" w:type="dxa"/>
            <w:vAlign w:val="bottom"/>
            <w:gridSpan w:val="2"/>
            <w:shd w:val="clear" w:color="auto" w:fill="CCEEFF"/>
          </w:tcPr>
          <w:p>
            <w:pPr>
              <w:jc w:val="right"/>
              <w:ind w:right="1264"/>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150</w:t>
            </w:r>
          </w:p>
        </w:tc>
        <w:tc>
          <w:tcPr>
            <w:tcW w:w="1440" w:type="dxa"/>
            <w:vAlign w:val="bottom"/>
            <w:shd w:val="clear" w:color="auto" w:fill="CCEEFF"/>
          </w:tcPr>
          <w:p>
            <w:pPr>
              <w:jc w:val="right"/>
              <w:ind w:right="1256"/>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152</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14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(19)</w:t>
            </w:r>
          </w:p>
        </w:tc>
        <w:tc>
          <w:tcPr>
            <w:tcW w:w="1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(19)</w:t>
            </w:r>
          </w:p>
        </w:tc>
      </w:tr>
      <w:tr>
        <w:trPr>
          <w:trHeight w:val="202"/>
        </w:trPr>
        <w:tc>
          <w:tcPr>
            <w:tcW w:w="6500" w:type="dxa"/>
            <w:vAlign w:val="bottom"/>
          </w:tcPr>
          <w:p>
            <w:pPr>
              <w:spacing w:after="0" w:line="201" w:lineRule="exact"/>
              <w:rPr>
                <w:sz w:val="20"/>
                <w:szCs w:val="20"/>
                <w:color w:val="auto"/>
              </w:rPr>
            </w:pPr>
            <w:r>
              <w:rPr>
                <w:rFonts w:ascii="Arial" w:cs="Arial" w:eastAsia="Arial" w:hAnsi="Arial"/>
                <w:sz w:val="18"/>
                <w:szCs w:val="18"/>
                <w:color w:val="auto"/>
                <w:w w:val="95"/>
              </w:rPr>
              <w:t>Amortization of unrecognized prior service cost, unrecognized gain and unrecognized</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500" w:type="dxa"/>
            <w:vAlign w:val="bottom"/>
          </w:tcPr>
          <w:p>
            <w:pPr>
              <w:ind w:left="180"/>
              <w:spacing w:after="0"/>
              <w:rPr>
                <w:sz w:val="20"/>
                <w:szCs w:val="20"/>
                <w:color w:val="auto"/>
              </w:rPr>
            </w:pPr>
            <w:r>
              <w:rPr>
                <w:rFonts w:ascii="Arial" w:cs="Arial" w:eastAsia="Arial" w:hAnsi="Arial"/>
                <w:sz w:val="18"/>
                <w:szCs w:val="18"/>
                <w:color w:val="auto"/>
              </w:rPr>
              <w:t>initial obligation</w:t>
            </w: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4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0"/>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126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125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6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tcBorders>
              <w:bottom w:val="single" w:sz="8" w:color="auto"/>
            </w:tcBorders>
            <w:gridSpan w:val="4"/>
          </w:tcPr>
          <w:p>
            <w:pPr>
              <w:jc w:val="center"/>
              <w:ind w:left="204"/>
              <w:spacing w:after="0"/>
              <w:rPr>
                <w:sz w:val="20"/>
                <w:szCs w:val="20"/>
                <w:color w:val="auto"/>
              </w:rPr>
            </w:pPr>
            <w:r>
              <w:rPr>
                <w:rFonts w:ascii="Arial" w:cs="Arial" w:eastAsia="Arial" w:hAnsi="Arial"/>
                <w:sz w:val="14"/>
                <w:szCs w:val="14"/>
                <w:b w:val="1"/>
                <w:bCs w:val="1"/>
                <w:color w:val="auto"/>
                <w:w w:val="91"/>
              </w:rPr>
              <w:t>For the nine months ended</w:t>
            </w: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6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December 27, 2008</w:t>
            </w: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December 29, 2007</w:t>
            </w: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80"/>
        </w:trPr>
        <w:tc>
          <w:tcPr>
            <w:tcW w:w="6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40" w:type="dxa"/>
            <w:vAlign w:val="bottom"/>
            <w:gridSpan w:val="4"/>
          </w:tcPr>
          <w:p>
            <w:pPr>
              <w:jc w:val="center"/>
              <w:ind w:left="204"/>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6500" w:type="dxa"/>
            <w:vAlign w:val="bottom"/>
          </w:tcPr>
          <w:p>
            <w:pPr>
              <w:spacing w:after="0"/>
              <w:rPr>
                <w:sz w:val="15"/>
                <w:szCs w:val="15"/>
                <w:color w:val="auto"/>
              </w:rPr>
            </w:pPr>
          </w:p>
        </w:tc>
        <w:tc>
          <w:tcPr>
            <w:tcW w:w="1760" w:type="dxa"/>
            <w:vAlign w:val="bottom"/>
            <w:gridSpan w:val="2"/>
          </w:tcPr>
          <w:p>
            <w:pPr>
              <w:spacing w:after="0"/>
              <w:rPr>
                <w:sz w:val="15"/>
                <w:szCs w:val="15"/>
                <w:color w:val="auto"/>
              </w:rPr>
            </w:pPr>
          </w:p>
        </w:tc>
        <w:tc>
          <w:tcPr>
            <w:tcW w:w="560" w:type="dxa"/>
            <w:vAlign w:val="bottom"/>
            <w:gridSpan w:val="2"/>
          </w:tcPr>
          <w:p>
            <w:pPr>
              <w:spacing w:after="0"/>
              <w:rPr>
                <w:sz w:val="15"/>
                <w:szCs w:val="15"/>
                <w:color w:val="auto"/>
              </w:rPr>
            </w:pPr>
          </w:p>
        </w:tc>
        <w:tc>
          <w:tcPr>
            <w:tcW w:w="144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760" w:type="dxa"/>
            <w:vAlign w:val="bottom"/>
            <w:gridSpan w:val="2"/>
            <w:shd w:val="clear" w:color="auto" w:fill="CCEEFF"/>
          </w:tcPr>
          <w:p>
            <w:pPr>
              <w:jc w:val="right"/>
              <w:ind w:right="1264"/>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450</w:t>
            </w:r>
          </w:p>
        </w:tc>
        <w:tc>
          <w:tcPr>
            <w:tcW w:w="1440" w:type="dxa"/>
            <w:vAlign w:val="bottom"/>
            <w:shd w:val="clear" w:color="auto" w:fill="CCEEFF"/>
          </w:tcPr>
          <w:p>
            <w:pPr>
              <w:jc w:val="right"/>
              <w:ind w:right="1256"/>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438</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198</w:t>
            </w:r>
          </w:p>
        </w:tc>
        <w:tc>
          <w:tcPr>
            <w:tcW w:w="144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160</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(57)</w:t>
            </w:r>
          </w:p>
        </w:tc>
        <w:tc>
          <w:tcPr>
            <w:tcW w:w="1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(55)</w:t>
            </w:r>
          </w:p>
        </w:tc>
      </w:tr>
      <w:tr>
        <w:trPr>
          <w:trHeight w:val="202"/>
        </w:trPr>
        <w:tc>
          <w:tcPr>
            <w:tcW w:w="6500" w:type="dxa"/>
            <w:vAlign w:val="bottom"/>
          </w:tcPr>
          <w:p>
            <w:pPr>
              <w:spacing w:after="0" w:line="201" w:lineRule="exact"/>
              <w:rPr>
                <w:sz w:val="20"/>
                <w:szCs w:val="20"/>
                <w:color w:val="auto"/>
              </w:rPr>
            </w:pPr>
            <w:r>
              <w:rPr>
                <w:rFonts w:ascii="Arial" w:cs="Arial" w:eastAsia="Arial" w:hAnsi="Arial"/>
                <w:sz w:val="18"/>
                <w:szCs w:val="18"/>
                <w:color w:val="auto"/>
                <w:w w:val="95"/>
              </w:rPr>
              <w:t>Amortization of unrecognized prior service cost, unrecognized gain and unrecognized</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500" w:type="dxa"/>
            <w:vAlign w:val="bottom"/>
          </w:tcPr>
          <w:p>
            <w:pPr>
              <w:ind w:left="180"/>
              <w:spacing w:after="0"/>
              <w:rPr>
                <w:sz w:val="20"/>
                <w:szCs w:val="20"/>
                <w:color w:val="auto"/>
              </w:rPr>
            </w:pPr>
            <w:r>
              <w:rPr>
                <w:rFonts w:ascii="Arial" w:cs="Arial" w:eastAsia="Arial" w:hAnsi="Arial"/>
                <w:sz w:val="18"/>
                <w:szCs w:val="18"/>
                <w:color w:val="auto"/>
              </w:rPr>
              <w:t>initial obligation</w:t>
            </w: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w:t>
            </w:r>
          </w:p>
        </w:tc>
        <w:tc>
          <w:tcPr>
            <w:tcW w:w="14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w:t>
            </w:r>
          </w:p>
        </w:tc>
      </w:tr>
      <w:tr>
        <w:trPr>
          <w:trHeight w:val="210"/>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126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125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Definition Criteria</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manage our business on the basis of one operating segment: the design, manufacture, marketing and delivery of blood management solutions. Our chief operating decision-maker uses consolidated results to make operating and strategic decisions. Manufacturing processes, as well as the regulatory environment in which we operate, are largely the same for all product lines.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Wide Disclosures about Product and Services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have three families of products: (1) those that serve the blood donor, (2) those that serve the patient and (3) our services and software products which are used in connections with our donor and patient products. Under the donor family of products we have included blood bank, red cell and plasma collection products. The patient products include autologous blood salvage products targeting surgical patients who lose blood during or after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surgery as well as a blood loss diagnostic product. Software and services include information technology platforms, maintenance services for our donor and patient products, and business services that assist blood banks, plasma centers, and hospitals more effectively manage regulatory compliance and operational efficiency.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Donor</w:t>
      </w:r>
    </w:p>
    <w:p>
      <w:pPr>
        <w:spacing w:after="0" w:line="225" w:lineRule="exact"/>
        <w:rPr>
          <w:sz w:val="20"/>
          <w:szCs w:val="20"/>
          <w:color w:val="auto"/>
        </w:rPr>
      </w:pPr>
    </w:p>
    <w:p>
      <w:pPr>
        <w:ind w:right="340"/>
        <w:spacing w:after="0" w:line="216" w:lineRule="auto"/>
        <w:rPr>
          <w:sz w:val="20"/>
          <w:szCs w:val="20"/>
          <w:color w:val="auto"/>
        </w:rPr>
      </w:pPr>
      <w:r>
        <w:rPr>
          <w:rFonts w:ascii="Arial" w:cs="Arial" w:eastAsia="Arial" w:hAnsi="Arial"/>
          <w:sz w:val="18"/>
          <w:szCs w:val="18"/>
          <w:color w:val="auto"/>
        </w:rPr>
        <w:t>The blood bank products include devices, single use disposables and solutions that perform apheresis, as well as the washing of red blood cells for certain procedures. The main devices used for these blood component procedures are the MCS</w:t>
      </w:r>
      <w:r>
        <w:rPr>
          <w:rFonts w:ascii="Arial" w:cs="Arial" w:eastAsia="Arial" w:hAnsi="Arial"/>
          <w:sz w:val="23"/>
          <w:szCs w:val="23"/>
          <w:color w:val="auto"/>
          <w:vertAlign w:val="superscript"/>
        </w:rPr>
        <w:t>®</w:t>
      </w:r>
      <w:r>
        <w:rPr>
          <w:rFonts w:ascii="Arial" w:cs="Arial" w:eastAsia="Arial" w:hAnsi="Arial"/>
          <w:sz w:val="18"/>
          <w:szCs w:val="18"/>
          <w:color w:val="auto"/>
        </w:rPr>
        <w:t>+ mobile collection systems and the ACP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215 automated cell processing system.</w:t>
      </w:r>
    </w:p>
    <w:p>
      <w:pPr>
        <w:spacing w:after="0" w:line="202"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Red cell products include devices, single use disposables and solutions that perform apheresis for the collection of red blood cells. The devices used for the collection of red blood cells is the MCS</w:t>
      </w:r>
      <w:r>
        <w:rPr>
          <w:rFonts w:ascii="Arial" w:cs="Arial" w:eastAsia="Arial" w:hAnsi="Arial"/>
          <w:sz w:val="23"/>
          <w:szCs w:val="23"/>
          <w:color w:val="auto"/>
          <w:vertAlign w:val="superscript"/>
        </w:rPr>
        <w:t>®</w:t>
      </w:r>
      <w:r>
        <w:rPr>
          <w:rFonts w:ascii="Arial" w:cs="Arial" w:eastAsia="Arial" w:hAnsi="Arial"/>
          <w:sz w:val="18"/>
          <w:szCs w:val="18"/>
          <w:color w:val="auto"/>
        </w:rPr>
        <w:t>+ 8150 mobile collection system and the Cymbal mobile collection system.</w:t>
      </w:r>
    </w:p>
    <w:p>
      <w:pPr>
        <w:spacing w:after="0" w:line="75"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Plasma collection products are devices, disposables and solutions that perform apheresis for the separation of whole blood components and subsequent collection of plasma. The device used in automated plasma collection is the PCS</w:t>
      </w:r>
      <w:r>
        <w:rPr>
          <w:rFonts w:ascii="Arial" w:cs="Arial" w:eastAsia="Arial" w:hAnsi="Arial"/>
          <w:sz w:val="23"/>
          <w:szCs w:val="23"/>
          <w:color w:val="auto"/>
          <w:vertAlign w:val="superscript"/>
        </w:rPr>
        <w:t>®</w:t>
      </w:r>
      <w:r>
        <w:rPr>
          <w:rFonts w:ascii="Arial" w:cs="Arial" w:eastAsia="Arial" w:hAnsi="Arial"/>
          <w:sz w:val="18"/>
          <w:szCs w:val="18"/>
          <w:color w:val="auto"/>
        </w:rPr>
        <w:t>2 plasma collection system.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Patient</w:t>
      </w:r>
    </w:p>
    <w:p>
      <w:pPr>
        <w:spacing w:after="0" w:line="2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Patient products include devices and single use disposables that process surgical blood. Patient devices include the Cell Saver and cardioPAT surgical blood salvage systems, OrthoPAT, and the SmartSuction Harmony surgical suction product. Cell Saver is used in cardiovascular surgeries with high blood loss, other high blood loss surgeries, and trauma. The Cell Saver is mainly used intra-operatively. The cardioPAT is used in lower blood loss and minimally invasive cardiovascular surgeries. The cardioPAT can be used both intra-operatively and post-operatively. OrthoPAT technology is used for lower, slower blood loss orthopedic procedures, where bleeding takes place during and after surgery. These technologies perform a procedure whereby shed blood is collected, cleansed and made available to be transfused back to the patient.</w:t>
      </w:r>
    </w:p>
    <w:p>
      <w:pPr>
        <w:spacing w:after="0" w:line="17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SmartSuction Harmony is an auto-regulating suction system which removes blood and debris from the surgical field. The systems are used in conjunction with surgical blood salvage.</w:t>
      </w:r>
    </w:p>
    <w:p>
      <w:pPr>
        <w:spacing w:after="0" w:line="170"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In November of 2007, we acquired the TEG</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Thrombelastograph</w:t>
      </w:r>
      <w:r>
        <w:rPr>
          <w:rFonts w:ascii="Arial" w:cs="Arial" w:eastAsia="Arial" w:hAnsi="Arial"/>
          <w:sz w:val="20"/>
          <w:szCs w:val="20"/>
          <w:color w:val="auto"/>
          <w:vertAlign w:val="superscript"/>
        </w:rPr>
        <w:t>®</w:t>
      </w:r>
      <w:r>
        <w:rPr>
          <w:rFonts w:ascii="Arial" w:cs="Arial" w:eastAsia="Arial" w:hAnsi="Arial"/>
          <w:sz w:val="16"/>
          <w:szCs w:val="16"/>
          <w:color w:val="auto"/>
        </w:rPr>
        <w:t xml:space="preserve"> Hemostasis Analyzer business (“TEG®” or “TEG”) from Haemoscope Corporation. The TEG system is a diagnostic tool which allows clinicians to determine before, during, or after surgery, the platelet function of a particular patient, and</w:t>
      </w:r>
    </w:p>
    <w:p>
      <w:pPr>
        <w:sectPr>
          <w:pgSz w:w="11900" w:h="16838" w:orient="portrait"/>
          <w:cols w:equalWidth="0" w:num="1">
            <w:col w:w="11420"/>
          </w:cols>
          <w:pgMar w:left="240" w:top="121" w:right="239" w:bottom="0" w:gutter="0" w:footer="0" w:header="0"/>
        </w:sectPr>
      </w:pPr>
    </w:p>
    <w:bookmarkStart w:id="13" w:name="page14"/>
    <w:bookmarkEnd w:id="13"/>
    <w:p>
      <w:pPr>
        <w:ind w:right="260"/>
        <w:spacing w:after="0" w:line="277" w:lineRule="auto"/>
        <w:rPr>
          <w:sz w:val="20"/>
          <w:szCs w:val="20"/>
          <w:color w:val="auto"/>
        </w:rPr>
      </w:pPr>
      <w:r>
        <w:rPr>
          <w:rFonts w:ascii="Arial" w:cs="Arial" w:eastAsia="Arial" w:hAnsi="Arial"/>
          <w:sz w:val="18"/>
          <w:szCs w:val="18"/>
          <w:color w:val="auto"/>
        </w:rPr>
        <w:t>consequently the likelihood that that patient will clot or bleed and therefore, need a transfusion. The TEG system allows the surgeon or anesthesiologist to decide upon the best blood-related clinical treatment for the individual patient.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Solutions and Services</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Software and services revenue include revenue generated from Software Solutions Divison, equipment repairs performed under preventive maintenance contracts or emergency service billings and miscellaneous sales and business services that assist blood banks, plasma centers, and hospitals more effectively manage regulatory compliance and operational efficiency. The Software Solutions Divison provides information technology platforms and related services to plasma collectors, blood banks and the US Department of Defense. Our business services products include service offerings that assist blood banks, plasma centers, and hospitals more effectively manage regulatory compliance and operational efficiency.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Revenues from External Customers: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4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r>
      <w:tr>
        <w:trPr>
          <w:trHeight w:val="142"/>
        </w:trPr>
        <w:tc>
          <w:tcPr>
            <w:tcW w:w="50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00" w:type="dxa"/>
            <w:vAlign w:val="bottom"/>
            <w:tcBorders>
              <w:top w:val="single" w:sz="8" w:color="auto"/>
              <w:bottom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December 27, 2008</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w w:val="95"/>
              </w:rPr>
              <w:t>December 29, 2007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gridSpan w:val="6"/>
          </w:tcPr>
          <w:p>
            <w:pPr>
              <w:jc w:val="center"/>
              <w:ind w:left="125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Disposables Revenues by Product Family</w:t>
            </w:r>
          </w:p>
        </w:tc>
        <w:tc>
          <w:tcPr>
            <w:tcW w:w="2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Donor:</w:t>
            </w: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Plasma</w:t>
            </w:r>
          </w:p>
        </w:tc>
        <w:tc>
          <w:tcPr>
            <w:tcW w:w="232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53,594</w:t>
            </w:r>
          </w:p>
        </w:tc>
        <w:tc>
          <w:tcPr>
            <w:tcW w:w="34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41,253</w:t>
            </w: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Blood Bank</w:t>
            </w: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3"/>
          </w:tcPr>
          <w:p>
            <w:pPr>
              <w:jc w:val="right"/>
              <w:ind w:right="260"/>
              <w:spacing w:after="0"/>
              <w:rPr>
                <w:sz w:val="20"/>
                <w:szCs w:val="20"/>
                <w:color w:val="auto"/>
              </w:rPr>
            </w:pPr>
            <w:r>
              <w:rPr>
                <w:rFonts w:ascii="Arial" w:cs="Arial" w:eastAsia="Arial" w:hAnsi="Arial"/>
                <w:sz w:val="18"/>
                <w:szCs w:val="18"/>
                <w:color w:val="auto"/>
              </w:rPr>
              <w:t>36,435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33,207</w:t>
            </w: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 Cell</w:t>
            </w:r>
          </w:p>
        </w:tc>
        <w:tc>
          <w:tcPr>
            <w:tcW w:w="2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13,051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12,478</w:t>
            </w:r>
          </w:p>
        </w:tc>
        <w:tc>
          <w:tcPr>
            <w:tcW w:w="80" w:type="dxa"/>
            <w:vAlign w:val="bottom"/>
            <w:shd w:val="clear" w:color="auto" w:fill="CCEEFF"/>
          </w:tcPr>
          <w:p>
            <w:pPr>
              <w:spacing w:after="0"/>
              <w:rPr>
                <w:sz w:val="18"/>
                <w:szCs w:val="18"/>
                <w:color w:val="auto"/>
              </w:rPr>
            </w:pPr>
          </w:p>
        </w:tc>
      </w:tr>
      <w:tr>
        <w:trPr>
          <w:trHeight w:val="210"/>
        </w:trPr>
        <w:tc>
          <w:tcPr>
            <w:tcW w:w="5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103,080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Patient:</w:t>
            </w: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Surgical</w:t>
            </w:r>
          </w:p>
        </w:tc>
        <w:tc>
          <w:tcPr>
            <w:tcW w:w="232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22,967</w:t>
            </w:r>
          </w:p>
        </w:tc>
        <w:tc>
          <w:tcPr>
            <w:tcW w:w="34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18,981</w:t>
            </w: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OrthoPAT</w:t>
            </w: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3"/>
          </w:tcPr>
          <w:p>
            <w:pPr>
              <w:jc w:val="right"/>
              <w:ind w:right="260"/>
              <w:spacing w:after="0"/>
              <w:rPr>
                <w:sz w:val="20"/>
                <w:szCs w:val="20"/>
                <w:color w:val="auto"/>
              </w:rPr>
            </w:pPr>
            <w:r>
              <w:rPr>
                <w:rFonts w:ascii="Arial" w:cs="Arial" w:eastAsia="Arial" w:hAnsi="Arial"/>
                <w:sz w:val="18"/>
                <w:szCs w:val="18"/>
                <w:color w:val="auto"/>
              </w:rPr>
              <w:t>9,112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9,086</w:t>
            </w:r>
          </w:p>
        </w:tc>
        <w:tc>
          <w:tcPr>
            <w:tcW w:w="80" w:type="dxa"/>
            <w:vAlign w:val="bottom"/>
          </w:tcPr>
          <w:p>
            <w:pPr>
              <w:spacing w:after="0"/>
              <w:rPr>
                <w:sz w:val="18"/>
                <w:szCs w:val="18"/>
                <w:color w:val="auto"/>
              </w:rPr>
            </w:pPr>
          </w:p>
        </w:tc>
      </w:tr>
      <w:tr>
        <w:trPr>
          <w:trHeight w:val="210"/>
        </w:trPr>
        <w:tc>
          <w:tcPr>
            <w:tcW w:w="506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32,079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Disposables Revenue</w:t>
            </w:r>
          </w:p>
        </w:tc>
        <w:tc>
          <w:tcPr>
            <w:tcW w:w="232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135,159</w:t>
            </w:r>
          </w:p>
        </w:tc>
        <w:tc>
          <w:tcPr>
            <w:tcW w:w="34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115,005</w:t>
            </w: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232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10,246</w:t>
            </w:r>
          </w:p>
        </w:tc>
        <w:tc>
          <w:tcPr>
            <w:tcW w:w="34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8,485</w:t>
            </w: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Software Solutions and Services</w:t>
            </w:r>
          </w:p>
        </w:tc>
        <w:tc>
          <w:tcPr>
            <w:tcW w:w="232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260"/>
              <w:spacing w:after="0"/>
              <w:rPr>
                <w:sz w:val="20"/>
                <w:szCs w:val="20"/>
                <w:color w:val="auto"/>
              </w:rPr>
            </w:pPr>
            <w:r>
              <w:rPr>
                <w:rFonts w:ascii="Arial" w:cs="Arial" w:eastAsia="Arial" w:hAnsi="Arial"/>
                <w:sz w:val="18"/>
                <w:szCs w:val="18"/>
                <w:color w:val="auto"/>
              </w:rPr>
              <w:t>10,042</w:t>
            </w:r>
          </w:p>
        </w:tc>
        <w:tc>
          <w:tcPr>
            <w:tcW w:w="340" w:type="dxa"/>
            <w:vAlign w:val="bottom"/>
            <w:gridSpan w:val="3"/>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11,097</w:t>
            </w:r>
          </w:p>
        </w:tc>
        <w:tc>
          <w:tcPr>
            <w:tcW w:w="80" w:type="dxa"/>
            <w:vAlign w:val="bottom"/>
          </w:tcPr>
          <w:p>
            <w:pPr>
              <w:spacing w:after="0"/>
              <w:rPr>
                <w:sz w:val="18"/>
                <w:szCs w:val="18"/>
                <w:color w:val="auto"/>
              </w:rPr>
            </w:pPr>
          </w:p>
        </w:tc>
      </w:tr>
      <w:tr>
        <w:trPr>
          <w:trHeight w:val="210"/>
        </w:trPr>
        <w:tc>
          <w:tcPr>
            <w:tcW w:w="506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Total revenues from external customers</w:t>
            </w:r>
          </w:p>
        </w:tc>
        <w:tc>
          <w:tcPr>
            <w:tcW w:w="2320" w:type="dxa"/>
            <w:vAlign w:val="bottom"/>
            <w:gridSpan w:val="3"/>
          </w:tcPr>
          <w:p>
            <w:pPr>
              <w:jc w:val="right"/>
              <w:ind w:right="85"/>
              <w:spacing w:after="0"/>
              <w:rPr>
                <w:sz w:val="20"/>
                <w:szCs w:val="20"/>
                <w:color w:val="auto"/>
              </w:rPr>
            </w:pPr>
            <w:r>
              <w:rPr>
                <w:rFonts w:ascii="Arial" w:cs="Arial" w:eastAsia="Arial" w:hAnsi="Arial"/>
                <w:sz w:val="18"/>
                <w:szCs w:val="18"/>
                <w:b w:val="1"/>
                <w:bCs w:val="1"/>
                <w:color w:val="auto"/>
              </w:rPr>
              <w:t>$</w:t>
            </w:r>
          </w:p>
        </w:tc>
        <w:tc>
          <w:tcPr>
            <w:tcW w:w="20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155,447</w:t>
            </w:r>
          </w:p>
        </w:tc>
        <w:tc>
          <w:tcPr>
            <w:tcW w:w="34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134,587</w:t>
            </w:r>
          </w:p>
        </w:tc>
        <w:tc>
          <w:tcPr>
            <w:tcW w:w="8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5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4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r>
      <w:tr>
        <w:trPr>
          <w:trHeight w:val="142"/>
        </w:trPr>
        <w:tc>
          <w:tcPr>
            <w:tcW w:w="50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00" w:type="dxa"/>
            <w:vAlign w:val="bottom"/>
            <w:tcBorders>
              <w:top w:val="single" w:sz="8" w:color="auto"/>
              <w:bottom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December 27, 2008</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w w:val="93"/>
              </w:rPr>
              <w:t>December 29, 2007</w:t>
            </w:r>
          </w:p>
        </w:tc>
        <w:tc>
          <w:tcPr>
            <w:tcW w:w="100" w:type="dxa"/>
            <w:vAlign w:val="bottom"/>
            <w:gridSpan w:val="2"/>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gridSpan w:val="6"/>
          </w:tcPr>
          <w:p>
            <w:pPr>
              <w:jc w:val="center"/>
              <w:ind w:left="121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Disposables Revenues by Product Family</w:t>
            </w:r>
          </w:p>
        </w:tc>
        <w:tc>
          <w:tcPr>
            <w:tcW w:w="2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Donor:</w:t>
            </w: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Plasma</w:t>
            </w:r>
          </w:p>
        </w:tc>
        <w:tc>
          <w:tcPr>
            <w:tcW w:w="2320" w:type="dxa"/>
            <w:vAlign w:val="bottom"/>
            <w:gridSpan w:val="3"/>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150,386</w:t>
            </w:r>
          </w:p>
        </w:tc>
        <w:tc>
          <w:tcPr>
            <w:tcW w:w="2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114,789</w:t>
            </w: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Blood Bank</w:t>
            </w: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108,388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100,399</w:t>
            </w: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 Cell</w:t>
            </w:r>
          </w:p>
        </w:tc>
        <w:tc>
          <w:tcPr>
            <w:tcW w:w="2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36,651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34,257</w:t>
            </w:r>
          </w:p>
        </w:tc>
        <w:tc>
          <w:tcPr>
            <w:tcW w:w="80" w:type="dxa"/>
            <w:vAlign w:val="bottom"/>
            <w:shd w:val="clear" w:color="auto" w:fill="CCEEFF"/>
          </w:tcPr>
          <w:p>
            <w:pPr>
              <w:spacing w:after="0"/>
              <w:rPr>
                <w:sz w:val="18"/>
                <w:szCs w:val="18"/>
                <w:color w:val="auto"/>
              </w:rPr>
            </w:pPr>
          </w:p>
        </w:tc>
      </w:tr>
      <w:tr>
        <w:trPr>
          <w:trHeight w:val="210"/>
        </w:trPr>
        <w:tc>
          <w:tcPr>
            <w:tcW w:w="5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Borders>
              <w:top w:val="single" w:sz="8" w:color="auto"/>
            </w:tcBorders>
            <w:gridSpan w:val="2"/>
          </w:tcPr>
          <w:p>
            <w:pPr>
              <w:jc w:val="right"/>
              <w:ind w:right="12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295,425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249,445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Patient:</w:t>
            </w: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Surgical</w:t>
            </w:r>
          </w:p>
        </w:tc>
        <w:tc>
          <w:tcPr>
            <w:tcW w:w="2320" w:type="dxa"/>
            <w:vAlign w:val="bottom"/>
            <w:gridSpan w:val="3"/>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66,077</w:t>
            </w:r>
          </w:p>
        </w:tc>
        <w:tc>
          <w:tcPr>
            <w:tcW w:w="2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50,907</w:t>
            </w: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OrthoPAT</w:t>
            </w: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26,301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25,122</w:t>
            </w:r>
          </w:p>
        </w:tc>
        <w:tc>
          <w:tcPr>
            <w:tcW w:w="80" w:type="dxa"/>
            <w:vAlign w:val="bottom"/>
          </w:tcPr>
          <w:p>
            <w:pPr>
              <w:spacing w:after="0"/>
              <w:rPr>
                <w:sz w:val="18"/>
                <w:szCs w:val="18"/>
                <w:color w:val="auto"/>
              </w:rPr>
            </w:pPr>
          </w:p>
        </w:tc>
      </w:tr>
      <w:tr>
        <w:trPr>
          <w:trHeight w:val="210"/>
        </w:trPr>
        <w:tc>
          <w:tcPr>
            <w:tcW w:w="506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92,378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Disposables Revenue</w:t>
            </w:r>
          </w:p>
        </w:tc>
        <w:tc>
          <w:tcPr>
            <w:tcW w:w="2320" w:type="dxa"/>
            <w:vAlign w:val="bottom"/>
            <w:gridSpan w:val="3"/>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387,803</w:t>
            </w:r>
          </w:p>
        </w:tc>
        <w:tc>
          <w:tcPr>
            <w:tcW w:w="2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325,474</w:t>
            </w: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2320" w:type="dxa"/>
            <w:vAlign w:val="bottom"/>
            <w:gridSpan w:val="3"/>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27,388</w:t>
            </w:r>
          </w:p>
        </w:tc>
        <w:tc>
          <w:tcPr>
            <w:tcW w:w="2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22,286</w:t>
            </w: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Software Solutions and Services</w:t>
            </w:r>
          </w:p>
        </w:tc>
        <w:tc>
          <w:tcPr>
            <w:tcW w:w="232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30,291</w:t>
            </w:r>
          </w:p>
        </w:tc>
        <w:tc>
          <w:tcPr>
            <w:tcW w:w="260" w:type="dxa"/>
            <w:vAlign w:val="bottom"/>
          </w:tcPr>
          <w:p>
            <w:pPr>
              <w:spacing w:after="0"/>
              <w:rPr>
                <w:sz w:val="18"/>
                <w:szCs w:val="18"/>
                <w:color w:val="auto"/>
              </w:rPr>
            </w:pPr>
          </w:p>
        </w:tc>
        <w:tc>
          <w:tcPr>
            <w:tcW w:w="340" w:type="dxa"/>
            <w:vAlign w:val="bottom"/>
            <w:gridSpan w:val="3"/>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29,941</w:t>
            </w:r>
          </w:p>
        </w:tc>
        <w:tc>
          <w:tcPr>
            <w:tcW w:w="80" w:type="dxa"/>
            <w:vAlign w:val="bottom"/>
          </w:tcPr>
          <w:p>
            <w:pPr>
              <w:spacing w:after="0"/>
              <w:rPr>
                <w:sz w:val="18"/>
                <w:szCs w:val="18"/>
                <w:color w:val="auto"/>
              </w:rPr>
            </w:pPr>
          </w:p>
        </w:tc>
      </w:tr>
      <w:tr>
        <w:trPr>
          <w:trHeight w:val="210"/>
        </w:trPr>
        <w:tc>
          <w:tcPr>
            <w:tcW w:w="506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Total revenues from external customers</w:t>
            </w:r>
          </w:p>
        </w:tc>
        <w:tc>
          <w:tcPr>
            <w:tcW w:w="2320" w:type="dxa"/>
            <w:vAlign w:val="bottom"/>
            <w:gridSpan w:val="3"/>
          </w:tcPr>
          <w:p>
            <w:pPr>
              <w:jc w:val="right"/>
              <w:ind w:right="125"/>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445,482</w:t>
            </w:r>
          </w:p>
        </w:tc>
        <w:tc>
          <w:tcPr>
            <w:tcW w:w="260" w:type="dxa"/>
            <w:vAlign w:val="bottom"/>
          </w:tcPr>
          <w:p>
            <w:pPr>
              <w:spacing w:after="0"/>
              <w:rPr>
                <w:sz w:val="18"/>
                <w:szCs w:val="18"/>
                <w:color w:val="auto"/>
              </w:rPr>
            </w:pPr>
          </w:p>
        </w:tc>
        <w:tc>
          <w:tcPr>
            <w:tcW w:w="34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377,701</w:t>
            </w:r>
          </w:p>
        </w:tc>
        <w:tc>
          <w:tcPr>
            <w:tcW w:w="8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REORGANIZATION</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last two years, the Company embarked on a business transformation with the primary focus on our international businesses. The goal of the transformation was to position these businesses to complement the growth of our U.S. business.</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May 1, 2008, management announced a plan to transform our Technical Operations organization, which includes research, development and engineering, quality systems and manufacturing. Our goal is to better align our Technical Operations resources with our strategy to be the global leader in blood management solutions for our customers. This transformation will include: optimizing the products manufactured in our plants to best support our global customer base and concentrating our research, development and engineering resources on one platform project at a time.</w:t>
      </w:r>
    </w:p>
    <w:p>
      <w:pPr>
        <w:sectPr>
          <w:pgSz w:w="11900" w:h="16838" w:orient="portrait"/>
          <w:cols w:equalWidth="0" w:num="1">
            <w:col w:w="11420"/>
          </w:cols>
          <w:pgMar w:left="240" w:top="125" w:right="239" w:bottom="0" w:gutter="0" w:footer="0" w:header="0"/>
        </w:sectPr>
      </w:pPr>
    </w:p>
    <w:bookmarkStart w:id="14" w:name="page15"/>
    <w:bookmarkEnd w:id="14"/>
    <w:p>
      <w:pPr>
        <w:ind w:right="240"/>
        <w:spacing w:after="0" w:line="308" w:lineRule="auto"/>
        <w:rPr>
          <w:sz w:val="20"/>
          <w:szCs w:val="20"/>
          <w:color w:val="auto"/>
        </w:rPr>
      </w:pPr>
      <w:r>
        <w:rPr>
          <w:rFonts w:ascii="Arial" w:cs="Arial" w:eastAsia="Arial" w:hAnsi="Arial"/>
          <w:sz w:val="17"/>
          <w:szCs w:val="17"/>
          <w:color w:val="auto"/>
        </w:rPr>
        <w:t>Over the course of fiscal year 2009, we intend to finalize and implement the Technical Operations organization transformation plan. In accordance with the Company’s revised guidance, once finalized and implemented, we expect to incur exit related costs in the range of $6 million to $7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expect this transformation will align our resources with our vision of being the global leader in blood management solutions.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also finalizing the consolidation of our customer support functions in Europe into our European Headquarters in Signy, Switzerland. The consolidated center in Signy now includes finance, customer and sales support, and logistics supply chain management. The majority of the consolidation of these functions occurred during fiscal year 2008.</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 the nine months ended December 27, 2008 and December 29, 2007, we recorded pre-tax restructuring costs of $2.1 million and $2.9 million, respectively, as selling, general, and administrative costs. Additionally, we incurred other transformation costs relating to the hiring of personnel in our new shared services center in Signy, Switzerland of $0.5 million and $0.7 million for the nine months ended December 27, 2008 and December 29, 2007, respectively. The other transformation costs related to the hiring of personnel are not included in the table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nine months ended December 27, 2008 and December 29, 2007,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w w:val="94"/>
              </w:rPr>
              <w:t>Nine Months Ended December 27, 2008</w:t>
            </w: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Balance at March</w:t>
            </w: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Asset Write</w:t>
            </w:r>
          </w:p>
        </w:tc>
        <w:tc>
          <w:tcPr>
            <w:tcW w:w="1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Restructuring</w:t>
            </w:r>
          </w:p>
        </w:tc>
        <w:tc>
          <w:tcPr>
            <w:tcW w:w="0" w:type="dxa"/>
            <w:vAlign w:val="bottom"/>
          </w:tcPr>
          <w:p>
            <w:pPr>
              <w:spacing w:after="0"/>
              <w:rPr>
                <w:sz w:val="1"/>
                <w:szCs w:val="1"/>
                <w:color w:val="auto"/>
              </w:rPr>
            </w:pPr>
          </w:p>
        </w:tc>
      </w:tr>
      <w:tr>
        <w:trPr>
          <w:trHeight w:val="149"/>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vMerge w:val="restart"/>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3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Cost Incurred</w:t>
            </w:r>
          </w:p>
        </w:tc>
        <w:tc>
          <w:tcPr>
            <w:tcW w:w="280" w:type="dxa"/>
            <w:vAlign w:val="bottom"/>
            <w:vMerge w:val="restart"/>
          </w:tcPr>
          <w:p>
            <w:pPr>
              <w:spacing w:after="0"/>
              <w:rPr>
                <w:sz w:val="12"/>
                <w:szCs w:val="12"/>
                <w:color w:val="auto"/>
              </w:rPr>
            </w:pPr>
          </w:p>
        </w:tc>
        <w:tc>
          <w:tcPr>
            <w:tcW w:w="13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Payments</w:t>
            </w:r>
          </w:p>
        </w:tc>
        <w:tc>
          <w:tcPr>
            <w:tcW w:w="28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Accrual Balance at</w:t>
            </w:r>
          </w:p>
        </w:tc>
        <w:tc>
          <w:tcPr>
            <w:tcW w:w="0" w:type="dxa"/>
            <w:vAlign w:val="bottom"/>
          </w:tcPr>
          <w:p>
            <w:pPr>
              <w:spacing w:after="0"/>
              <w:rPr>
                <w:sz w:val="1"/>
                <w:szCs w:val="1"/>
                <w:color w:val="auto"/>
              </w:rPr>
            </w:pPr>
          </w:p>
        </w:tc>
      </w:tr>
      <w:tr>
        <w:trPr>
          <w:trHeight w:val="171"/>
        </w:trPr>
        <w:tc>
          <w:tcPr>
            <w:tcW w:w="236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7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29, 2008</w:t>
            </w:r>
          </w:p>
        </w:tc>
        <w:tc>
          <w:tcPr>
            <w:tcW w:w="28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2"/>
              </w:rPr>
              <w:t>down</w:t>
            </w:r>
          </w:p>
        </w:tc>
        <w:tc>
          <w:tcPr>
            <w:tcW w:w="30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27, 2008</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costs</w:t>
            </w:r>
          </w:p>
        </w:tc>
        <w:tc>
          <w:tcPr>
            <w:tcW w:w="1760" w:type="dxa"/>
            <w:vAlign w:val="bottom"/>
            <w:gridSpan w:val="2"/>
            <w:shd w:val="clear" w:color="auto" w:fill="CCEEFF"/>
          </w:tcPr>
          <w:p>
            <w:pPr>
              <w:jc w:val="right"/>
              <w:ind w:right="1306"/>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521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Facility related costs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w w:val="93"/>
              </w:rPr>
              <w:t>Other Exit &amp; Termination Costs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130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641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December 29, 2007</w:t>
            </w: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Balance at March</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Asset Write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tcPr>
          <w:p>
            <w:pPr>
              <w:jc w:val="center"/>
              <w:ind w:right="96"/>
              <w:spacing w:after="0" w:line="119" w:lineRule="exact"/>
              <w:rPr>
                <w:sz w:val="20"/>
                <w:szCs w:val="20"/>
                <w:color w:val="auto"/>
              </w:rPr>
            </w:pPr>
            <w:r>
              <w:rPr>
                <w:rFonts w:ascii="Arial" w:cs="Arial" w:eastAsia="Arial" w:hAnsi="Arial"/>
                <w:sz w:val="13"/>
                <w:szCs w:val="13"/>
                <w:b w:val="1"/>
                <w:bCs w:val="1"/>
                <w:color w:val="auto"/>
              </w:rPr>
              <w:t>Restructuring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Incurred</w:t>
            </w:r>
          </w:p>
        </w:tc>
        <w:tc>
          <w:tcPr>
            <w:tcW w:w="240" w:type="dxa"/>
            <w:vAlign w:val="bottom"/>
          </w:tcPr>
          <w:p>
            <w:pPr>
              <w:spacing w:after="0"/>
              <w:rPr>
                <w:sz w:val="12"/>
                <w:szCs w:val="12"/>
                <w:color w:val="auto"/>
              </w:rPr>
            </w:pPr>
          </w:p>
        </w:tc>
        <w:tc>
          <w:tcPr>
            <w:tcW w:w="14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Payments</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Accrual Balance at</w:t>
            </w:r>
          </w:p>
        </w:tc>
        <w:tc>
          <w:tcPr>
            <w:tcW w:w="0" w:type="dxa"/>
            <w:vAlign w:val="bottom"/>
          </w:tcPr>
          <w:p>
            <w:pPr>
              <w:spacing w:after="0"/>
              <w:rPr>
                <w:sz w:val="1"/>
                <w:szCs w:val="1"/>
                <w:color w:val="auto"/>
              </w:rPr>
            </w:pPr>
          </w:p>
        </w:tc>
      </w:tr>
      <w:tr>
        <w:trPr>
          <w:trHeight w:val="171"/>
        </w:trPr>
        <w:tc>
          <w:tcPr>
            <w:tcW w:w="2360" w:type="dxa"/>
            <w:vAlign w:val="bottom"/>
            <w:gridSpan w:val="2"/>
            <w:vMerge w:val="continue"/>
          </w:tcPr>
          <w:p>
            <w:pPr>
              <w:spacing w:after="0"/>
              <w:rPr>
                <w:sz w:val="14"/>
                <w:szCs w:val="14"/>
                <w:color w:val="auto"/>
              </w:rPr>
            </w:pPr>
          </w:p>
        </w:tc>
        <w:tc>
          <w:tcPr>
            <w:tcW w:w="1760" w:type="dxa"/>
            <w:vAlign w:val="bottom"/>
            <w:gridSpan w:val="2"/>
          </w:tcPr>
          <w:p>
            <w:pPr>
              <w:jc w:val="right"/>
              <w:ind w:right="166"/>
              <w:spacing w:after="0"/>
              <w:rPr>
                <w:sz w:val="20"/>
                <w:szCs w:val="20"/>
                <w:color w:val="auto"/>
              </w:rPr>
            </w:pPr>
            <w:r>
              <w:rPr>
                <w:rFonts w:ascii="Arial" w:cs="Arial" w:eastAsia="Arial" w:hAnsi="Arial"/>
                <w:sz w:val="14"/>
                <w:szCs w:val="14"/>
                <w:b w:val="1"/>
                <w:bCs w:val="1"/>
                <w:color w:val="auto"/>
              </w:rPr>
              <w:t>31, 2007</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down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29, 2007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costs</w:t>
            </w:r>
          </w:p>
        </w:tc>
        <w:tc>
          <w:tcPr>
            <w:tcW w:w="1760" w:type="dxa"/>
            <w:vAlign w:val="bottom"/>
            <w:gridSpan w:val="2"/>
            <w:shd w:val="clear" w:color="auto" w:fill="CCEEFF"/>
          </w:tcPr>
          <w:p>
            <w:pPr>
              <w:jc w:val="right"/>
              <w:ind w:right="1306"/>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Facility related costs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688</w:t>
            </w: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(514)</w:t>
            </w:r>
          </w:p>
        </w:tc>
        <w:tc>
          <w:tcPr>
            <w:tcW w:w="2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ind w:right="130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CAPITALIZATION OF SOFTWARE DEVELOPMENT COSTS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is implementing an Enterprise Resource Planning (ERP) system. In Fiscal 2007, we began our plan to implement the system in two phases over three years. The Company has completed and put into service costs relating to Phase I. Phase II began during the three months ended June 28, 2008.</w:t>
      </w:r>
    </w:p>
    <w:p>
      <w:pPr>
        <w:spacing w:after="0" w:line="12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cost of software that is developed for internal use is accounted for pursuant to AICPA Statement of Position 98-1, “Accounting for the Costs of Computer Software Developed or Obtained for Internal Use” (“SOP 98-1”). Pursuant to SOP 98-1, the Company capitalizes costs incurred during the application development stage of software developed for internal use, and expenses costs incurred during the preliminary project and the post-implementation operation stages of development. The Company capitalized $4.5 million and $6.5 million, respectively, during the nine month periods ended December 27, 2008 and December 29, 2007, in costs incurred for acquisition of the software license and related software development costs for new internal software development that was in the application stage. Since project inception, the total capitalized costs incurred include $1.8 million for the cost of the software license and $17.4 million in third party and internal personnel development costs.</w:t>
      </w:r>
    </w:p>
    <w:p>
      <w:pPr>
        <w:spacing w:after="0" w:line="17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SFAS No. 86, “Accounting for the Cost of Computer Software to be Sold, Leased or Otherwise Marketed”,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In connection with the development of the software for our next generation Donor apheresis platform, the Company capitalized $0.8 million during the nine month period ended December 27, 2008 and a project to date total of $11.9 million. All costs capitalized were incurred after a detailed design of the software was developed and research and development activities on the underlying device were completed. Work on the Donor apheresis platform has been temporarily suspended while the Company focuses on completing another project, which is expected to be completed by early to mid fiscal year 2010. Work on the Donor apheresis platform is expected to resume during fiscal year 2010. We will begin to amortize these costs when the device is released for sale.</w:t>
      </w:r>
    </w:p>
    <w:p>
      <w:pPr>
        <w:spacing w:after="0" w:line="16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Additionally, the Company capitalized $2.3 million in software development costs for other ongoing initiatives during the nine month period ended December 27, 2008. We will begin to amortize these costs when the products are released for sale.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w:t>
      </w:r>
    </w:p>
    <w:p>
      <w:pPr>
        <w:spacing w:after="0" w:line="229"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On January 30, 2009, a jury returned a verdict in favor of the Company in a patent infringement case pending in the federal district court of Massachusetts since December 2005 (Haemonetics Corporation v. Baxter Healthcare Corporation et al. (CV No. 05-12572-NMG)(D.Ct. MA)). The jury determined that Fenwal’s Alyx system infringes a Haemonetics patent and awarded the Company damages for lost profits and royalties in the approximate amount of $15.7 million. The verdict is subject to appeal.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the consolidated financial statements and notes thereto, and the MD&amp;A contained in our fiscal year 2008 Annual Report on Form 10-K filed with the Securities and Exchange Commission (the “SEC”) on May 27, 2008. The following discussion may contain forward-looking statements and should be read in conjunction with the “</w:t>
      </w:r>
      <w:r>
        <w:rPr>
          <w:rFonts w:ascii="Arial" w:cs="Arial" w:eastAsia="Arial" w:hAnsi="Arial"/>
          <w:sz w:val="17"/>
          <w:szCs w:val="17"/>
          <w:b w:val="1"/>
          <w:bCs w:val="1"/>
          <w:color w:val="auto"/>
        </w:rPr>
        <w:t>Cautionary Statement Regarding Forward-Looking Information</w:t>
      </w:r>
      <w:r>
        <w:rPr>
          <w:rFonts w:ascii="Arial" w:cs="Arial" w:eastAsia="Arial" w:hAnsi="Arial"/>
          <w:sz w:val="17"/>
          <w:szCs w:val="17"/>
          <w:color w:val="auto"/>
        </w:rPr>
        <w:t>” beginning on page 40.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Haemonetics is a blood management solutions company for our customers. Anchored by our reputable medical devices systems, we also provide information technology platforms and value added services to provide customers with business solutions which support improved clinical outcomes for patients and efficiency in the blood supply chain.</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systems automate the collection and processing of donated blood; assess likelihood for blood loss; and salvage and process surgical patient blood. These systems include devices and single-use, proprietary disposable sets (“disposables”) that operate only with our specialized devices. Our systems allow users to collect and process only the blood component(s) they target — plasma, platelets, or red blood cells — increasing donor and patient safety as well as collection efficiencies. Our information technology platforms are used by blood and plasma collectors to improve the safety and efficiency of blood collection logistics by eliminating previously manual functions at not-for-profit blood banks and commercial plasma centers. Our business services products include consulting, Six Sigma, LEAN manufacturing and Insight Opportunity Model offerings that support our customers’ needs for regulatory compliance and operational efficiency in the blood supply chain.</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either sell our devices to customers (resulting in equipment revenue) or place our devices with customers subject to certain conditions. When the device remains our property, the customer has the right to use it for a period of time as long as the customer meets certain conditions we have established, which among other things, generally include one or more of the following:</w:t>
      </w:r>
    </w:p>
    <w:p>
      <w:pPr>
        <w:spacing w:after="0" w:line="181"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 and consumption of a minimum level of disposables products;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Payment of monthly rental fees;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disposables revenue stream (including sales of disposables and fees for the use of our equipment) accounted for approximately 86.9% and 85.5% of our total revenues for the third quarter of fiscal year 2009 and 2008, respectively and 87.1% and 86.2% of our total revenues for the first nine months of fiscal year 2009 and 2008,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5"/>
              </w:rPr>
              <w:t>For the three months ended</w:t>
            </w:r>
          </w:p>
        </w:tc>
        <w:tc>
          <w:tcPr>
            <w:tcW w:w="10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For the nine months ended</w:t>
            </w:r>
          </w:p>
        </w:tc>
        <w:tc>
          <w:tcPr>
            <w:tcW w:w="11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328"/>
              <w:spacing w:after="0"/>
              <w:rPr>
                <w:sz w:val="20"/>
                <w:szCs w:val="20"/>
                <w:color w:val="auto"/>
              </w:rPr>
            </w:pPr>
            <w:r>
              <w:rPr>
                <w:rFonts w:ascii="Arial" w:cs="Arial" w:eastAsia="Arial" w:hAnsi="Arial"/>
                <w:sz w:val="14"/>
                <w:szCs w:val="14"/>
                <w:b w:val="1"/>
                <w:bCs w:val="1"/>
                <w:color w:val="auto"/>
                <w:w w:val="92"/>
              </w:rPr>
              <w:t>December 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4"/>
              </w:rPr>
              <w:t>December 29,</w:t>
            </w:r>
          </w:p>
        </w:tc>
        <w:tc>
          <w:tcPr>
            <w:tcW w:w="15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400" w:type="dxa"/>
            <w:vAlign w:val="bottom"/>
            <w:gridSpan w:val="2"/>
            <w:vMerge w:val="restart"/>
          </w:tcPr>
          <w:p>
            <w:pPr>
              <w:jc w:val="right"/>
              <w:ind w:right="468"/>
              <w:spacing w:after="0"/>
              <w:rPr>
                <w:sz w:val="20"/>
                <w:szCs w:val="20"/>
                <w:color w:val="auto"/>
              </w:rPr>
            </w:pPr>
            <w:r>
              <w:rPr>
                <w:rFonts w:ascii="Arial" w:cs="Arial" w:eastAsia="Arial" w:hAnsi="Arial"/>
                <w:sz w:val="14"/>
                <w:szCs w:val="14"/>
                <w:b w:val="1"/>
                <w:bCs w:val="1"/>
                <w:color w:val="auto"/>
                <w:w w:val="92"/>
              </w:rPr>
              <w:t>December 27,</w:t>
            </w:r>
          </w:p>
        </w:tc>
        <w:tc>
          <w:tcPr>
            <w:tcW w:w="80" w:type="dxa"/>
            <w:vAlign w:val="bottom"/>
          </w:tcPr>
          <w:p>
            <w:pPr>
              <w:spacing w:after="0"/>
              <w:rPr>
                <w:sz w:val="12"/>
                <w:szCs w:val="12"/>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December 29,</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49"/>
        </w:trPr>
        <w:tc>
          <w:tcPr>
            <w:tcW w:w="2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Q3FY09 vs.</w:t>
            </w: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YTDFY09 vs.</w:t>
            </w:r>
          </w:p>
        </w:tc>
        <w:tc>
          <w:tcPr>
            <w:tcW w:w="0" w:type="dxa"/>
            <w:vAlign w:val="bottom"/>
          </w:tcPr>
          <w:p>
            <w:pPr>
              <w:spacing w:after="0"/>
              <w:rPr>
                <w:sz w:val="1"/>
                <w:szCs w:val="1"/>
                <w:color w:val="auto"/>
              </w:rPr>
            </w:pPr>
          </w:p>
        </w:tc>
      </w:tr>
      <w:tr>
        <w:trPr>
          <w:trHeight w:val="171"/>
        </w:trPr>
        <w:tc>
          <w:tcPr>
            <w:tcW w:w="2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12"/>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32"/>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Q3FY08</w:t>
            </w:r>
          </w:p>
        </w:tc>
        <w:tc>
          <w:tcPr>
            <w:tcW w:w="100" w:type="dxa"/>
            <w:vAlign w:val="bottom"/>
          </w:tcPr>
          <w:p>
            <w:pPr>
              <w:spacing w:after="0"/>
              <w:rPr>
                <w:sz w:val="14"/>
                <w:szCs w:val="14"/>
                <w:color w:val="auto"/>
              </w:rPr>
            </w:pPr>
          </w:p>
        </w:tc>
        <w:tc>
          <w:tcPr>
            <w:tcW w:w="980" w:type="dxa"/>
            <w:vAlign w:val="bottom"/>
          </w:tcPr>
          <w:p>
            <w:pPr>
              <w:jc w:val="right"/>
              <w:ind w:right="312"/>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2007</w:t>
            </w:r>
          </w:p>
        </w:tc>
        <w:tc>
          <w:tcPr>
            <w:tcW w:w="3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YTDFY08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155,447</w:t>
            </w:r>
          </w:p>
        </w:tc>
        <w:tc>
          <w:tcPr>
            <w:tcW w:w="2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134,587</w:t>
            </w:r>
          </w:p>
        </w:tc>
        <w:tc>
          <w:tcPr>
            <w:tcW w:w="42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445,482</w:t>
            </w:r>
          </w:p>
        </w:tc>
        <w:tc>
          <w:tcPr>
            <w:tcW w:w="4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377,701</w:t>
            </w:r>
          </w:p>
        </w:tc>
        <w:tc>
          <w:tcPr>
            <w:tcW w:w="34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8"/>
              <w:spacing w:after="0"/>
              <w:rPr>
                <w:sz w:val="20"/>
                <w:szCs w:val="20"/>
                <w:color w:val="auto"/>
              </w:rPr>
            </w:pPr>
            <w:r>
              <w:rPr>
                <w:rFonts w:ascii="Arial" w:cs="Arial" w:eastAsia="Arial" w:hAnsi="Arial"/>
                <w:sz w:val="18"/>
                <w:szCs w:val="18"/>
                <w:color w:val="auto"/>
              </w:rPr>
              <w:t>78,296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66,558</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8"/>
              <w:spacing w:after="0"/>
              <w:rPr>
                <w:sz w:val="20"/>
                <w:szCs w:val="20"/>
                <w:color w:val="auto"/>
              </w:rPr>
            </w:pPr>
            <w:r>
              <w:rPr>
                <w:rFonts w:ascii="Arial" w:cs="Arial" w:eastAsia="Arial" w:hAnsi="Arial"/>
                <w:sz w:val="18"/>
                <w:szCs w:val="18"/>
                <w:color w:val="auto"/>
              </w:rPr>
              <w:t>226,022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187,940</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 of net revenues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i w:val="1"/>
                <w:iCs w:val="1"/>
                <w:color w:val="auto"/>
              </w:rPr>
              <w:t>50.4%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49.5%</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i w:val="1"/>
                <w:iCs w:val="1"/>
                <w:color w:val="auto"/>
              </w:rPr>
              <w:t>50.7%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49.8%</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24,491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19,597</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67,434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49,990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ind w:left="160"/>
              <w:spacing w:after="0"/>
              <w:rPr>
                <w:sz w:val="20"/>
                <w:szCs w:val="20"/>
                <w:color w:val="auto"/>
              </w:rPr>
            </w:pPr>
            <w:r>
              <w:rPr>
                <w:rFonts w:ascii="Arial" w:cs="Arial" w:eastAsia="Arial" w:hAnsi="Arial"/>
                <w:sz w:val="18"/>
                <w:szCs w:val="18"/>
                <w:i w:val="1"/>
                <w:iCs w:val="1"/>
                <w:color w:val="auto"/>
              </w:rPr>
              <w:t>% of net revenues</w:t>
            </w:r>
          </w:p>
        </w:tc>
        <w:tc>
          <w:tcPr>
            <w:tcW w:w="120" w:type="dxa"/>
            <w:vAlign w:val="bottom"/>
          </w:tcPr>
          <w:p>
            <w:pPr>
              <w:spacing w:after="0"/>
              <w:rPr>
                <w:sz w:val="18"/>
                <w:szCs w:val="18"/>
                <w:color w:val="auto"/>
              </w:rPr>
            </w:pPr>
          </w:p>
        </w:tc>
        <w:tc>
          <w:tcPr>
            <w:tcW w:w="1280" w:type="dxa"/>
            <w:vAlign w:val="bottom"/>
            <w:gridSpan w:val="2"/>
          </w:tcPr>
          <w:p>
            <w:pPr>
              <w:jc w:val="right"/>
              <w:ind w:right="48"/>
              <w:spacing w:after="0"/>
              <w:rPr>
                <w:sz w:val="20"/>
                <w:szCs w:val="20"/>
                <w:color w:val="auto"/>
              </w:rPr>
            </w:pPr>
            <w:r>
              <w:rPr>
                <w:rFonts w:ascii="Arial" w:cs="Arial" w:eastAsia="Arial" w:hAnsi="Arial"/>
                <w:sz w:val="18"/>
                <w:szCs w:val="18"/>
                <w:i w:val="1"/>
                <w:iCs w:val="1"/>
                <w:color w:val="auto"/>
              </w:rPr>
              <w:t>15.8%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14.6%</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8"/>
              <w:spacing w:after="0"/>
              <w:rPr>
                <w:sz w:val="20"/>
                <w:szCs w:val="20"/>
                <w:color w:val="auto"/>
              </w:rPr>
            </w:pPr>
            <w:r>
              <w:rPr>
                <w:rFonts w:ascii="Arial" w:cs="Arial" w:eastAsia="Arial" w:hAnsi="Arial"/>
                <w:sz w:val="18"/>
                <w:szCs w:val="18"/>
                <w:i w:val="1"/>
                <w:iCs w:val="1"/>
                <w:color w:val="auto"/>
              </w:rPr>
              <w:t>15.1%</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13.2%</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Interest income,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8"/>
              <w:spacing w:after="0"/>
              <w:rPr>
                <w:sz w:val="20"/>
                <w:szCs w:val="20"/>
                <w:color w:val="auto"/>
              </w:rPr>
            </w:pPr>
            <w:r>
              <w:rPr>
                <w:rFonts w:ascii="Arial" w:cs="Arial" w:eastAsia="Arial" w:hAnsi="Arial"/>
                <w:sz w:val="18"/>
                <w:szCs w:val="18"/>
                <w:color w:val="auto"/>
              </w:rPr>
              <w:t>449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1,070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8"/>
              <w:spacing w:after="0"/>
              <w:rPr>
                <w:sz w:val="20"/>
                <w:szCs w:val="20"/>
                <w:color w:val="auto"/>
              </w:rPr>
            </w:pPr>
            <w:r>
              <w:rPr>
                <w:rFonts w:ascii="Arial" w:cs="Arial" w:eastAsia="Arial" w:hAnsi="Arial"/>
                <w:sz w:val="18"/>
                <w:szCs w:val="18"/>
                <w:color w:val="auto"/>
              </w:rPr>
              <w:t>1,569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4,037</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(1,451)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(2,366)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1,905</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23,489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20,892</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66,637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55,932</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7,273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6,538</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21,272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17,733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ind w:left="160"/>
              <w:spacing w:after="0"/>
              <w:rPr>
                <w:sz w:val="20"/>
                <w:szCs w:val="20"/>
                <w:color w:val="auto"/>
              </w:rPr>
            </w:pPr>
            <w:r>
              <w:rPr>
                <w:rFonts w:ascii="Arial" w:cs="Arial" w:eastAsia="Arial" w:hAnsi="Arial"/>
                <w:sz w:val="18"/>
                <w:szCs w:val="18"/>
                <w:i w:val="1"/>
                <w:iCs w:val="1"/>
                <w:color w:val="auto"/>
              </w:rPr>
              <w:t>% of pre-tax income</w:t>
            </w:r>
          </w:p>
        </w:tc>
        <w:tc>
          <w:tcPr>
            <w:tcW w:w="120" w:type="dxa"/>
            <w:vAlign w:val="bottom"/>
          </w:tcPr>
          <w:p>
            <w:pPr>
              <w:spacing w:after="0"/>
              <w:rPr>
                <w:sz w:val="18"/>
                <w:szCs w:val="18"/>
                <w:color w:val="auto"/>
              </w:rPr>
            </w:pPr>
          </w:p>
        </w:tc>
        <w:tc>
          <w:tcPr>
            <w:tcW w:w="1280" w:type="dxa"/>
            <w:vAlign w:val="bottom"/>
            <w:gridSpan w:val="2"/>
          </w:tcPr>
          <w:p>
            <w:pPr>
              <w:jc w:val="right"/>
              <w:ind w:right="48"/>
              <w:spacing w:after="0"/>
              <w:rPr>
                <w:sz w:val="20"/>
                <w:szCs w:val="20"/>
                <w:color w:val="auto"/>
              </w:rPr>
            </w:pPr>
            <w:r>
              <w:rPr>
                <w:rFonts w:ascii="Arial" w:cs="Arial" w:eastAsia="Arial" w:hAnsi="Arial"/>
                <w:sz w:val="18"/>
                <w:szCs w:val="18"/>
                <w:i w:val="1"/>
                <w:iCs w:val="1"/>
                <w:color w:val="auto"/>
              </w:rPr>
              <w:t>31.0%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31.3%</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8"/>
              <w:spacing w:after="0"/>
              <w:rPr>
                <w:sz w:val="20"/>
                <w:szCs w:val="20"/>
                <w:color w:val="auto"/>
              </w:rPr>
            </w:pPr>
            <w:r>
              <w:rPr>
                <w:rFonts w:ascii="Arial" w:cs="Arial" w:eastAsia="Arial" w:hAnsi="Arial"/>
                <w:sz w:val="18"/>
                <w:szCs w:val="18"/>
                <w:i w:val="1"/>
                <w:iCs w:val="1"/>
                <w:color w:val="auto"/>
              </w:rPr>
              <w:t>31.9%</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31.7%</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8"/>
              <w:spacing w:after="0"/>
              <w:rPr>
                <w:sz w:val="20"/>
                <w:szCs w:val="20"/>
                <w:color w:val="auto"/>
              </w:rPr>
            </w:pPr>
            <w:r>
              <w:rPr>
                <w:rFonts w:ascii="Arial" w:cs="Arial" w:eastAsia="Arial" w:hAnsi="Arial"/>
                <w:sz w:val="18"/>
                <w:szCs w:val="18"/>
                <w:color w:val="auto"/>
              </w:rPr>
              <w:t>16,216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14,354</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8"/>
              <w:spacing w:after="0"/>
              <w:rPr>
                <w:sz w:val="20"/>
                <w:szCs w:val="20"/>
                <w:color w:val="auto"/>
              </w:rPr>
            </w:pPr>
            <w:r>
              <w:rPr>
                <w:rFonts w:ascii="Arial" w:cs="Arial" w:eastAsia="Arial" w:hAnsi="Arial"/>
                <w:sz w:val="18"/>
                <w:szCs w:val="18"/>
                <w:color w:val="auto"/>
              </w:rPr>
              <w:t>45,365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38,199</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 of net revenues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i w:val="1"/>
                <w:iCs w:val="1"/>
                <w:color w:val="auto"/>
              </w:rPr>
              <w:t>10.4%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10.7%</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i w:val="1"/>
                <w:iCs w:val="1"/>
                <w:color w:val="auto"/>
              </w:rPr>
              <w:t>10.2%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10.1%</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0.54</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Net revenues increased 15.5% and 17.9% for the third quarter and the first nine months of fiscal year 2009 over the comparable period of fiscal year 2008. The effects of foreign exchange accounted for an increase of 1.0% and 3.7% for the third quarter and nine months, respectively. The remaining increase of 14.5% for the quarter and 14.2% for the nine months is mainly due to increases in our disposables revenue and equipment sales. The increase in disposables revenue for the quarter resulted primarily from disposable unit increases in Plasma and Surgical &amp; Diagnostic. Surgical &amp; Diagnostic disposables revenue include $5.3 million and $15.0 million of revenues for the third quarter and nine months, respectively related to the TEG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Thrombelastograph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Hemostasis Analyzer business (“TEG®” or “TEG”) which was acquired in the third quarter of fiscal year 2008 and the Medicell business which was acquired in the first quarter of fiscal year 2009.</w:t>
      </w:r>
    </w:p>
    <w:p>
      <w:pPr>
        <w:spacing w:after="0" w:line="203"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Gross profit increased 17.6% and 20.3% for the third quarter and the first nine months of fiscal year 2009 over the comparable period of fiscal year 2008. The favorable effects of foreign exchange accounted for an increase of 2.6% and 5.7% for the third quarter and first nine months of fiscal year 2009, respectively.</w:t>
      </w:r>
    </w:p>
    <w:p>
      <w:pPr>
        <w:sectPr>
          <w:pgSz w:w="11900" w:h="16838" w:orient="portrait"/>
          <w:cols w:equalWidth="0" w:num="1">
            <w:col w:w="11420"/>
          </w:cols>
          <w:pgMar w:left="240" w:top="337" w:right="239" w:bottom="0" w:gutter="0" w:footer="0" w:header="0"/>
        </w:sectPr>
      </w:pPr>
    </w:p>
    <w:bookmarkStart w:id="16" w:name="page17"/>
    <w:bookmarkEnd w:id="16"/>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The remaining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increase of 15.0% for the quarter and 14.6% for the nine months was due primarily to increased sales offset partly by changes in product mix driven by higher sales of lower margin plasma products.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income increased 25.0% and 34.9% for the third quarter and the first nine months of fiscal year 2009 over the comparable period of fiscal year 2008. The favorable effects of foreign exchange accounted for an increase of 13.1% and 14.6% for the third quarter and the first nine months of fiscal year 2009, respectively. Without the effects of foreign exchange, operating income increased 11.9% for the quarter and 20.3% for the nine months. These increases were a result of the gross profit changes described above offset by higher operating expenses of 16.3% and 12.3% for the third quarter and first nine months of fiscal year 2009, respectively. The noted higher operating expenses are largely related to the expenses from the recent acquisitions, including TEG® and increased employee performance based compensation expense in the third quarter and first nine months of fiscal year 2009 based on strong Company performance versus pre-established targets.</w:t>
      </w:r>
    </w:p>
    <w:p>
      <w:pPr>
        <w:spacing w:after="0" w:line="189" w:lineRule="exact"/>
        <w:rPr>
          <w:sz w:val="20"/>
          <w:szCs w:val="20"/>
          <w:color w:val="auto"/>
        </w:rPr>
      </w:pPr>
    </w:p>
    <w:p>
      <w:pPr>
        <w:ind w:right="320"/>
        <w:spacing w:after="0" w:line="285" w:lineRule="auto"/>
        <w:rPr>
          <w:sz w:val="20"/>
          <w:szCs w:val="20"/>
          <w:color w:val="auto"/>
        </w:rPr>
      </w:pPr>
      <w:r>
        <w:rPr>
          <w:rFonts w:ascii="Arial" w:cs="Arial" w:eastAsia="Arial" w:hAnsi="Arial"/>
          <w:sz w:val="17"/>
          <w:szCs w:val="17"/>
          <w:color w:val="auto"/>
        </w:rPr>
        <w:t>Net income increased 13.0% and 18.8% for the third quarter and the first nine months of fiscal year 2009 over the comparable periods of fiscal year 2008. The main factor that affected net income was the increase in operating income, due to the reasons mentioned above and a reduction in interest and other income. The increase in operating income was partially offset by lower interest income and by higher other expense, net relating to lower cash on hand stemming from the TEG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business acquisition and share repurchase program, and lower investment yield.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by Geography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For the three months ended</w:t>
            </w:r>
          </w:p>
        </w:tc>
        <w:tc>
          <w:tcPr>
            <w:tcW w:w="11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For the nine months ended</w:t>
            </w:r>
          </w:p>
        </w:tc>
        <w:tc>
          <w:tcPr>
            <w:tcW w:w="280" w:type="dxa"/>
            <w:vAlign w:val="bottom"/>
          </w:tcPr>
          <w:p>
            <w:pPr>
              <w:spacing w:after="0"/>
              <w:rPr>
                <w:sz w:val="14"/>
                <w:szCs w:val="14"/>
                <w:color w:val="auto"/>
              </w:rPr>
            </w:pPr>
          </w:p>
        </w:tc>
        <w:tc>
          <w:tcPr>
            <w:tcW w:w="136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4"/>
              </w:rPr>
              <w:t>December 27,</w:t>
            </w:r>
          </w:p>
        </w:tc>
        <w:tc>
          <w:tcPr>
            <w:tcW w:w="120" w:type="dxa"/>
            <w:vAlign w:val="bottom"/>
          </w:tcPr>
          <w:p>
            <w:pPr>
              <w:spacing w:after="0"/>
              <w:rPr>
                <w:sz w:val="10"/>
                <w:szCs w:val="10"/>
                <w:color w:val="auto"/>
              </w:rPr>
            </w:pPr>
          </w:p>
        </w:tc>
        <w:tc>
          <w:tcPr>
            <w:tcW w:w="13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December 29,</w:t>
            </w: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December 27,</w:t>
            </w:r>
          </w:p>
        </w:tc>
        <w:tc>
          <w:tcPr>
            <w:tcW w:w="120" w:type="dxa"/>
            <w:vAlign w:val="bottom"/>
          </w:tcPr>
          <w:p>
            <w:pPr>
              <w:spacing w:after="0"/>
              <w:rPr>
                <w:sz w:val="10"/>
                <w:szCs w:val="10"/>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29,</w:t>
            </w: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4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5"/>
              </w:rPr>
              <w:t>Q3FY09 vs.</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8"/>
              </w:rPr>
              <w:t>YTDFY09 vs.</w:t>
            </w:r>
          </w:p>
        </w:tc>
        <w:tc>
          <w:tcPr>
            <w:tcW w:w="0" w:type="dxa"/>
            <w:vAlign w:val="bottom"/>
          </w:tcPr>
          <w:p>
            <w:pPr>
              <w:spacing w:after="0"/>
              <w:rPr>
                <w:sz w:val="1"/>
                <w:szCs w:val="1"/>
                <w:color w:val="auto"/>
              </w:rPr>
            </w:pPr>
          </w:p>
        </w:tc>
      </w:tr>
      <w:tr>
        <w:trPr>
          <w:trHeight w:val="171"/>
        </w:trPr>
        <w:tc>
          <w:tcPr>
            <w:tcW w:w="25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79"/>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37"/>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54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9"/>
              </w:rPr>
              <w:t>Q3FY08</w:t>
            </w:r>
          </w:p>
        </w:tc>
        <w:tc>
          <w:tcPr>
            <w:tcW w:w="120" w:type="dxa"/>
            <w:vAlign w:val="bottom"/>
          </w:tcPr>
          <w:p>
            <w:pPr>
              <w:spacing w:after="0"/>
              <w:rPr>
                <w:sz w:val="14"/>
                <w:szCs w:val="14"/>
                <w:color w:val="auto"/>
              </w:rPr>
            </w:pPr>
          </w:p>
        </w:tc>
        <w:tc>
          <w:tcPr>
            <w:tcW w:w="1000" w:type="dxa"/>
            <w:vAlign w:val="bottom"/>
          </w:tcPr>
          <w:p>
            <w:pPr>
              <w:jc w:val="right"/>
              <w:ind w:right="339"/>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36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rPr>
              <w:t>YTDFY08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61,481</w:t>
            </w:r>
          </w:p>
        </w:tc>
        <w:tc>
          <w:tcPr>
            <w:tcW w:w="15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205,748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170,085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81,999</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73,106</w:t>
            </w:r>
          </w:p>
        </w:tc>
        <w:tc>
          <w:tcPr>
            <w:tcW w:w="1540" w:type="dxa"/>
            <w:vAlign w:val="bottom"/>
            <w:gridSpan w:val="2"/>
          </w:tcPr>
          <w:p>
            <w:pPr>
              <w:ind w:left="82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239,734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207,616</w:t>
            </w:r>
          </w:p>
        </w:tc>
        <w:tc>
          <w:tcPr>
            <w:tcW w:w="280" w:type="dxa"/>
            <w:vAlign w:val="bottom"/>
          </w:tcPr>
          <w:p>
            <w:pPr>
              <w:spacing w:after="0"/>
              <w:rPr>
                <w:sz w:val="18"/>
                <w:szCs w:val="18"/>
                <w:color w:val="auto"/>
              </w:rPr>
            </w:pP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155,447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134,587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b w:val="1"/>
                <w:bCs w:val="1"/>
                <w:color w:val="auto"/>
                <w:w w:val="85"/>
              </w:rPr>
              <w:t>15.5</w:t>
            </w:r>
          </w:p>
        </w:tc>
        <w:tc>
          <w:tcPr>
            <w:tcW w:w="40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b w:val="1"/>
                <w:bCs w:val="1"/>
                <w:color w:val="auto"/>
                <w:w w:val="86"/>
              </w:rPr>
              <w:t>445,482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377,701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b w:val="1"/>
                <w:bCs w:val="1"/>
                <w:color w:val="auto"/>
                <w:w w:val="85"/>
              </w:rPr>
              <w:t>17.9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 and the Impact of Foreign Exchange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more than 50 countries around the world via a direct sales force as well as independent distributors.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revenues generated outside the U.S. approximated 52.8% and 54.3% of total sales for the third quarter of fiscal years 2009 and 2008, respectively and 53.8% and 55.0% for the first nine months of fiscal years 2009 and 2008, respectively. Revenues in Japan accounted for approximately 17.7% and 16.4% of total revenues for the third quarter of fiscal year 2009 and 2008, respectively and 16.5% and 17.6% of total revenues for the first nine months of fiscal year 2009 and 2008, respectively. Revenues in Europe accounted for approximately 27.6% and 30.8% of total revenues for the third quarters of fiscal year 2009 and 2008 and 29.5% and 29.7% of total revenues for the first nine months of fiscal year 2009 and 2008, respectively. International sales are primarily conducted in local currencies, primarily the Japanese Yen and the Euro. As discussed above, our results of operations can be impacted by changes in the value of the Yen and the Euro relative to the U.S. dollar.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By Product Type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For the three months ended</w:t>
            </w:r>
          </w:p>
        </w:tc>
        <w:tc>
          <w:tcPr>
            <w:tcW w:w="11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For the nine months ended</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 /</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December 27,</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December 29,</w:t>
            </w:r>
          </w:p>
        </w:tc>
        <w:tc>
          <w:tcPr>
            <w:tcW w:w="156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December 27,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December 29,</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6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5"/>
              </w:rPr>
              <w:t>Q3FY09 vs.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8"/>
              </w:rPr>
              <w:t>YTDFY09 vs.</w:t>
            </w:r>
          </w:p>
        </w:tc>
        <w:tc>
          <w:tcPr>
            <w:tcW w:w="0" w:type="dxa"/>
            <w:vAlign w:val="bottom"/>
          </w:tcPr>
          <w:p>
            <w:pPr>
              <w:spacing w:after="0"/>
              <w:rPr>
                <w:sz w:val="1"/>
                <w:szCs w:val="1"/>
                <w:color w:val="auto"/>
              </w:rPr>
            </w:pPr>
          </w:p>
        </w:tc>
      </w:tr>
      <w:tr>
        <w:trPr>
          <w:trHeight w:val="171"/>
        </w:trPr>
        <w:tc>
          <w:tcPr>
            <w:tcW w:w="28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4"/>
                <w:szCs w:val="14"/>
                <w:color w:val="auto"/>
              </w:rPr>
            </w:pPr>
          </w:p>
        </w:tc>
        <w:tc>
          <w:tcPr>
            <w:tcW w:w="156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9"/>
              </w:rPr>
              <w:t>Q3FY08</w:t>
            </w:r>
          </w:p>
        </w:tc>
        <w:tc>
          <w:tcPr>
            <w:tcW w:w="120" w:type="dxa"/>
            <w:vAlign w:val="bottom"/>
          </w:tcPr>
          <w:p>
            <w:pPr>
              <w:spacing w:after="0"/>
              <w:rPr>
                <w:sz w:val="14"/>
                <w:szCs w:val="14"/>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4"/>
                <w:szCs w:val="14"/>
                <w:color w:val="auto"/>
              </w:rPr>
            </w:pPr>
          </w:p>
        </w:tc>
        <w:tc>
          <w:tcPr>
            <w:tcW w:w="136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rPr>
              <w:t>YTDFY08</w:t>
            </w:r>
          </w:p>
        </w:tc>
        <w:tc>
          <w:tcPr>
            <w:tcW w:w="0" w:type="dxa"/>
            <w:vAlign w:val="bottom"/>
          </w:tcPr>
          <w:p>
            <w:pPr>
              <w:spacing w:after="0"/>
              <w:rPr>
                <w:sz w:val="1"/>
                <w:szCs w:val="1"/>
                <w:color w:val="auto"/>
              </w:rPr>
            </w:pPr>
          </w:p>
        </w:tc>
      </w:tr>
      <w:tr>
        <w:trPr>
          <w:trHeight w:val="210"/>
        </w:trPr>
        <w:tc>
          <w:tcPr>
            <w:tcW w:w="12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Disposables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135,159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115,005</w:t>
            </w:r>
          </w:p>
        </w:tc>
        <w:tc>
          <w:tcPr>
            <w:tcW w:w="15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387,803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325,473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820" w:type="dxa"/>
            <w:vAlign w:val="bottom"/>
            <w:gridSpan w:val="4"/>
          </w:tcPr>
          <w:p>
            <w:pPr>
              <w:ind w:left="180"/>
              <w:spacing w:after="0"/>
              <w:rPr>
                <w:sz w:val="20"/>
                <w:szCs w:val="20"/>
                <w:color w:val="auto"/>
              </w:rPr>
            </w:pPr>
            <w:r>
              <w:rPr>
                <w:rFonts w:ascii="Arial" w:cs="Arial" w:eastAsia="Arial" w:hAnsi="Arial"/>
                <w:sz w:val="18"/>
                <w:szCs w:val="18"/>
                <w:color w:val="auto"/>
              </w:rPr>
              <w:t>Software Solutions &amp; Service</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11,097</w:t>
            </w:r>
          </w:p>
        </w:tc>
        <w:tc>
          <w:tcPr>
            <w:tcW w:w="1560" w:type="dxa"/>
            <w:vAlign w:val="bottom"/>
            <w:gridSpan w:val="2"/>
          </w:tcPr>
          <w:p>
            <w:pPr>
              <w:jc w:val="right"/>
              <w:ind w:right="1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30,291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29,942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8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10,246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8,485</w:t>
            </w:r>
          </w:p>
        </w:tc>
        <w:tc>
          <w:tcPr>
            <w:tcW w:w="15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22,286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0"/>
        </w:trPr>
        <w:tc>
          <w:tcPr>
            <w:tcW w:w="2820" w:type="dxa"/>
            <w:vAlign w:val="bottom"/>
            <w:gridSpan w:val="4"/>
          </w:tcPr>
          <w:p>
            <w:pPr>
              <w:spacing w:after="0"/>
              <w:rPr>
                <w:sz w:val="20"/>
                <w:szCs w:val="20"/>
                <w:color w:val="auto"/>
              </w:rPr>
            </w:pPr>
            <w:r>
              <w:rPr>
                <w:rFonts w:ascii="Arial" w:cs="Arial" w:eastAsia="Arial" w:hAnsi="Arial"/>
                <w:sz w:val="18"/>
                <w:szCs w:val="18"/>
                <w:b w:val="1"/>
                <w:bCs w:val="1"/>
                <w:color w:val="auto"/>
              </w:rPr>
              <w:t>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155,447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134,587</w:t>
            </w:r>
          </w:p>
        </w:tc>
        <w:tc>
          <w:tcPr>
            <w:tcW w:w="2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445,482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377,701</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385"/>
        </w:trPr>
        <w:tc>
          <w:tcPr>
            <w:tcW w:w="28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Disposables Revenues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i w:val="1"/>
                <w:iCs w:val="1"/>
                <w:color w:val="auto"/>
              </w:rPr>
              <w:t>By Product Type</w:t>
            </w:r>
          </w:p>
        </w:tc>
        <w:tc>
          <w:tcPr>
            <w:tcW w:w="11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2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For the three months ended</w:t>
            </w:r>
          </w:p>
        </w:tc>
        <w:tc>
          <w:tcPr>
            <w:tcW w:w="11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For the nine months ended</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December 27,</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December 29,</w:t>
            </w: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December 27,</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December 29,</w:t>
            </w: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6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5"/>
              </w:rPr>
              <w:t>Q3FY09 vs.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8"/>
              </w:rPr>
              <w:t>YTDFY09 vs.</w:t>
            </w:r>
          </w:p>
        </w:tc>
        <w:tc>
          <w:tcPr>
            <w:tcW w:w="0" w:type="dxa"/>
            <w:vAlign w:val="bottom"/>
          </w:tcPr>
          <w:p>
            <w:pPr>
              <w:spacing w:after="0"/>
              <w:rPr>
                <w:sz w:val="1"/>
                <w:szCs w:val="1"/>
                <w:color w:val="auto"/>
              </w:rPr>
            </w:pPr>
          </w:p>
        </w:tc>
      </w:tr>
      <w:tr>
        <w:trPr>
          <w:trHeight w:val="171"/>
        </w:trPr>
        <w:tc>
          <w:tcPr>
            <w:tcW w:w="2520" w:type="dxa"/>
            <w:vAlign w:val="bottom"/>
            <w:tcBorders>
              <w:bottom w:val="single" w:sz="8" w:color="auto"/>
            </w:tcBorders>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Q3FY08</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YTDFY08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125" w:right="239" w:bottom="0" w:gutter="0" w:footer="0" w:header="0"/>
        </w:sectPr>
      </w:pPr>
    </w:p>
    <w:bookmarkStart w:id="17" w:name="page18"/>
    <w:bookmarkEnd w:id="17"/>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w w:val="92"/>
              </w:rPr>
              <w:t>Donor:</w:t>
            </w:r>
          </w:p>
        </w:tc>
        <w:tc>
          <w:tcPr>
            <w:tcW w:w="1860" w:type="dxa"/>
            <w:vAlign w:val="bottom"/>
            <w:tcBorders>
              <w:bottom w:val="single" w:sz="8" w:color="CCEEFF"/>
            </w:tcBorders>
            <w:gridSpan w:val="2"/>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3"/>
          </w:tcPr>
          <w:p>
            <w:pPr>
              <w:spacing w:after="0"/>
              <w:rPr>
                <w:sz w:val="20"/>
                <w:szCs w:val="20"/>
                <w:color w:val="auto"/>
              </w:rPr>
            </w:pPr>
            <w:r>
              <w:rPr>
                <w:rFonts w:ascii="Arial" w:cs="Arial" w:eastAsia="Arial" w:hAnsi="Arial"/>
                <w:sz w:val="18"/>
                <w:szCs w:val="18"/>
                <w:color w:val="auto"/>
              </w:rPr>
              <w:t>Plasma</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53,594</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41,253</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29.9%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150,386</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114,788</w:t>
            </w:r>
          </w:p>
        </w:tc>
        <w:tc>
          <w:tcPr>
            <w:tcW w:w="108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Blood Bank</w:t>
            </w: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36,435</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33,207</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108,388</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100,399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3"/>
          </w:tcPr>
          <w:p>
            <w:pPr>
              <w:spacing w:after="0"/>
              <w:rPr>
                <w:sz w:val="20"/>
                <w:szCs w:val="20"/>
                <w:color w:val="auto"/>
              </w:rPr>
            </w:pPr>
            <w:r>
              <w:rPr>
                <w:rFonts w:ascii="Arial" w:cs="Arial" w:eastAsia="Arial" w:hAnsi="Arial"/>
                <w:sz w:val="18"/>
                <w:szCs w:val="18"/>
                <w:color w:val="auto"/>
              </w:rPr>
              <w:t>Red Cell</w:t>
            </w:r>
          </w:p>
        </w:tc>
        <w:tc>
          <w:tcPr>
            <w:tcW w:w="7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13,051</w:t>
            </w:r>
          </w:p>
        </w:tc>
        <w:tc>
          <w:tcPr>
            <w:tcW w:w="48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12,478</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36,651</w:t>
            </w:r>
          </w:p>
        </w:tc>
        <w:tc>
          <w:tcPr>
            <w:tcW w:w="460" w:type="dxa"/>
            <w:vAlign w:val="bottom"/>
          </w:tcPr>
          <w:p>
            <w:pPr>
              <w:spacing w:after="0"/>
              <w:rPr>
                <w:sz w:val="18"/>
                <w:szCs w:val="18"/>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34,257</w:t>
            </w: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Subtotal</w:t>
            </w: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103,080</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86,938</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295,425</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249,444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Patient:</w:t>
            </w: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gridSpan w:val="3"/>
          </w:tcPr>
          <w:p>
            <w:pPr>
              <w:spacing w:after="0"/>
              <w:rPr>
                <w:sz w:val="20"/>
                <w:szCs w:val="20"/>
                <w:color w:val="auto"/>
              </w:rPr>
            </w:pPr>
            <w:r>
              <w:rPr>
                <w:rFonts w:ascii="Arial" w:cs="Arial" w:eastAsia="Arial" w:hAnsi="Arial"/>
                <w:sz w:val="18"/>
                <w:szCs w:val="18"/>
                <w:color w:val="auto"/>
              </w:rPr>
              <w:t>Surgical &amp; Diagnostic</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22,967</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18,981</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21.0%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66,077</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50,907</w:t>
            </w:r>
          </w:p>
        </w:tc>
        <w:tc>
          <w:tcPr>
            <w:tcW w:w="108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OrthoPat</w:t>
            </w: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9,112</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9,086</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26,301</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25,122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3"/>
          </w:tcPr>
          <w:p>
            <w:pPr>
              <w:spacing w:after="0"/>
              <w:rPr>
                <w:sz w:val="20"/>
                <w:szCs w:val="20"/>
                <w:color w:val="auto"/>
              </w:rPr>
            </w:pPr>
            <w:r>
              <w:rPr>
                <w:rFonts w:ascii="Arial" w:cs="Arial" w:eastAsia="Arial" w:hAnsi="Arial"/>
                <w:sz w:val="18"/>
                <w:szCs w:val="18"/>
                <w:b w:val="1"/>
                <w:bCs w:val="1"/>
                <w:color w:val="auto"/>
              </w:rPr>
              <w:t>Subtotal</w:t>
            </w: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32,079</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28,067</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14.3%</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92,378</w:t>
            </w:r>
          </w:p>
        </w:tc>
        <w:tc>
          <w:tcPr>
            <w:tcW w:w="4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76,029</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380" w:type="dxa"/>
            <w:vAlign w:val="bottom"/>
            <w:gridSpan w:val="3"/>
          </w:tcPr>
          <w:p>
            <w:pPr>
              <w:spacing w:after="0"/>
              <w:rPr>
                <w:sz w:val="20"/>
                <w:szCs w:val="20"/>
                <w:color w:val="auto"/>
              </w:rPr>
            </w:pPr>
            <w:r>
              <w:rPr>
                <w:rFonts w:ascii="Arial" w:cs="Arial" w:eastAsia="Arial" w:hAnsi="Arial"/>
                <w:sz w:val="18"/>
                <w:szCs w:val="18"/>
                <w:b w:val="1"/>
                <w:bCs w:val="1"/>
                <w:color w:val="auto"/>
              </w:rPr>
              <w:t>Total disposables revenue</w:t>
            </w: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135,159</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115,005</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17.5%</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387,803</w:t>
            </w:r>
          </w:p>
        </w:tc>
        <w:tc>
          <w:tcPr>
            <w:tcW w:w="4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325,473</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19.2%</w:t>
            </w:r>
          </w:p>
        </w:tc>
        <w:tc>
          <w:tcPr>
            <w:tcW w:w="0" w:type="dxa"/>
            <w:vAlign w:val="bottom"/>
          </w:tcPr>
          <w:p>
            <w:pPr>
              <w:spacing w:after="0"/>
              <w:rPr>
                <w:sz w:val="1"/>
                <w:szCs w:val="1"/>
                <w:color w:val="auto"/>
              </w:rPr>
            </w:pPr>
          </w:p>
        </w:tc>
      </w:tr>
      <w:tr>
        <w:trPr>
          <w:trHeight w:val="414"/>
        </w:trPr>
        <w:tc>
          <w:tcPr>
            <w:tcW w:w="2400" w:type="dxa"/>
            <w:vAlign w:val="bottom"/>
            <w:gridSpan w:val="4"/>
          </w:tcPr>
          <w:p>
            <w:pPr>
              <w:spacing w:after="0"/>
              <w:rPr>
                <w:sz w:val="20"/>
                <w:szCs w:val="20"/>
                <w:color w:val="auto"/>
              </w:rPr>
            </w:pPr>
            <w:r>
              <w:rPr>
                <w:rFonts w:ascii="Arial" w:cs="Arial" w:eastAsia="Arial" w:hAnsi="Arial"/>
                <w:sz w:val="18"/>
                <w:szCs w:val="18"/>
                <w:b w:val="1"/>
                <w:bCs w:val="1"/>
                <w:color w:val="auto"/>
              </w:rPr>
              <w:t>DONOR PRODUCTS</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Donor products include the plasma, blood bank and red cell product lines. Disposables revenue for donor products increased 18.6% compared to the third quarter of fiscal year 2008 and 18.4% for the first nine months over the comparable period in fiscal year 2008. Foreign exchange resulted in a 2.0% increase for the third quarter and 4.4% increase for the first nine months over the comparable period in fiscal year 2008. The remaining increase of 16.6% for the quarter and 14.0% for the first nine months was driven by increases in Plasma along with increases in the other product lines, as discussed below.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Plasma</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Plasma disposable revenue increased 29.9% and 31.0% for the third quarter and the first nine months of fiscal year 2009 over the comparable periods of fiscal year 2008. Foreign exchange resulted in a 0.7% decrease and 2.6% increase on plasma disposables revenue for the quarter and the first nine months, respectively.</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two main reasons for the remaining increase for the quarter and for the first nine months are (1) increased demand for our products due to the demand for plasma derived pharmaceuticals and (2) a larger installed based of our plasma devices caused by the addition of new customers added over the last twelve months. Demand for source plasma to make pharmaceuticals remains strong, increasing collections by our customers and resulting in higher sales. To meet this higher demand, over the past year we have continued to place additional equipment with existing and new customers. Over the next twelve to twenty-four months, as market growth rates trend down and our customers’ demand levels normalize, we expect plasma disposable growth rates to moderate to a low double-digit 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Bank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Blood bank disposable revenue for donor products increased 9.7% and 8.0%, respectively, for the third quarter and the first nine months of fiscal year 2009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same periods in of fiscal year 2008. Foreign exchange resulted in a 6.2% increase in blood bank disposables revenue during the quarter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7.1% increase in the first nine months over the comparable periods in fiscal year 2008. Without the effect of currency, blood bank revenue increased 3.5%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0.9% for the third quarter and first nine months.</w:t>
      </w:r>
    </w:p>
    <w:p>
      <w:pPr>
        <w:spacing w:after="0" w:line="21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Blood bank sales consist of our products which collect platelets, and certain blood processing equipment. The increase was driven by increased sales to Canadian Blood Services and the Asia Pacific region partially offset by declines in European direct sales and Japan. While the overall market for platelet collections has seen nominal growth rates in Europe, U.S. and Japan, we have seen increased demand in certain emerging markets which has driven increased sales in those geographies. The sales to the Canadian Blood Services are the result of a contract implemented in the fourth quarter of fiscal year 2008.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 Cell</w:t>
      </w:r>
    </w:p>
    <w:p>
      <w:pPr>
        <w:spacing w:after="0" w:line="22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Red cell disposable revenue increased 4.6% compared to the third quarter of fiscal year 2008 and 7.0% compared to the first nine months of fiscal year 2008. Foreign exchange accounted for a decrease of 1.2% in the quarter and an increase of 1.4% for the first nine months over the comparable period in fiscal year 2008. Without this effect, disposables revenue increased 5.8% for the quarter and 5.6% for the first nine months.</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red cell products are sold primarily to blood collectors, such as blood banks and government agencies. Sales are driven by the total level of red cell collections, the percentage of those collections done with aphersis devices and our market share of those automated collections. With worldwide blood donation increasing low single digits, sales increases are driven primarily by collectors adopting our aphersis technology over manual whole blood collection. The quarterly and year-to-date increases were primarily due to additional equipment placements over the last year in North America and increased direct sales in Europe.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PATIENT PRODUCTS</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patient product line includes the following brand platforms: the Cell Saver® brand, the TEG® products, the OrthoPAT® brand, the cardioPAT® brand, and the SmartSuction Harmony™ products. Patient disposables revenue increased 14.3% compared to the third quarter of fiscal year 2008 and 21.5% compared to the first nine months of fiscal year 2008. Foreign exchange resulted in a 0.3% increase in patient disposables revenue during the quarter and a 3.0% increase during the first nine months. The remaining increase of 14.0% for the quarter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18.5% for the first nine months were the result of increases in each of the product lines and the acquisition of the TEG products, as discussed below.</w:t>
      </w:r>
    </w:p>
    <w:p>
      <w:pPr>
        <w:sectPr>
          <w:pgSz w:w="11900" w:h="16862" w:orient="portrait"/>
          <w:cols w:equalWidth="0" w:num="1">
            <w:col w:w="11420"/>
          </w:cols>
          <w:pgMar w:left="240" w:top="324" w:right="239" w:bottom="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auto"/>
        </w:rPr>
        <w:t>Surgical &amp; Diagnostic</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Revenues from our surgical disposables and diagnostic products increased 21.0% as compared to the third quarter of fiscal year 2008 and increased 29.8% as compared to the first nine months of fiscal 2008. Surgical and diagnostic disposables revenue consists principally of the Cell Saver, cardioPAT, and TEG products. Foreign exchange resulted in a 0.1% increase in surgical and diagnostic disposables revenue during the quarter and a 3.1% increase the first nine months. Without the effect of currency, surgical disposables and diagnostic revenue increased 20.9% for the quarter and 26.7% for the first nine months. The growth is principally driven by the impact of adding the TEG® product line, which had sales of $5.3 million in the third quarter and $15.0 million in the first nine months of fiscal year 2009, to the surgical product portfolio. The TEG product line was added through its acquisition from Haemoscope Corporation in the third quarter of fiscal year 2008. In the first quarter of fiscal year 2009, Medicell (previously, Haemoscope’s UK distributor) was acquired.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OrthoPAT</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OrthoPAT disposables revenue increased 0.3% as compared to the third quarter of fiscal year 2008 and 4.7% for the first nine months of fiscal 2008. Foreign exchange resulted in a 0.4% increase in OrthoPAT disposables revenue during the quarter and a 2.5% increase for the first nine months. Without foreign exchange, revenues decreased by 0.1% and increased by 2.2%, respectively for the third quarter and the first nine months of fiscal year 2009 compared to the same period in fiscal year 2008. The growth for the first nine months was driven by increases in Japan and European markets.</w:t>
      </w:r>
    </w:p>
    <w:p>
      <w:pPr>
        <w:spacing w:after="0" w:line="15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Our OrthoPAT products serve orthopedic procedures that involve slower, lower volume blood loss that occurs during surgery and for blood loss that occurs for up to six hours after surgery. Revenues are driven by adoption of the technology by surgeons and hospitals, and particularly by increased usage among existing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6"/>
          </w:tcPr>
          <w:p>
            <w:pPr>
              <w:ind w:left="1140"/>
              <w:spacing w:after="0"/>
              <w:rPr>
                <w:sz w:val="20"/>
                <w:szCs w:val="20"/>
                <w:color w:val="auto"/>
              </w:rPr>
            </w:pPr>
            <w:r>
              <w:rPr>
                <w:rFonts w:ascii="Arial" w:cs="Arial" w:eastAsia="Arial" w:hAnsi="Arial"/>
                <w:sz w:val="13"/>
                <w:szCs w:val="13"/>
                <w:b w:val="1"/>
                <w:bCs w:val="1"/>
                <w:color w:val="auto"/>
              </w:rPr>
              <w:t>For the three months ended</w:t>
            </w:r>
          </w:p>
        </w:tc>
        <w:tc>
          <w:tcPr>
            <w:tcW w:w="10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5"/>
          </w:tcPr>
          <w:p>
            <w:pPr>
              <w:ind w:left="1160"/>
              <w:spacing w:after="0"/>
              <w:rPr>
                <w:sz w:val="20"/>
                <w:szCs w:val="20"/>
                <w:color w:val="auto"/>
              </w:rPr>
            </w:pPr>
            <w:r>
              <w:rPr>
                <w:rFonts w:ascii="Arial" w:cs="Arial" w:eastAsia="Arial" w:hAnsi="Arial"/>
                <w:sz w:val="13"/>
                <w:szCs w:val="13"/>
                <w:b w:val="1"/>
                <w:bCs w:val="1"/>
                <w:color w:val="auto"/>
              </w:rPr>
              <w:t>For the nine months ended</w:t>
            </w: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10"/>
        </w:trPr>
        <w:tc>
          <w:tcPr>
            <w:tcW w:w="2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5"/>
              </w:rPr>
              <w:t>% (Decrease) /</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35"/>
        </w:trPr>
        <w:tc>
          <w:tcPr>
            <w:tcW w:w="2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137"/>
              <w:spacing w:after="0" w:line="135" w:lineRule="exact"/>
              <w:rPr>
                <w:sz w:val="20"/>
                <w:szCs w:val="20"/>
                <w:color w:val="auto"/>
              </w:rPr>
            </w:pPr>
            <w:r>
              <w:rPr>
                <w:rFonts w:ascii="Arial" w:cs="Arial" w:eastAsia="Arial" w:hAnsi="Arial"/>
                <w:sz w:val="13"/>
                <w:szCs w:val="13"/>
                <w:b w:val="1"/>
                <w:bCs w:val="1"/>
                <w:color w:val="auto"/>
                <w:w w:val="87"/>
              </w:rPr>
              <w:t>Increase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77"/>
              <w:spacing w:after="0" w:line="135" w:lineRule="exact"/>
              <w:rPr>
                <w:sz w:val="20"/>
                <w:szCs w:val="20"/>
                <w:color w:val="auto"/>
              </w:rPr>
            </w:pPr>
            <w:r>
              <w:rPr>
                <w:rFonts w:ascii="Arial" w:cs="Arial" w:eastAsia="Arial" w:hAnsi="Arial"/>
                <w:sz w:val="13"/>
                <w:szCs w:val="13"/>
                <w:b w:val="1"/>
                <w:bCs w:val="1"/>
                <w:color w:val="auto"/>
                <w:w w:val="88"/>
              </w:rPr>
              <w:t>% Increase</w:t>
            </w:r>
          </w:p>
        </w:tc>
      </w:tr>
      <w:tr>
        <w:trPr>
          <w:trHeight w:val="135"/>
        </w:trPr>
        <w:tc>
          <w:tcPr>
            <w:tcW w:w="2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137"/>
              <w:spacing w:after="0" w:line="135" w:lineRule="exact"/>
              <w:rPr>
                <w:sz w:val="20"/>
                <w:szCs w:val="20"/>
                <w:color w:val="auto"/>
              </w:rPr>
            </w:pPr>
            <w:r>
              <w:rPr>
                <w:rFonts w:ascii="Arial" w:cs="Arial" w:eastAsia="Arial" w:hAnsi="Arial"/>
                <w:sz w:val="13"/>
                <w:szCs w:val="13"/>
                <w:b w:val="1"/>
                <w:bCs w:val="1"/>
                <w:color w:val="auto"/>
                <w:w w:val="88"/>
              </w:rPr>
              <w:t>Q3FY09 vs.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77"/>
              <w:spacing w:after="0" w:line="135" w:lineRule="exact"/>
              <w:rPr>
                <w:sz w:val="20"/>
                <w:szCs w:val="20"/>
                <w:color w:val="auto"/>
              </w:rPr>
            </w:pPr>
            <w:r>
              <w:rPr>
                <w:rFonts w:ascii="Arial" w:cs="Arial" w:eastAsia="Arial" w:hAnsi="Arial"/>
                <w:sz w:val="13"/>
                <w:szCs w:val="13"/>
                <w:b w:val="1"/>
                <w:bCs w:val="1"/>
                <w:color w:val="auto"/>
                <w:w w:val="91"/>
              </w:rPr>
              <w:t>YTDFY09 vs.</w:t>
            </w:r>
          </w:p>
        </w:tc>
      </w:tr>
      <w:tr>
        <w:trPr>
          <w:trHeight w:val="153"/>
        </w:trPr>
        <w:tc>
          <w:tcPr>
            <w:tcW w:w="284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27, 2008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29, 2007</w:t>
            </w:r>
          </w:p>
        </w:tc>
        <w:tc>
          <w:tcPr>
            <w:tcW w:w="1220" w:type="dxa"/>
            <w:vAlign w:val="bottom"/>
            <w:gridSpan w:val="2"/>
          </w:tcPr>
          <w:p>
            <w:pPr>
              <w:jc w:val="center"/>
              <w:ind w:right="137"/>
              <w:spacing w:after="0"/>
              <w:rPr>
                <w:sz w:val="20"/>
                <w:szCs w:val="20"/>
                <w:color w:val="auto"/>
              </w:rPr>
            </w:pPr>
            <w:r>
              <w:rPr>
                <w:rFonts w:ascii="Arial" w:cs="Arial" w:eastAsia="Arial" w:hAnsi="Arial"/>
                <w:sz w:val="13"/>
                <w:szCs w:val="13"/>
                <w:b w:val="1"/>
                <w:bCs w:val="1"/>
                <w:color w:val="auto"/>
                <w:w w:val="94"/>
              </w:rPr>
              <w:t>Q3FY08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27, 2008</w:t>
            </w:r>
          </w:p>
        </w:tc>
        <w:tc>
          <w:tcPr>
            <w:tcW w:w="10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29, 2007</w:t>
            </w:r>
          </w:p>
        </w:tc>
        <w:tc>
          <w:tcPr>
            <w:tcW w:w="114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auto"/>
                <w:w w:val="98"/>
              </w:rPr>
              <w:t>YTDFY08</w:t>
            </w:r>
          </w:p>
        </w:tc>
      </w:tr>
      <w:tr>
        <w:trPr>
          <w:trHeight w:val="129"/>
        </w:trPr>
        <w:tc>
          <w:tcPr>
            <w:tcW w:w="2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8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Software Solutions and Services</w:t>
            </w:r>
          </w:p>
        </w:tc>
        <w:tc>
          <w:tcPr>
            <w:tcW w:w="28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10,042</w:t>
            </w:r>
          </w:p>
        </w:tc>
        <w:tc>
          <w:tcPr>
            <w:tcW w:w="18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11,097</w:t>
            </w:r>
          </w:p>
        </w:tc>
        <w:tc>
          <w:tcPr>
            <w:tcW w:w="1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(9.5)%</w:t>
            </w:r>
          </w:p>
        </w:tc>
        <w:tc>
          <w:tcPr>
            <w:tcW w:w="18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1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30,291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380" w:type="dxa"/>
            <w:vAlign w:val="bottom"/>
            <w:gridSpan w:val="2"/>
            <w:shd w:val="clear" w:color="auto" w:fill="CCEEFF"/>
          </w:tcPr>
          <w:p>
            <w:pPr>
              <w:ind w:left="860"/>
              <w:spacing w:after="0" w:line="135" w:lineRule="exact"/>
              <w:rPr>
                <w:sz w:val="20"/>
                <w:szCs w:val="20"/>
                <w:color w:val="auto"/>
              </w:rPr>
            </w:pPr>
            <w:r>
              <w:rPr>
                <w:rFonts w:ascii="Arial" w:cs="Arial" w:eastAsia="Arial" w:hAnsi="Arial"/>
                <w:sz w:val="13"/>
                <w:szCs w:val="13"/>
                <w:color w:val="auto"/>
              </w:rPr>
              <w:t>29,941</w:t>
            </w:r>
          </w:p>
        </w:tc>
        <w:tc>
          <w:tcPr>
            <w:tcW w:w="1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r>
      <w:tr>
        <w:trPr>
          <w:trHeight w:val="135"/>
        </w:trPr>
        <w:tc>
          <w:tcPr>
            <w:tcW w:w="2840" w:type="dxa"/>
            <w:vAlign w:val="bottom"/>
          </w:tcPr>
          <w:p>
            <w:pPr>
              <w:ind w:left="180"/>
              <w:spacing w:after="0" w:line="135" w:lineRule="exact"/>
              <w:rPr>
                <w:sz w:val="20"/>
                <w:szCs w:val="20"/>
                <w:color w:val="auto"/>
              </w:rPr>
            </w:pPr>
            <w:r>
              <w:rPr>
                <w:rFonts w:ascii="Arial" w:cs="Arial" w:eastAsia="Arial" w:hAnsi="Arial"/>
                <w:sz w:val="13"/>
                <w:szCs w:val="13"/>
                <w:color w:val="auto"/>
              </w:rPr>
              <w:t>Equipment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10,246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8,485</w:t>
            </w:r>
          </w:p>
        </w:tc>
        <w:tc>
          <w:tcPr>
            <w:tcW w:w="140" w:type="dxa"/>
            <w:vAlign w:val="bottom"/>
          </w:tcPr>
          <w:p>
            <w:pPr>
              <w:spacing w:after="0"/>
              <w:rPr>
                <w:sz w:val="11"/>
                <w:szCs w:val="11"/>
                <w:color w:val="auto"/>
              </w:rPr>
            </w:pPr>
          </w:p>
        </w:tc>
        <w:tc>
          <w:tcPr>
            <w:tcW w:w="122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20.8%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27,388</w:t>
            </w:r>
          </w:p>
        </w:tc>
        <w:tc>
          <w:tcPr>
            <w:tcW w:w="100" w:type="dxa"/>
            <w:vAlign w:val="bottom"/>
          </w:tcPr>
          <w:p>
            <w:pPr>
              <w:spacing w:after="0"/>
              <w:rPr>
                <w:sz w:val="11"/>
                <w:szCs w:val="11"/>
                <w:color w:val="auto"/>
              </w:rPr>
            </w:pPr>
          </w:p>
        </w:tc>
        <w:tc>
          <w:tcPr>
            <w:tcW w:w="1380" w:type="dxa"/>
            <w:vAlign w:val="bottom"/>
            <w:gridSpan w:val="2"/>
          </w:tcPr>
          <w:p>
            <w:pPr>
              <w:ind w:left="860"/>
              <w:spacing w:after="0" w:line="135" w:lineRule="exact"/>
              <w:rPr>
                <w:sz w:val="20"/>
                <w:szCs w:val="20"/>
                <w:color w:val="auto"/>
              </w:rPr>
            </w:pPr>
            <w:r>
              <w:rPr>
                <w:rFonts w:ascii="Arial" w:cs="Arial" w:eastAsia="Arial" w:hAnsi="Arial"/>
                <w:sz w:val="13"/>
                <w:szCs w:val="13"/>
                <w:color w:val="auto"/>
              </w:rPr>
              <w:t>22,286</w:t>
            </w:r>
          </w:p>
        </w:tc>
        <w:tc>
          <w:tcPr>
            <w:tcW w:w="1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22.9%</w:t>
            </w:r>
          </w:p>
        </w:tc>
      </w:tr>
      <w:tr>
        <w:trPr>
          <w:trHeight w:val="142"/>
        </w:trPr>
        <w:tc>
          <w:tcPr>
            <w:tcW w:w="284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Total other revenues</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12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20,288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12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19,582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3.6</w:t>
            </w:r>
          </w:p>
        </w:tc>
        <w:tc>
          <w:tcPr>
            <w:tcW w:w="200" w:type="dxa"/>
            <w:vAlign w:val="bottom"/>
            <w:tcBorders>
              <w:top w:val="single" w:sz="8" w:color="CCEEFF"/>
              <w:bottom w:val="single" w:sz="8" w:color="CCEEFF"/>
            </w:tcBorders>
            <w:shd w:val="clear" w:color="auto" w:fill="CCEEFF"/>
          </w:tcPr>
          <w:p>
            <w:pPr>
              <w:jc w:val="right"/>
              <w:ind w:right="17"/>
              <w:spacing w:after="0" w:line="143" w:lineRule="exact"/>
              <w:rPr>
                <w:sz w:val="20"/>
                <w:szCs w:val="20"/>
                <w:color w:val="auto"/>
              </w:rPr>
            </w:pPr>
            <w:r>
              <w:rPr>
                <w:rFonts w:ascii="Arial" w:cs="Arial" w:eastAsia="Arial" w:hAnsi="Arial"/>
                <w:sz w:val="13"/>
                <w:szCs w:val="13"/>
                <w:b w:val="1"/>
                <w:bCs w:val="1"/>
                <w:color w:val="auto"/>
                <w:w w:val="86"/>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12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57,679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1200" w:type="dxa"/>
            <w:vAlign w:val="bottom"/>
            <w:tcBorders>
              <w:top w:val="single" w:sz="8" w:color="auto"/>
              <w:bottom w:val="single" w:sz="8" w:color="auto"/>
            </w:tcBorders>
            <w:shd w:val="clear" w:color="auto" w:fill="CCEEFF"/>
          </w:tcPr>
          <w:p>
            <w:pPr>
              <w:ind w:left="860"/>
              <w:spacing w:after="0" w:line="143" w:lineRule="exact"/>
              <w:rPr>
                <w:sz w:val="20"/>
                <w:szCs w:val="20"/>
                <w:color w:val="auto"/>
              </w:rPr>
            </w:pPr>
            <w:r>
              <w:rPr>
                <w:rFonts w:ascii="Arial" w:cs="Arial" w:eastAsia="Arial" w:hAnsi="Arial"/>
                <w:sz w:val="13"/>
                <w:szCs w:val="13"/>
                <w:b w:val="1"/>
                <w:bCs w:val="1"/>
                <w:color w:val="auto"/>
                <w:w w:val="80"/>
              </w:rPr>
              <w:t>52,227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10.4</w:t>
            </w:r>
          </w:p>
        </w:tc>
        <w:tc>
          <w:tcPr>
            <w:tcW w:w="140" w:type="dxa"/>
            <w:vAlign w:val="bottom"/>
            <w:tcBorders>
              <w:top w:val="single" w:sz="8" w:color="CCEEFF"/>
              <w:bottom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w:t>
            </w:r>
          </w:p>
        </w:tc>
      </w:tr>
      <w:tr>
        <w:trPr>
          <w:trHeight w:val="20"/>
        </w:trPr>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software solutions and services revenues include revenue from software sales and services revenues derived from repairs performed under preventive maintenance contracts or emergency service visits, spare part sales, and various service and training programs.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Software solutions and services revenues decreased 9.5% for the third quarter and increased 1.2% for the first nine months as compared to the same periods of fiscal year 2008. Software solutions revenues increased 12.2%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and 25.7% as compared to the third quarter and first nine months of fiscal year 2008, respectively. Foreign exchange had only a minor impact on the results as sales were primarily in U.S. dollars. The increase was driven by increased sales to commercial plasma customers. Services revenues declined 43.3% and 33.1% as compared to the third quarter and first nine months of fiscal year 2008, respectively. Without foreign exchange, services revenues decreased by</w:t>
      </w:r>
    </w:p>
    <w:p>
      <w:pPr>
        <w:ind w:right="480"/>
        <w:spacing w:after="0" w:line="255" w:lineRule="auto"/>
        <w:rPr>
          <w:sz w:val="20"/>
          <w:szCs w:val="20"/>
          <w:color w:val="auto"/>
        </w:rPr>
      </w:pPr>
      <w:r>
        <w:rPr>
          <w:rFonts w:ascii="Arial" w:cs="Arial" w:eastAsia="Arial" w:hAnsi="Arial"/>
          <w:sz w:val="18"/>
          <w:szCs w:val="18"/>
          <w:color w:val="auto"/>
        </w:rPr>
        <w:t>34.0% and 34.6% for the third quarter and first nine months of fiscal year 2009 as compared to the same periods in fiscal year 2008. The decrease in revenues is primarily due to the completion of a non-recurring consulting contract in North America where service was performed through the first nine months of fiscal year 2008 and was completed toward the end of fiscal year 2008.</w:t>
      </w:r>
    </w:p>
    <w:p>
      <w:pPr>
        <w:spacing w:after="0" w:line="1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Revenue from equipment sales increased 20.8% as compared to the third quarter of fiscal year 2008 and 22.9% for the first nine months compared to that of fiscal year 2008. Foreign exchange resulted in a 2.4% increase in equipment revenue during the quarter and 4.3% increase for the first nine months. The remaining increase of 18.4% for the quarter and 18.6% for the first nine months over the same periods of fiscal year 2008 relates to platelet equipment sales primarily in distribution markets and cell processing equipment to military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For the three months ended</w:t>
            </w:r>
          </w:p>
        </w:tc>
        <w:tc>
          <w:tcPr>
            <w:tcW w:w="11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1"/>
              </w:rPr>
              <w:t>For the nine months ended</w:t>
            </w: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December 27,</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December 29,</w:t>
            </w: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December 27,</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2"/>
              </w:rPr>
              <w:t>December 29,</w:t>
            </w: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Q3FY09 vs.</w:t>
            </w:r>
          </w:p>
        </w:tc>
        <w:tc>
          <w:tcPr>
            <w:tcW w:w="10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YTDFY09 vs.</w:t>
            </w:r>
          </w:p>
        </w:tc>
        <w:tc>
          <w:tcPr>
            <w:tcW w:w="0" w:type="dxa"/>
            <w:vAlign w:val="bottom"/>
          </w:tcPr>
          <w:p>
            <w:pPr>
              <w:spacing w:after="0"/>
              <w:rPr>
                <w:sz w:val="1"/>
                <w:szCs w:val="1"/>
                <w:color w:val="auto"/>
              </w:rPr>
            </w:pPr>
          </w:p>
        </w:tc>
      </w:tr>
      <w:tr>
        <w:trPr>
          <w:trHeight w:val="171"/>
        </w:trPr>
        <w:tc>
          <w:tcPr>
            <w:tcW w:w="25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39"/>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2007</w:t>
            </w:r>
          </w:p>
        </w:tc>
        <w:tc>
          <w:tcPr>
            <w:tcW w:w="400" w:type="dxa"/>
            <w:vAlign w:val="bottom"/>
          </w:tcPr>
          <w:p>
            <w:pPr>
              <w:spacing w:after="0"/>
              <w:rPr>
                <w:sz w:val="14"/>
                <w:szCs w:val="14"/>
                <w:color w:val="auto"/>
              </w:rPr>
            </w:pPr>
          </w:p>
        </w:tc>
        <w:tc>
          <w:tcPr>
            <w:tcW w:w="16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9"/>
              </w:rPr>
              <w:t>Q3FY08</w:t>
            </w:r>
          </w:p>
        </w:tc>
        <w:tc>
          <w:tcPr>
            <w:tcW w:w="1000" w:type="dxa"/>
            <w:vAlign w:val="bottom"/>
          </w:tcPr>
          <w:p>
            <w:pPr>
              <w:jc w:val="right"/>
              <w:ind w:right="339"/>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39"/>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YTDFY08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78,296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66,558</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17.6%  $</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226,022</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187,940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Profit Margin</w:t>
            </w:r>
          </w:p>
        </w:tc>
        <w:tc>
          <w:tcPr>
            <w:tcW w:w="140" w:type="dxa"/>
            <w:vAlign w:val="bottom"/>
          </w:tcPr>
          <w:p>
            <w:pPr>
              <w:spacing w:after="0"/>
              <w:rPr>
                <w:sz w:val="20"/>
                <w:szCs w:val="20"/>
                <w:color w:val="auto"/>
              </w:rPr>
            </w:pPr>
          </w:p>
        </w:tc>
        <w:tc>
          <w:tcPr>
            <w:tcW w:w="1440" w:type="dxa"/>
            <w:vAlign w:val="bottom"/>
            <w:gridSpan w:val="3"/>
          </w:tcPr>
          <w:p>
            <w:pPr>
              <w:jc w:val="right"/>
              <w:ind w:right="159"/>
              <w:spacing w:after="0"/>
              <w:rPr>
                <w:sz w:val="20"/>
                <w:szCs w:val="20"/>
                <w:color w:val="auto"/>
              </w:rPr>
            </w:pPr>
            <w:r>
              <w:rPr>
                <w:rFonts w:ascii="Arial" w:cs="Arial" w:eastAsia="Arial" w:hAnsi="Arial"/>
                <w:sz w:val="18"/>
                <w:szCs w:val="18"/>
                <w:b w:val="1"/>
                <w:bCs w:val="1"/>
                <w:color w:val="auto"/>
              </w:rPr>
              <w:t>50.4%</w:t>
            </w:r>
          </w:p>
        </w:tc>
        <w:tc>
          <w:tcPr>
            <w:tcW w:w="1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49.5%</w:t>
            </w: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jc w:val="right"/>
              <w:ind w:right="139"/>
              <w:spacing w:after="0"/>
              <w:rPr>
                <w:sz w:val="20"/>
                <w:szCs w:val="20"/>
                <w:color w:val="auto"/>
              </w:rPr>
            </w:pPr>
            <w:r>
              <w:rPr>
                <w:rFonts w:ascii="Arial" w:cs="Arial" w:eastAsia="Arial" w:hAnsi="Arial"/>
                <w:sz w:val="18"/>
                <w:szCs w:val="18"/>
                <w:b w:val="1"/>
                <w:bCs w:val="1"/>
                <w:color w:val="auto"/>
              </w:rPr>
              <w:t>50.7%</w:t>
            </w:r>
          </w:p>
        </w:tc>
        <w:tc>
          <w:tcPr>
            <w:tcW w:w="12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49.8%</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Gross profit increased 17.6% and 20.3%, respectively, as compared to the third quarter and first nine months of fiscal year 2008. Foreign exchange resulted in an increase in gross profit of 2.6% for the quarter and 5.7% for the first nine months as compared to fiscal year 2008. The remaining increase of 15.0% for the quarter and 14.6% for the first nine months was due primarily to the net increase in sales. Gross margin percent improved 90 basis points for the first nine months of fiscal year 2009 as compared to the same period of fiscal year 2008. Major factors impacting the gross margin percent improvement of 90 basis points included foreign exchange impact, manufacturing efficiencies, and product mix.</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ectPr>
          <w:pgSz w:w="11900" w:h="16838" w:orient="portrait"/>
          <w:cols w:equalWidth="0" w:num="1">
            <w:col w:w="11420"/>
          </w:cols>
          <w:pgMar w:left="240" w:top="341" w:right="239"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3"/>
              </w:rPr>
              <w:t>For the three months ended</w:t>
            </w:r>
          </w:p>
        </w:tc>
        <w:tc>
          <w:tcPr>
            <w:tcW w:w="11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left="48"/>
              <w:spacing w:after="0"/>
              <w:rPr>
                <w:sz w:val="20"/>
                <w:szCs w:val="20"/>
                <w:color w:val="auto"/>
              </w:rPr>
            </w:pPr>
            <w:r>
              <w:rPr>
                <w:rFonts w:ascii="Arial" w:cs="Arial" w:eastAsia="Arial" w:hAnsi="Arial"/>
                <w:sz w:val="14"/>
                <w:szCs w:val="14"/>
                <w:b w:val="1"/>
                <w:bCs w:val="1"/>
                <w:color w:val="auto"/>
                <w:w w:val="91"/>
              </w:rPr>
              <w:t>For the nine months ended</w:t>
            </w:r>
          </w:p>
        </w:tc>
        <w:tc>
          <w:tcPr>
            <w:tcW w:w="1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 Increase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(Decrease) /</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w w:val="94"/>
              </w:rPr>
              <w:t>December 27,</w:t>
            </w:r>
          </w:p>
        </w:tc>
        <w:tc>
          <w:tcPr>
            <w:tcW w:w="120" w:type="dxa"/>
            <w:vAlign w:val="bottom"/>
          </w:tcPr>
          <w:p>
            <w:pPr>
              <w:spacing w:after="0"/>
              <w:rPr>
                <w:sz w:val="12"/>
                <w:szCs w:val="12"/>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December 29,</w:t>
            </w: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right"/>
              <w:ind w:right="448"/>
              <w:spacing w:after="0"/>
              <w:rPr>
                <w:sz w:val="20"/>
                <w:szCs w:val="20"/>
                <w:color w:val="auto"/>
              </w:rPr>
            </w:pPr>
            <w:r>
              <w:rPr>
                <w:rFonts w:ascii="Arial" w:cs="Arial" w:eastAsia="Arial" w:hAnsi="Arial"/>
                <w:sz w:val="14"/>
                <w:szCs w:val="14"/>
                <w:b w:val="1"/>
                <w:bCs w:val="1"/>
                <w:color w:val="auto"/>
                <w:w w:val="92"/>
              </w:rPr>
              <w:t>December 27,</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December 29,</w:t>
            </w: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Q3FY09 vs.</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YTDFY09 vs.</w:t>
            </w:r>
          </w:p>
        </w:tc>
        <w:tc>
          <w:tcPr>
            <w:tcW w:w="0" w:type="dxa"/>
            <w:vAlign w:val="bottom"/>
          </w:tcPr>
          <w:p>
            <w:pPr>
              <w:spacing w:after="0"/>
              <w:rPr>
                <w:sz w:val="1"/>
                <w:szCs w:val="1"/>
                <w:color w:val="auto"/>
              </w:rPr>
            </w:pPr>
          </w:p>
        </w:tc>
      </w:tr>
      <w:tr>
        <w:trPr>
          <w:trHeight w:val="171"/>
        </w:trPr>
        <w:tc>
          <w:tcPr>
            <w:tcW w:w="21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Q3FY08</w:t>
            </w:r>
          </w:p>
        </w:tc>
        <w:tc>
          <w:tcPr>
            <w:tcW w:w="120" w:type="dxa"/>
            <w:vAlign w:val="bottom"/>
          </w:tcPr>
          <w:p>
            <w:pPr>
              <w:spacing w:after="0"/>
              <w:rPr>
                <w:sz w:val="14"/>
                <w:szCs w:val="14"/>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2007</w:t>
            </w:r>
          </w:p>
        </w:tc>
        <w:tc>
          <w:tcPr>
            <w:tcW w:w="2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YTDFY08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4"/>
              </w:rPr>
              <w:t>Research and development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5,529</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16,901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18,532</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of net revenues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15.8%</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47,965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41,432</w:t>
            </w:r>
          </w:p>
        </w:tc>
        <w:tc>
          <w:tcPr>
            <w:tcW w:w="15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141,687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119,418</w:t>
            </w:r>
          </w:p>
        </w:tc>
        <w:tc>
          <w:tcPr>
            <w:tcW w:w="15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of net revenues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Operating Expenses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53,805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46,961</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158,588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137,950</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 of net revenues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34.6%</w:t>
            </w:r>
          </w:p>
        </w:tc>
        <w:tc>
          <w:tcPr>
            <w:tcW w:w="12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34.9%</w:t>
            </w: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35.6%</w:t>
            </w:r>
          </w:p>
        </w:tc>
        <w:tc>
          <w:tcPr>
            <w:tcW w:w="12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36.5%</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Research and development expenses increased 5.6% and decreased 8.8%, respectively, as compared to the same quarter and first nine months of fiscal year 2008. The significant factors in the increase for the quarter are increased research and development investments in the Arryx technology. The decrease for the first nine months is attributable to lower spending in certain core technology projects, as we rationalized our research and development activities to focus on one platform at a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Selling, general and administrative expenses increased 15.8% in the third quarter of fiscal year 2009 and 18.6% for the first nine months of fiscal year 2009 as compared to the comparable periods of fiscal year 2008. Foreign exchange resulted in a 2.1% decrease in selling, general and administrative during the quarter and a 3.3% increase during the first nine months. Excluding the impact of foreign exchange, selling, general and administrative expense increased</w:t>
      </w:r>
    </w:p>
    <w:p>
      <w:pPr>
        <w:ind w:right="20"/>
        <w:spacing w:after="0" w:line="237" w:lineRule="auto"/>
        <w:rPr>
          <w:sz w:val="20"/>
          <w:szCs w:val="20"/>
          <w:color w:val="auto"/>
        </w:rPr>
      </w:pPr>
      <w:r>
        <w:rPr>
          <w:rFonts w:ascii="Arial" w:cs="Arial" w:eastAsia="Arial" w:hAnsi="Arial"/>
          <w:sz w:val="18"/>
          <w:szCs w:val="18"/>
          <w:color w:val="auto"/>
        </w:rPr>
        <w:t>17.9% for the third quarter and 15.3% for the first nine months as compared to the comparable periods in fiscal year 2008. The increase was due largely to expenses brought on from recent acquisitions of the TEG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Thrombelastograph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Hemostasis Analyzer business, Medicell, and Infonalé (blood management consulting services business) that had not been fully reflected in the third quarter or first nine months of fiscal year 2008 and increased employee performance based compensation expense in the third quarter and first nine months of fiscal year 2009 based on strong Company performance versus pre-established targets.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For the three months ended</w:t>
            </w:r>
          </w:p>
        </w:tc>
        <w:tc>
          <w:tcPr>
            <w:tcW w:w="16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 Increase</w:t>
            </w:r>
          </w:p>
        </w:tc>
        <w:tc>
          <w:tcPr>
            <w:tcW w:w="28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For the nine months ended</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19"/>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December 27,</w:t>
            </w: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w w:val="99"/>
              </w:rPr>
              <w:t>December 29,</w:t>
            </w:r>
          </w:p>
        </w:tc>
        <w:tc>
          <w:tcPr>
            <w:tcW w:w="280" w:type="dxa"/>
            <w:vAlign w:val="bottom"/>
          </w:tcPr>
          <w:p>
            <w:pPr>
              <w:spacing w:after="0"/>
              <w:rPr>
                <w:sz w:val="10"/>
                <w:szCs w:val="10"/>
                <w:color w:val="auto"/>
              </w:rPr>
            </w:pPr>
          </w:p>
        </w:tc>
        <w:tc>
          <w:tcPr>
            <w:tcW w:w="15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Q3FY09 vs.</w:t>
            </w: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9"/>
              </w:rPr>
              <w:t>December 27,</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60"/>
              <w:spacing w:after="0" w:line="119" w:lineRule="exact"/>
              <w:rPr>
                <w:sz w:val="20"/>
                <w:szCs w:val="20"/>
                <w:color w:val="auto"/>
              </w:rPr>
            </w:pPr>
            <w:r>
              <w:rPr>
                <w:rFonts w:ascii="Arial" w:cs="Arial" w:eastAsia="Arial" w:hAnsi="Arial"/>
                <w:sz w:val="13"/>
                <w:szCs w:val="13"/>
                <w:b w:val="1"/>
                <w:bCs w:val="1"/>
                <w:color w:val="auto"/>
                <w:w w:val="99"/>
              </w:rPr>
              <w:t>December 29,</w:t>
            </w:r>
          </w:p>
        </w:tc>
        <w:tc>
          <w:tcPr>
            <w:tcW w:w="280" w:type="dxa"/>
            <w:vAlign w:val="bottom"/>
          </w:tcPr>
          <w:p>
            <w:pPr>
              <w:spacing w:after="0"/>
              <w:rPr>
                <w:sz w:val="10"/>
                <w:szCs w:val="10"/>
                <w:color w:val="auto"/>
              </w:rPr>
            </w:pPr>
          </w:p>
        </w:tc>
        <w:tc>
          <w:tcPr>
            <w:tcW w:w="13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YTDFY09 vs.</w:t>
            </w:r>
          </w:p>
        </w:tc>
        <w:tc>
          <w:tcPr>
            <w:tcW w:w="0" w:type="dxa"/>
            <w:vAlign w:val="bottom"/>
          </w:tcPr>
          <w:p>
            <w:pPr>
              <w:spacing w:after="0"/>
              <w:rPr>
                <w:sz w:val="1"/>
                <w:szCs w:val="1"/>
                <w:color w:val="auto"/>
              </w:rPr>
            </w:pPr>
          </w:p>
        </w:tc>
      </w:tr>
      <w:tr>
        <w:trPr>
          <w:trHeight w:val="171"/>
        </w:trPr>
        <w:tc>
          <w:tcPr>
            <w:tcW w:w="2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42"/>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40"/>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6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9"/>
              </w:rPr>
              <w:t>Q3FY08</w:t>
            </w:r>
          </w:p>
        </w:tc>
        <w:tc>
          <w:tcPr>
            <w:tcW w:w="1020" w:type="dxa"/>
            <w:vAlign w:val="bottom"/>
          </w:tcPr>
          <w:p>
            <w:pPr>
              <w:jc w:val="right"/>
              <w:ind w:right="342"/>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40"/>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YTDFY08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24,491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19,597</w:t>
            </w: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25.0%   $</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67,434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49,990</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 of net revenues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14.6%</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13.2%</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Operating income increased 25.0% and 34.9%, respectively, as compared to the third quarter and first nine months of fiscal year 2008. Foreign exchange resulted in a 13.1% increase in operating income during the quarter and 14.6% increase during the first nine months. Without the effects of foreign currency, operating income increased 11.9% for the quarter and 20.3% for the first nine months due primarily to sales and gross profit growth, partially offset by increases in operating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ind w:left="320"/>
              <w:spacing w:after="0"/>
              <w:rPr>
                <w:sz w:val="20"/>
                <w:szCs w:val="20"/>
                <w:color w:val="auto"/>
              </w:rPr>
            </w:pPr>
            <w:r>
              <w:rPr>
                <w:rFonts w:ascii="Arial" w:cs="Arial" w:eastAsia="Arial" w:hAnsi="Arial"/>
                <w:sz w:val="14"/>
                <w:szCs w:val="14"/>
                <w:b w:val="1"/>
                <w:bCs w:val="1"/>
                <w:color w:val="auto"/>
              </w:rPr>
              <w:t>For the three months ended</w:t>
            </w:r>
          </w:p>
        </w:tc>
        <w:tc>
          <w:tcPr>
            <w:tcW w:w="1540" w:type="dxa"/>
            <w:vAlign w:val="bottom"/>
            <w:gridSpan w:val="3"/>
          </w:tcPr>
          <w:p>
            <w:pPr>
              <w:jc w:val="center"/>
              <w:ind w:right="410"/>
              <w:spacing w:after="0"/>
              <w:rPr>
                <w:sz w:val="20"/>
                <w:szCs w:val="20"/>
                <w:color w:val="auto"/>
              </w:rPr>
            </w:pPr>
            <w:r>
              <w:rPr>
                <w:rFonts w:ascii="Arial" w:cs="Arial" w:eastAsia="Arial" w:hAnsi="Arial"/>
                <w:sz w:val="14"/>
                <w:szCs w:val="14"/>
                <w:b w:val="1"/>
                <w:bCs w:val="1"/>
                <w:color w:val="auto"/>
                <w:w w:val="91"/>
              </w:rPr>
              <w:t>% Decrease</w:t>
            </w:r>
          </w:p>
        </w:tc>
        <w:tc>
          <w:tcPr>
            <w:tcW w:w="2700" w:type="dxa"/>
            <w:vAlign w:val="bottom"/>
            <w:gridSpan w:val="5"/>
          </w:tcPr>
          <w:p>
            <w:pPr>
              <w:ind w:left="320"/>
              <w:spacing w:after="0"/>
              <w:rPr>
                <w:sz w:val="20"/>
                <w:szCs w:val="20"/>
                <w:color w:val="auto"/>
              </w:rPr>
            </w:pPr>
            <w:r>
              <w:rPr>
                <w:rFonts w:ascii="Arial" w:cs="Arial" w:eastAsia="Arial" w:hAnsi="Arial"/>
                <w:sz w:val="14"/>
                <w:szCs w:val="14"/>
                <w:b w:val="1"/>
                <w:bCs w:val="1"/>
                <w:color w:val="auto"/>
              </w:rPr>
              <w:t>For the nine months ended</w:t>
            </w: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Decrease</w:t>
            </w:r>
          </w:p>
        </w:tc>
        <w:tc>
          <w:tcPr>
            <w:tcW w:w="0" w:type="dxa"/>
            <w:vAlign w:val="bottom"/>
          </w:tcPr>
          <w:p>
            <w:pPr>
              <w:spacing w:after="0"/>
              <w:rPr>
                <w:sz w:val="1"/>
                <w:szCs w:val="1"/>
                <w:color w:val="auto"/>
              </w:rPr>
            </w:pPr>
          </w:p>
        </w:tc>
      </w:tr>
      <w:tr>
        <w:trPr>
          <w:trHeight w:val="11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December 27,</w:t>
            </w: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December 29,</w:t>
            </w:r>
          </w:p>
        </w:tc>
        <w:tc>
          <w:tcPr>
            <w:tcW w:w="280" w:type="dxa"/>
            <w:vAlign w:val="bottom"/>
          </w:tcPr>
          <w:p>
            <w:pPr>
              <w:spacing w:after="0"/>
              <w:rPr>
                <w:sz w:val="10"/>
                <w:szCs w:val="10"/>
                <w:color w:val="auto"/>
              </w:rPr>
            </w:pPr>
          </w:p>
        </w:tc>
        <w:tc>
          <w:tcPr>
            <w:tcW w:w="14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Q3FY09 vs</w:t>
            </w: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9"/>
              </w:rPr>
              <w:t>December 27,</w:t>
            </w: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58"/>
              <w:spacing w:after="0" w:line="119" w:lineRule="exact"/>
              <w:rPr>
                <w:sz w:val="20"/>
                <w:szCs w:val="20"/>
                <w:color w:val="auto"/>
              </w:rPr>
            </w:pPr>
            <w:r>
              <w:rPr>
                <w:rFonts w:ascii="Arial" w:cs="Arial" w:eastAsia="Arial" w:hAnsi="Arial"/>
                <w:sz w:val="13"/>
                <w:szCs w:val="13"/>
                <w:b w:val="1"/>
                <w:bCs w:val="1"/>
                <w:color w:val="auto"/>
              </w:rPr>
              <w:t>December 29,</w:t>
            </w:r>
          </w:p>
        </w:tc>
        <w:tc>
          <w:tcPr>
            <w:tcW w:w="280" w:type="dxa"/>
            <w:vAlign w:val="bottom"/>
          </w:tcPr>
          <w:p>
            <w:pPr>
              <w:spacing w:after="0"/>
              <w:rPr>
                <w:sz w:val="10"/>
                <w:szCs w:val="10"/>
                <w:color w:val="auto"/>
              </w:rPr>
            </w:pPr>
          </w:p>
        </w:tc>
        <w:tc>
          <w:tcPr>
            <w:tcW w:w="13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YTDFY09 vs.</w:t>
            </w:r>
          </w:p>
        </w:tc>
        <w:tc>
          <w:tcPr>
            <w:tcW w:w="0" w:type="dxa"/>
            <w:vAlign w:val="bottom"/>
          </w:tcPr>
          <w:p>
            <w:pPr>
              <w:spacing w:after="0"/>
              <w:rPr>
                <w:sz w:val="1"/>
                <w:szCs w:val="1"/>
                <w:color w:val="auto"/>
              </w:rPr>
            </w:pPr>
          </w:p>
        </w:tc>
      </w:tr>
      <w:tr>
        <w:trPr>
          <w:trHeight w:val="171"/>
        </w:trPr>
        <w:tc>
          <w:tcPr>
            <w:tcW w:w="26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40"/>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58"/>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540" w:type="dxa"/>
            <w:vAlign w:val="bottom"/>
            <w:gridSpan w:val="3"/>
          </w:tcPr>
          <w:p>
            <w:pPr>
              <w:jc w:val="center"/>
              <w:ind w:right="410"/>
              <w:spacing w:after="0"/>
              <w:rPr>
                <w:sz w:val="20"/>
                <w:szCs w:val="20"/>
                <w:color w:val="auto"/>
              </w:rPr>
            </w:pPr>
            <w:r>
              <w:rPr>
                <w:rFonts w:ascii="Arial" w:cs="Arial" w:eastAsia="Arial" w:hAnsi="Arial"/>
                <w:sz w:val="14"/>
                <w:szCs w:val="14"/>
                <w:b w:val="1"/>
                <w:bCs w:val="1"/>
                <w:color w:val="auto"/>
                <w:w w:val="99"/>
              </w:rPr>
              <w:t>Q3FY08</w:t>
            </w:r>
          </w:p>
        </w:tc>
        <w:tc>
          <w:tcPr>
            <w:tcW w:w="1000" w:type="dxa"/>
            <w:vAlign w:val="bottom"/>
          </w:tcPr>
          <w:p>
            <w:pPr>
              <w:jc w:val="right"/>
              <w:ind w:right="320"/>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38"/>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YTDFY08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1,070</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4,037</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225</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1,905</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0"/>
              </w:rPr>
              <w:t>Total other income/(expense), net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(177.4)%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5,942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Total other income, net decreased 177.4% during the third quarter of fiscal year 2009 as compared to the third quarter of fiscal year 2008 and decreased</w:t>
      </w:r>
    </w:p>
    <w:p>
      <w:pPr>
        <w:spacing w:after="0" w:line="46"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113.4% during the nine month period of fiscal year 2009 as compared to the nine month period of fiscal year 2008 due to the net of the (i) decrease in interest income due to lower interest rates and lower invested cash resulting from acquisitions and the Company’s share repurchase program, (ii) decrease in interest expense resulting from lower average fixed rate debt outstanding, (iii) increase in other expense associated with hedge points on forward contracts and</w:t>
      </w:r>
    </w:p>
    <w:p>
      <w:pPr>
        <w:spacing w:after="0" w:line="2" w:lineRule="exact"/>
        <w:rPr>
          <w:sz w:val="20"/>
          <w:szCs w:val="20"/>
          <w:color w:val="auto"/>
        </w:rPr>
      </w:pPr>
    </w:p>
    <w:p>
      <w:pPr>
        <w:ind w:right="520" w:firstLine="8"/>
        <w:spacing w:after="0" w:line="261" w:lineRule="auto"/>
        <w:tabs>
          <w:tab w:leader="none" w:pos="305"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exchange losses on foreign currency denominated assets. Points on forward contracts are amounts, either expensed or earned, based on the interest rate differential between two foreign currencies in a forward hedge contract.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reported tax rate includes two principal components: an annual effective tax rate and discrete items that are recorded in the quarter that an event occurs.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Events or items that give rise to discrete recognition include finalizing audit examinations for open tax years and a statute of limitation’s expiration.</w:t>
      </w:r>
    </w:p>
    <w:p>
      <w:pPr>
        <w:sectPr>
          <w:pgSz w:w="11900" w:h="16838" w:orient="portrait"/>
          <w:cols w:equalWidth="0" w:num="1">
            <w:col w:w="11420"/>
          </w:cols>
          <w:pgMar w:left="240" w:top="118" w:right="239" w:bottom="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18" w:right="239" w:bottom="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740" w:type="dxa"/>
            <w:vAlign w:val="bottom"/>
            <w:gridSpan w:val="4"/>
          </w:tcPr>
          <w:p>
            <w:pPr>
              <w:jc w:val="right"/>
              <w:ind w:right="1070"/>
              <w:spacing w:after="0"/>
              <w:rPr>
                <w:sz w:val="20"/>
                <w:szCs w:val="20"/>
                <w:color w:val="auto"/>
              </w:rPr>
            </w:pPr>
            <w:r>
              <w:rPr>
                <w:rFonts w:ascii="Arial" w:cs="Arial" w:eastAsia="Arial" w:hAnsi="Arial"/>
                <w:sz w:val="14"/>
                <w:szCs w:val="14"/>
                <w:b w:val="1"/>
                <w:bCs w:val="1"/>
                <w:color w:val="auto"/>
              </w:rPr>
              <w:t>For the three months ended</w:t>
            </w:r>
          </w:p>
        </w:tc>
        <w:tc>
          <w:tcPr>
            <w:tcW w:w="3760" w:type="dxa"/>
            <w:vAlign w:val="bottom"/>
            <w:gridSpan w:val="4"/>
          </w:tcPr>
          <w:p>
            <w:pPr>
              <w:jc w:val="right"/>
              <w:ind w:right="111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60" w:type="dxa"/>
            <w:vAlign w:val="bottom"/>
            <w:tcBorders>
              <w:top w:val="single" w:sz="8" w:color="auto"/>
            </w:tcBorders>
            <w:gridSpan w:val="2"/>
          </w:tcPr>
          <w:p>
            <w:pPr>
              <w:jc w:val="right"/>
              <w:ind w:right="410"/>
              <w:spacing w:after="0" w:line="142" w:lineRule="exact"/>
              <w:rPr>
                <w:sz w:val="20"/>
                <w:szCs w:val="20"/>
                <w:color w:val="auto"/>
              </w:rPr>
            </w:pPr>
            <w:r>
              <w:rPr>
                <w:rFonts w:ascii="Arial" w:cs="Arial" w:eastAsia="Arial" w:hAnsi="Arial"/>
                <w:sz w:val="14"/>
                <w:szCs w:val="14"/>
                <w:b w:val="1"/>
                <w:bCs w:val="1"/>
                <w:color w:val="auto"/>
              </w:rPr>
              <w:t>December 27, 2008</w:t>
            </w:r>
          </w:p>
        </w:tc>
        <w:tc>
          <w:tcPr>
            <w:tcW w:w="16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December 29, 2007</w:t>
            </w:r>
          </w:p>
        </w:tc>
        <w:tc>
          <w:tcPr>
            <w:tcW w:w="280" w:type="dxa"/>
            <w:vAlign w:val="bottom"/>
          </w:tcPr>
          <w:p>
            <w:pPr>
              <w:spacing w:after="0"/>
              <w:rPr>
                <w:sz w:val="12"/>
                <w:szCs w:val="12"/>
                <w:color w:val="auto"/>
              </w:rPr>
            </w:pPr>
          </w:p>
        </w:tc>
        <w:tc>
          <w:tcPr>
            <w:tcW w:w="1880" w:type="dxa"/>
            <w:vAlign w:val="bottom"/>
            <w:tcBorders>
              <w:top w:val="single" w:sz="8" w:color="auto"/>
            </w:tcBorders>
            <w:gridSpan w:val="2"/>
          </w:tcPr>
          <w:p>
            <w:pPr>
              <w:jc w:val="right"/>
              <w:ind w:right="410"/>
              <w:spacing w:after="0" w:line="142" w:lineRule="exact"/>
              <w:rPr>
                <w:sz w:val="20"/>
                <w:szCs w:val="20"/>
                <w:color w:val="auto"/>
              </w:rPr>
            </w:pPr>
            <w:r>
              <w:rPr>
                <w:rFonts w:ascii="Arial" w:cs="Arial" w:eastAsia="Arial" w:hAnsi="Arial"/>
                <w:sz w:val="14"/>
                <w:szCs w:val="14"/>
                <w:b w:val="1"/>
                <w:bCs w:val="1"/>
                <w:color w:val="auto"/>
              </w:rPr>
              <w:t>December 27, 2008</w:t>
            </w:r>
          </w:p>
        </w:tc>
        <w:tc>
          <w:tcPr>
            <w:tcW w:w="16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December 29, 2007</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Annual Effective Tax Rate</w:t>
            </w:r>
          </w:p>
        </w:tc>
        <w:tc>
          <w:tcPr>
            <w:tcW w:w="1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35.1%</w:t>
            </w:r>
          </w:p>
        </w:tc>
        <w:tc>
          <w:tcPr>
            <w:tcW w:w="1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1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35.1%</w:t>
            </w:r>
          </w:p>
        </w:tc>
        <w:tc>
          <w:tcPr>
            <w:tcW w:w="1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Discrete Items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Income Tax Rate</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annual effective rate for the three months ended December 27, 2008 was 35.1%, a decrease of 0.8% over the three months ended December 29, 2007. This decrease is a result of changes in the global distribution of our income, partially offset by a reduction in tax exempt income. The annual effective rate for the nine months ended December 27, 2008 was 35.1%, an increase of 0.1% over the nine months ended December 29, 2007. This increase is a result of a reduction in tax exempt income, partially offset by a change in the global distribution of our income.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Discrete tax benefits were recognized in the three months ended December 27, 2008 and December 29, 2007. For the third quarter of fiscal 2009, the discrete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benefits totaled $973,000. The noted discrete benefits were comprised of the release of $1.1 million tax reserves due to a statute of limitations expiration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$135,000 discrete benefit for the reinstated research &amp; development credit for the first and second quarter of fiscal 2009 that was offset in part by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$301,000 tax provision due to the finalization of our fiscal 2008 U.S. Federal income tax returns. For the nine months ended December 27, 2008 discrete tax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benefits totaled $2.1 million, including the amounts described above, and benefits of $1.2 million related to a statute of limitations expiration in Japan.</w:t>
      </w:r>
    </w:p>
    <w:p>
      <w:pPr>
        <w:spacing w:after="0" w:line="22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conduct business globally and, as a result, file consolidated and separate federal,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ind w:right="154"/>
              <w:spacing w:after="0"/>
              <w:rPr>
                <w:sz w:val="20"/>
                <w:szCs w:val="20"/>
                <w:color w:val="auto"/>
              </w:rPr>
            </w:pPr>
            <w:r>
              <w:rPr>
                <w:rFonts w:ascii="Arial" w:cs="Arial" w:eastAsia="Arial" w:hAnsi="Arial"/>
                <w:sz w:val="14"/>
                <w:szCs w:val="14"/>
                <w:b w:val="1"/>
                <w:bCs w:val="1"/>
                <w:color w:val="auto"/>
                <w:w w:val="90"/>
              </w:rPr>
              <w:t>December 27, 2008</w:t>
            </w:r>
          </w:p>
        </w:tc>
        <w:tc>
          <w:tcPr>
            <w:tcW w:w="3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2008</w:t>
            </w:r>
          </w:p>
        </w:tc>
      </w:tr>
      <w:tr>
        <w:trPr>
          <w:trHeight w:val="142"/>
        </w:trPr>
        <w:tc>
          <w:tcPr>
            <w:tcW w:w="5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900" w:type="dxa"/>
            <w:vAlign w:val="bottom"/>
            <w:tcBorders>
              <w:top w:val="single" w:sz="8" w:color="auto"/>
            </w:tcBorders>
            <w:gridSpan w:val="3"/>
          </w:tcPr>
          <w:p>
            <w:pPr>
              <w:jc w:val="right"/>
              <w:ind w:right="753"/>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125,325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133,553</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Working 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268,358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261,757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Current ratio</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cash position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115,369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121,190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Days sales outstanding (DSO)</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Disposables finished goods inventory turnover</w:t>
            </w:r>
          </w:p>
        </w:tc>
        <w:tc>
          <w:tcPr>
            <w:tcW w:w="100" w:type="dxa"/>
            <w:vAlign w:val="bottom"/>
          </w:tcPr>
          <w:p>
            <w:pPr>
              <w:spacing w:after="0"/>
              <w:rPr>
                <w:sz w:val="20"/>
                <w:szCs w:val="20"/>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jc w:val="right"/>
        <w:ind w:left="5620" w:right="5620" w:hanging="5288"/>
        <w:spacing w:after="0" w:line="624" w:lineRule="auto"/>
        <w:tabs>
          <w:tab w:leader="none" w:pos="583"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cash position is the sum of cash and cash equivalents less total debt.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7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primary sources of capital include cash and cash equivalents, internally generated cash flows, bank borrowings and option exercises. We believe these sources to be sufficient to fund our requirements, which are primarily capital expenditures and acquisitions, new business and product development, and working capital for at least the next twelve months.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8"/>
              </w:rPr>
              <w:t>December 27, 2008</w:t>
            </w:r>
          </w:p>
        </w:tc>
        <w:tc>
          <w:tcPr>
            <w:tcW w:w="180" w:type="dxa"/>
            <w:vAlign w:val="bottom"/>
          </w:tcPr>
          <w:p>
            <w:pPr>
              <w:spacing w:after="0"/>
              <w:rPr>
                <w:sz w:val="14"/>
                <w:szCs w:val="14"/>
                <w:color w:val="auto"/>
              </w:rPr>
            </w:pPr>
          </w:p>
        </w:tc>
        <w:tc>
          <w:tcPr>
            <w:tcW w:w="18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8"/>
              </w:rPr>
              <w:t>December 29, 2007</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 Increase /</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gridSpan w:val="4"/>
          </w:tcPr>
          <w:p>
            <w:pPr>
              <w:jc w:val="right"/>
              <w:ind w:right="1093"/>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72,658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45,790</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26,868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(45,607)</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(33,880)</w:t>
            </w:r>
          </w:p>
        </w:tc>
        <w:tc>
          <w:tcPr>
            <w:tcW w:w="18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(73,455)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39,575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exchange rate changes on cash (1)</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(1,399)</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(8,228</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(112,370</w:t>
            </w:r>
          </w:p>
        </w:tc>
        <w:tc>
          <w:tcPr>
            <w:tcW w:w="300" w:type="dxa"/>
            <w:vAlign w:val="bottom"/>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right="440" w:hanging="352"/>
        <w:spacing w:after="0" w:line="308" w:lineRule="auto"/>
        <w:tabs>
          <w:tab w:leader="none" w:pos="38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Through December 27, 2008, the Company repurchased approximately 1,100,000 shares of its common stock for an aggregate purchase price of $60.0 million. This completed a $60.0 million share repurchase program that was announced in May 2008. We reflect stock repurchases in our financial statements on a “trade date” basis and as Authorized Unissued (Haemonetics is a Massachusetts company and under Massachusetts law repurchased shares are treated as authorized but unissued).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ectPr>
          <w:pgSz w:w="11900" w:h="16838" w:orient="portrait"/>
          <w:cols w:equalWidth="0" w:num="1">
            <w:col w:w="11420"/>
          </w:cols>
          <w:pgMar w:left="240" w:top="517" w:right="239" w:bottom="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Net cash provided by operating activities increased by $26.9 million in the first nine months of fiscal year 2009 as compared to 2008 due primarily to:</w:t>
      </w:r>
    </w:p>
    <w:p>
      <w:pPr>
        <w:spacing w:after="0" w:line="237"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net income adjusted for non-cash items,</w:t>
      </w:r>
    </w:p>
    <w:p>
      <w:pPr>
        <w:spacing w:after="0" w:line="225" w:lineRule="exact"/>
        <w:rPr>
          <w:rFonts w:ascii="Arial" w:cs="Arial" w:eastAsia="Arial" w:hAnsi="Arial"/>
          <w:sz w:val="18"/>
          <w:szCs w:val="18"/>
          <w:color w:val="auto"/>
        </w:rPr>
      </w:pPr>
    </w:p>
    <w:p>
      <w:pPr>
        <w:ind w:left="340" w:right="3940" w:hanging="8"/>
        <w:spacing w:after="0" w:line="501"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investment in accounts receivable as our collections improved, particularly in Europe, partially offset by</w:t>
      </w: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$6.4 million increased investment in inventories associated with increased levels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Net cash used in investing activities decreased by $40.1 million during the first nine months of fiscal year 2009 as compared to 2008 due primarily to the $43.9 million decreased investment in acquisitions net of a $3.2 million increase capital expenditures on property, plant and equipment.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financing activities decreased by $39.6 million in the first nine months of fiscal year 2009 as compared to 2008 due primarily to:</w:t>
      </w:r>
    </w:p>
    <w:p>
      <w:pPr>
        <w:spacing w:after="0" w:line="237" w:lineRule="exact"/>
        <w:rPr>
          <w:sz w:val="20"/>
          <w:szCs w:val="20"/>
          <w:color w:val="auto"/>
        </w:rPr>
      </w:pPr>
    </w:p>
    <w:p>
      <w:pPr>
        <w:ind w:left="660" w:right="280" w:hanging="328"/>
        <w:spacing w:after="0" w:line="342" w:lineRule="auto"/>
        <w:tabs>
          <w:tab w:leader="none" w:pos="6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$15.0 million decrease in money spent relating to stock repurchase, a $10.2 million increase in exercise of stock options and tax benefit of stock compensation, $8.2 million net increase in short-term revolving credit agreements, and a $5.7 million decrease in payments on credit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Through the first nine months of fiscal year 2009, 53.8% of our sales are generated outside the U.S. in local currencies, yet our reporting currency is the U.S. dollar. Our primary foreign currency exposures in relation to the U.S. dollar are the Japanese Yen and the Euro. Foreign exchange risk arises because we engage in business in foreign countries in local currency. Exposure is partially mitigated by producing and sourcing product in local currency and expenses incurred by local sales offices. However, whenever the U.S. dollar strengthens relative to the other major currencies, there is an adverse affect on our results of operations and alternatively, whenever the U.S. dollar weakens relative to the other major currencies there is a positive effect on our results of operations.</w:t>
      </w:r>
    </w:p>
    <w:p>
      <w:pPr>
        <w:spacing w:after="0" w:line="15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It is our policy to minimize for a period of time, the unforeseen impact on our financial results of fluctuations in foreign exchange rates by using derivative financial instruments known as forward contracts to hedge the anticipated cash flows from forecasted foreign currency denominated sales. Hedging through the use of forward contracts does not eliminate the volatility of foreign exchange rates, but because we generally enter into forward contracts one year out, rates are fixed for a one-year period, thereby facilitating financial planning and resource allocation. We enter into forward contracts that mature one month prior to the anticipated timing of the forecasted foreign currency denominated sales. These contracts are designated as cash flow hedges and are intended to lock in the expected cash flows of forecasted foreign currency denominated sales at the available spot rate. Actual spot rate gains and losses on these contracts are recorded in sales, at the same time the underlying transactions being hedged are recorded.</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compute a composite rate index for purposes of measuring, comparatively, the change in foreign currency hedge spot rates from the hedge spot rates of the corresponding period in the prior year. The relative value of currencies in the index is weighted by sales in those currencies. The composite was set at 1.00 based upon the weighted rates at March 31, 1997. The composite rate is presented in the period corresponding to the maturity of the underlying forward contracts.</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favorable or (unfavorable) changes are in comparison to the same period of the prior year. A favorable change is presented when we will obtain relatively more U.S. dollars for each of the underlying foreign currencies than we did in the prior period. An unfavorable change is presented when we obtain relatively fewer U.S. dollars for each of the underlying foreign currencies than we did in the prior period. These indexed hedge rates impact sales, and as a result also gross profit, operating income and net income, in our consolidated financial statements. The final impact of currency fluctuations on the results of operations is dependent on the local currency amounts hedged and the actual local currency results.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0" w:type="dxa"/>
            <w:vAlign w:val="bottom"/>
          </w:tcPr>
          <w:p>
            <w:pPr>
              <w:ind w:left="320"/>
              <w:spacing w:after="0"/>
              <w:rPr>
                <w:sz w:val="20"/>
                <w:szCs w:val="20"/>
                <w:color w:val="auto"/>
              </w:rPr>
            </w:pPr>
            <w:r>
              <w:rPr>
                <w:rFonts w:ascii="Arial" w:cs="Arial" w:eastAsia="Arial" w:hAnsi="Arial"/>
                <w:sz w:val="14"/>
                <w:szCs w:val="14"/>
                <w:b w:val="1"/>
                <w:bCs w:val="1"/>
                <w:color w:val="auto"/>
                <w:w w:val="93"/>
              </w:rPr>
              <w:t>Composite Index</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Favorable / (Unfavorable)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0" w:type="dxa"/>
            <w:vAlign w:val="bottom"/>
          </w:tcPr>
          <w:p>
            <w:pPr>
              <w:ind w:left="300"/>
              <w:spacing w:after="0"/>
              <w:rPr>
                <w:sz w:val="20"/>
                <w:szCs w:val="20"/>
                <w:color w:val="auto"/>
              </w:rPr>
            </w:pPr>
            <w:r>
              <w:rPr>
                <w:rFonts w:ascii="Arial" w:cs="Arial" w:eastAsia="Arial" w:hAnsi="Arial"/>
                <w:sz w:val="14"/>
                <w:szCs w:val="14"/>
                <w:b w:val="1"/>
                <w:bCs w:val="1"/>
                <w:color w:val="auto"/>
                <w:w w:val="90"/>
              </w:rPr>
              <w:t>Hedge Spot Rates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Change versus Prior Year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FY2005</w:t>
            </w:r>
          </w:p>
        </w:tc>
        <w:tc>
          <w:tcPr>
            <w:tcW w:w="548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Q1</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0.97</w:t>
            </w:r>
          </w:p>
        </w:tc>
        <w:tc>
          <w:tcPr>
            <w:tcW w:w="2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80" w:type="dxa"/>
            <w:vAlign w:val="bottom"/>
            <w:gridSpan w:val="2"/>
          </w:tcPr>
          <w:p>
            <w:pPr>
              <w:ind w:left="2820"/>
              <w:spacing w:after="0"/>
              <w:rPr>
                <w:sz w:val="20"/>
                <w:szCs w:val="20"/>
                <w:color w:val="auto"/>
              </w:rPr>
            </w:pPr>
            <w:r>
              <w:rPr>
                <w:rFonts w:ascii="Arial" w:cs="Arial" w:eastAsia="Arial" w:hAnsi="Arial"/>
                <w:sz w:val="18"/>
                <w:szCs w:val="18"/>
                <w:color w:val="auto"/>
              </w:rPr>
              <w:t>Q2</w:t>
            </w:r>
          </w:p>
        </w:tc>
        <w:tc>
          <w:tcPr>
            <w:tcW w:w="600" w:type="dxa"/>
            <w:vAlign w:val="bottom"/>
            <w:gridSpan w:val="2"/>
          </w:tcPr>
          <w:p>
            <w:pPr>
              <w:spacing w:after="0"/>
              <w:rPr>
                <w:sz w:val="20"/>
                <w:szCs w:val="20"/>
                <w:color w:val="auto"/>
              </w:rPr>
            </w:pPr>
            <w:r>
              <w:rPr>
                <w:rFonts w:ascii="Arial" w:cs="Arial" w:eastAsia="Arial" w:hAnsi="Arial"/>
                <w:sz w:val="18"/>
                <w:szCs w:val="18"/>
                <w:color w:val="auto"/>
              </w:rPr>
              <w:t>0.99</w:t>
            </w:r>
          </w:p>
        </w:tc>
        <w:tc>
          <w:tcPr>
            <w:tcW w:w="246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Q3</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0.92</w:t>
            </w:r>
          </w:p>
        </w:tc>
        <w:tc>
          <w:tcPr>
            <w:tcW w:w="2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80" w:type="dxa"/>
            <w:vAlign w:val="bottom"/>
          </w:tcPr>
          <w:p>
            <w:pPr>
              <w:ind w:left="2820"/>
              <w:spacing w:after="0"/>
              <w:rPr>
                <w:sz w:val="20"/>
                <w:szCs w:val="20"/>
                <w:color w:val="auto"/>
              </w:rPr>
            </w:pPr>
            <w:r>
              <w:rPr>
                <w:rFonts w:ascii="Arial" w:cs="Arial" w:eastAsia="Arial" w:hAnsi="Arial"/>
                <w:sz w:val="18"/>
                <w:szCs w:val="18"/>
                <w:color w:val="auto"/>
              </w:rPr>
              <w:t>Q4</w:t>
            </w:r>
          </w:p>
        </w:tc>
        <w:tc>
          <w:tcPr>
            <w:tcW w:w="14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0.89</w:t>
            </w:r>
          </w:p>
        </w:tc>
        <w:tc>
          <w:tcPr>
            <w:tcW w:w="246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4080" w:type="dxa"/>
            <w:vAlign w:val="bottom"/>
            <w:vMerge w:val="restart"/>
            <w:shd w:val="clear" w:color="auto" w:fill="CCEEFF"/>
          </w:tcPr>
          <w:p>
            <w:pPr>
              <w:ind w:left="740"/>
              <w:spacing w:after="0"/>
              <w:rPr>
                <w:sz w:val="20"/>
                <w:szCs w:val="20"/>
                <w:color w:val="auto"/>
              </w:rPr>
            </w:pPr>
            <w:r>
              <w:rPr>
                <w:rFonts w:ascii="Arial" w:cs="Arial" w:eastAsia="Arial" w:hAnsi="Arial"/>
                <w:sz w:val="18"/>
                <w:szCs w:val="18"/>
                <w:b w:val="1"/>
                <w:bCs w:val="1"/>
                <w:color w:val="auto"/>
              </w:rPr>
              <w:t>Total</w:t>
            </w: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4080" w:type="dxa"/>
            <w:vAlign w:val="bottom"/>
            <w:vMerge w:val="continue"/>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0.94</w:t>
            </w:r>
          </w:p>
        </w:tc>
        <w:tc>
          <w:tcPr>
            <w:tcW w:w="300" w:type="dxa"/>
            <w:vAlign w:val="bottom"/>
            <w:vMerge w:val="continue"/>
            <w:shd w:val="clear" w:color="auto" w:fill="CCEEFF"/>
          </w:tcPr>
          <w:p>
            <w:pPr>
              <w:spacing w:after="0"/>
              <w:rPr>
                <w:sz w:val="18"/>
                <w:szCs w:val="18"/>
                <w:color w:val="auto"/>
              </w:rPr>
            </w:pPr>
          </w:p>
        </w:tc>
        <w:tc>
          <w:tcPr>
            <w:tcW w:w="2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FY2006</w:t>
            </w:r>
          </w:p>
        </w:tc>
        <w:tc>
          <w:tcPr>
            <w:tcW w:w="548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Q1</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0.92</w:t>
            </w:r>
          </w:p>
        </w:tc>
        <w:tc>
          <w:tcPr>
            <w:tcW w:w="2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2" w:name="page23"/>
    <w:bookmarkEnd w:id="22"/>
    <w:p>
      <w:pPr>
        <w:spacing w:after="0" w:line="8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80" w:type="dxa"/>
            <w:vAlign w:val="bottom"/>
          </w:tcPr>
          <w:p>
            <w:pPr>
              <w:ind w:left="2820"/>
              <w:spacing w:after="0"/>
              <w:rPr>
                <w:sz w:val="20"/>
                <w:szCs w:val="20"/>
                <w:color w:val="auto"/>
              </w:rPr>
            </w:pPr>
            <w:r>
              <w:rPr>
                <w:rFonts w:ascii="Arial" w:cs="Arial" w:eastAsia="Arial" w:hAnsi="Arial"/>
                <w:sz w:val="18"/>
                <w:szCs w:val="18"/>
                <w:color w:val="auto"/>
              </w:rPr>
              <w:t>Q2</w:t>
            </w:r>
          </w:p>
        </w:tc>
        <w:tc>
          <w:tcPr>
            <w:tcW w:w="2000" w:type="dxa"/>
            <w:vAlign w:val="bottom"/>
            <w:gridSpan w:val="2"/>
          </w:tcPr>
          <w:p>
            <w:pPr>
              <w:ind w:left="1400"/>
              <w:spacing w:after="0"/>
              <w:rPr>
                <w:sz w:val="20"/>
                <w:szCs w:val="20"/>
                <w:color w:val="auto"/>
              </w:rPr>
            </w:pPr>
            <w:r>
              <w:rPr>
                <w:rFonts w:ascii="Arial" w:cs="Arial" w:eastAsia="Arial" w:hAnsi="Arial"/>
                <w:sz w:val="18"/>
                <w:szCs w:val="18"/>
                <w:color w:val="auto"/>
              </w:rPr>
              <w:t>0.91</w:t>
            </w:r>
          </w:p>
        </w:tc>
        <w:tc>
          <w:tcPr>
            <w:tcW w:w="246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8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Q3</w:t>
            </w:r>
          </w:p>
        </w:tc>
        <w:tc>
          <w:tcPr>
            <w:tcW w:w="20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0.87</w:t>
            </w:r>
          </w:p>
        </w:tc>
        <w:tc>
          <w:tcPr>
            <w:tcW w:w="2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80" w:type="dxa"/>
            <w:vAlign w:val="bottom"/>
          </w:tcPr>
          <w:p>
            <w:pPr>
              <w:ind w:left="2820"/>
              <w:spacing w:after="0"/>
              <w:rPr>
                <w:sz w:val="20"/>
                <w:szCs w:val="20"/>
                <w:color w:val="auto"/>
              </w:rPr>
            </w:pPr>
            <w:r>
              <w:rPr>
                <w:rFonts w:ascii="Arial" w:cs="Arial" w:eastAsia="Arial" w:hAnsi="Arial"/>
                <w:sz w:val="18"/>
                <w:szCs w:val="18"/>
                <w:color w:val="auto"/>
              </w:rPr>
              <w:t>Q4</w:t>
            </w:r>
          </w:p>
        </w:tc>
        <w:tc>
          <w:tcPr>
            <w:tcW w:w="2000" w:type="dxa"/>
            <w:vAlign w:val="bottom"/>
            <w:gridSpan w:val="2"/>
          </w:tcPr>
          <w:p>
            <w:pPr>
              <w:ind w:left="1400"/>
              <w:spacing w:after="0"/>
              <w:rPr>
                <w:sz w:val="20"/>
                <w:szCs w:val="20"/>
                <w:color w:val="auto"/>
              </w:rPr>
            </w:pPr>
            <w:r>
              <w:rPr>
                <w:rFonts w:ascii="Arial" w:cs="Arial" w:eastAsia="Arial" w:hAnsi="Arial"/>
                <w:sz w:val="18"/>
                <w:szCs w:val="18"/>
                <w:color w:val="auto"/>
              </w:rPr>
              <w:t>0.86</w:t>
            </w:r>
          </w:p>
        </w:tc>
        <w:tc>
          <w:tcPr>
            <w:tcW w:w="246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4080" w:type="dxa"/>
            <w:vAlign w:val="bottom"/>
            <w:vMerge w:val="restart"/>
            <w:shd w:val="clear" w:color="auto" w:fill="CCEEFF"/>
          </w:tcPr>
          <w:p>
            <w:pPr>
              <w:ind w:left="740"/>
              <w:spacing w:after="0"/>
              <w:rPr>
                <w:sz w:val="20"/>
                <w:szCs w:val="20"/>
                <w:color w:val="auto"/>
              </w:rPr>
            </w:pPr>
            <w:r>
              <w:rPr>
                <w:rFonts w:ascii="Arial" w:cs="Arial" w:eastAsia="Arial" w:hAnsi="Arial"/>
                <w:sz w:val="18"/>
                <w:szCs w:val="18"/>
                <w:b w:val="1"/>
                <w:bCs w:val="1"/>
                <w:color w:val="auto"/>
              </w:rPr>
              <w:t>Total</w:t>
            </w:r>
          </w:p>
        </w:tc>
        <w:tc>
          <w:tcPr>
            <w:tcW w:w="17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4080" w:type="dxa"/>
            <w:vAlign w:val="bottom"/>
            <w:vMerge w:val="continue"/>
            <w:shd w:val="clear" w:color="auto" w:fill="CCEEFF"/>
          </w:tcPr>
          <w:p>
            <w:pPr>
              <w:spacing w:after="0"/>
              <w:rPr>
                <w:sz w:val="18"/>
                <w:szCs w:val="18"/>
                <w:color w:val="auto"/>
              </w:rPr>
            </w:pPr>
          </w:p>
        </w:tc>
        <w:tc>
          <w:tcPr>
            <w:tcW w:w="1700" w:type="dxa"/>
            <w:vAlign w:val="bottom"/>
            <w:shd w:val="clear" w:color="auto" w:fill="CCEEFF"/>
          </w:tcPr>
          <w:p>
            <w:pPr>
              <w:ind w:left="1400"/>
              <w:spacing w:after="0"/>
              <w:rPr>
                <w:sz w:val="20"/>
                <w:szCs w:val="20"/>
                <w:color w:val="auto"/>
              </w:rPr>
            </w:pPr>
            <w:r>
              <w:rPr>
                <w:rFonts w:ascii="Arial" w:cs="Arial" w:eastAsia="Arial" w:hAnsi="Arial"/>
                <w:sz w:val="18"/>
                <w:szCs w:val="18"/>
                <w:b w:val="1"/>
                <w:bCs w:val="1"/>
                <w:color w:val="auto"/>
                <w:w w:val="79"/>
              </w:rPr>
              <w:t>0.89</w:t>
            </w:r>
          </w:p>
        </w:tc>
        <w:tc>
          <w:tcPr>
            <w:tcW w:w="300" w:type="dxa"/>
            <w:vAlign w:val="bottom"/>
            <w:vMerge w:val="continue"/>
            <w:shd w:val="clear" w:color="auto" w:fill="CCEEFF"/>
          </w:tcPr>
          <w:p>
            <w:pPr>
              <w:spacing w:after="0"/>
              <w:rPr>
                <w:sz w:val="18"/>
                <w:szCs w:val="18"/>
                <w:color w:val="auto"/>
              </w:rPr>
            </w:pPr>
          </w:p>
        </w:tc>
        <w:tc>
          <w:tcPr>
            <w:tcW w:w="2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FY2007</w:t>
            </w:r>
          </w:p>
        </w:tc>
        <w:tc>
          <w:tcPr>
            <w:tcW w:w="408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Q1</w:t>
            </w:r>
          </w:p>
        </w:tc>
        <w:tc>
          <w:tcPr>
            <w:tcW w:w="20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0.89</w:t>
            </w:r>
          </w:p>
        </w:tc>
        <w:tc>
          <w:tcPr>
            <w:tcW w:w="2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80" w:type="dxa"/>
            <w:vAlign w:val="bottom"/>
          </w:tcPr>
          <w:p>
            <w:pPr>
              <w:ind w:left="2820"/>
              <w:spacing w:after="0"/>
              <w:rPr>
                <w:sz w:val="20"/>
                <w:szCs w:val="20"/>
                <w:color w:val="auto"/>
              </w:rPr>
            </w:pPr>
            <w:r>
              <w:rPr>
                <w:rFonts w:ascii="Arial" w:cs="Arial" w:eastAsia="Arial" w:hAnsi="Arial"/>
                <w:sz w:val="18"/>
                <w:szCs w:val="18"/>
                <w:color w:val="auto"/>
              </w:rPr>
              <w:t>Q2</w:t>
            </w:r>
          </w:p>
        </w:tc>
        <w:tc>
          <w:tcPr>
            <w:tcW w:w="2000" w:type="dxa"/>
            <w:vAlign w:val="bottom"/>
            <w:gridSpan w:val="2"/>
          </w:tcPr>
          <w:p>
            <w:pPr>
              <w:ind w:left="1400"/>
              <w:spacing w:after="0"/>
              <w:rPr>
                <w:sz w:val="20"/>
                <w:szCs w:val="20"/>
                <w:color w:val="auto"/>
              </w:rPr>
            </w:pPr>
            <w:r>
              <w:rPr>
                <w:rFonts w:ascii="Arial" w:cs="Arial" w:eastAsia="Arial" w:hAnsi="Arial"/>
                <w:sz w:val="18"/>
                <w:szCs w:val="18"/>
                <w:color w:val="auto"/>
              </w:rPr>
              <w:t>0.92</w:t>
            </w:r>
          </w:p>
        </w:tc>
        <w:tc>
          <w:tcPr>
            <w:tcW w:w="24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8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Q3</w:t>
            </w:r>
          </w:p>
        </w:tc>
        <w:tc>
          <w:tcPr>
            <w:tcW w:w="20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0.96</w:t>
            </w:r>
          </w:p>
        </w:tc>
        <w:tc>
          <w:tcPr>
            <w:tcW w:w="2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80" w:type="dxa"/>
            <w:vAlign w:val="bottom"/>
          </w:tcPr>
          <w:p>
            <w:pPr>
              <w:ind w:left="2820"/>
              <w:spacing w:after="0"/>
              <w:rPr>
                <w:sz w:val="20"/>
                <w:szCs w:val="20"/>
                <w:color w:val="auto"/>
              </w:rPr>
            </w:pPr>
            <w:r>
              <w:rPr>
                <w:rFonts w:ascii="Arial" w:cs="Arial" w:eastAsia="Arial" w:hAnsi="Arial"/>
                <w:sz w:val="18"/>
                <w:szCs w:val="18"/>
                <w:color w:val="auto"/>
              </w:rPr>
              <w:t>Q4</w:t>
            </w:r>
          </w:p>
        </w:tc>
        <w:tc>
          <w:tcPr>
            <w:tcW w:w="2000" w:type="dxa"/>
            <w:vAlign w:val="bottom"/>
            <w:gridSpan w:val="2"/>
          </w:tcPr>
          <w:p>
            <w:pPr>
              <w:ind w:left="1400"/>
              <w:spacing w:after="0"/>
              <w:rPr>
                <w:sz w:val="20"/>
                <w:szCs w:val="20"/>
                <w:color w:val="auto"/>
              </w:rPr>
            </w:pPr>
            <w:r>
              <w:rPr>
                <w:rFonts w:ascii="Arial" w:cs="Arial" w:eastAsia="Arial" w:hAnsi="Arial"/>
                <w:sz w:val="18"/>
                <w:szCs w:val="18"/>
                <w:color w:val="auto"/>
              </w:rPr>
              <w:t>0.95</w:t>
            </w:r>
          </w:p>
        </w:tc>
        <w:tc>
          <w:tcPr>
            <w:tcW w:w="246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4080" w:type="dxa"/>
            <w:vAlign w:val="bottom"/>
            <w:vMerge w:val="restart"/>
            <w:shd w:val="clear" w:color="auto" w:fill="CCEEFF"/>
          </w:tcPr>
          <w:p>
            <w:pPr>
              <w:ind w:left="740"/>
              <w:spacing w:after="0"/>
              <w:rPr>
                <w:sz w:val="20"/>
                <w:szCs w:val="20"/>
                <w:color w:val="auto"/>
              </w:rPr>
            </w:pPr>
            <w:r>
              <w:rPr>
                <w:rFonts w:ascii="Arial" w:cs="Arial" w:eastAsia="Arial" w:hAnsi="Arial"/>
                <w:sz w:val="18"/>
                <w:szCs w:val="18"/>
                <w:b w:val="1"/>
                <w:bCs w:val="1"/>
                <w:color w:val="auto"/>
              </w:rPr>
              <w:t>Total</w:t>
            </w:r>
          </w:p>
        </w:tc>
        <w:tc>
          <w:tcPr>
            <w:tcW w:w="17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4080" w:type="dxa"/>
            <w:vAlign w:val="bottom"/>
            <w:vMerge w:val="continue"/>
            <w:shd w:val="clear" w:color="auto" w:fill="CCEEFF"/>
          </w:tcPr>
          <w:p>
            <w:pPr>
              <w:spacing w:after="0"/>
              <w:rPr>
                <w:sz w:val="18"/>
                <w:szCs w:val="18"/>
                <w:color w:val="auto"/>
              </w:rPr>
            </w:pPr>
          </w:p>
        </w:tc>
        <w:tc>
          <w:tcPr>
            <w:tcW w:w="1700" w:type="dxa"/>
            <w:vAlign w:val="bottom"/>
            <w:shd w:val="clear" w:color="auto" w:fill="CCEEFF"/>
          </w:tcPr>
          <w:p>
            <w:pPr>
              <w:ind w:left="1400"/>
              <w:spacing w:after="0"/>
              <w:rPr>
                <w:sz w:val="20"/>
                <w:szCs w:val="20"/>
                <w:color w:val="auto"/>
              </w:rPr>
            </w:pPr>
            <w:r>
              <w:rPr>
                <w:rFonts w:ascii="Arial" w:cs="Arial" w:eastAsia="Arial" w:hAnsi="Arial"/>
                <w:sz w:val="18"/>
                <w:szCs w:val="18"/>
                <w:b w:val="1"/>
                <w:bCs w:val="1"/>
                <w:color w:val="auto"/>
                <w:w w:val="79"/>
              </w:rPr>
              <w:t>0.93</w:t>
            </w:r>
          </w:p>
        </w:tc>
        <w:tc>
          <w:tcPr>
            <w:tcW w:w="300" w:type="dxa"/>
            <w:vAlign w:val="bottom"/>
            <w:vMerge w:val="continue"/>
            <w:shd w:val="clear" w:color="auto" w:fill="CCEEFF"/>
          </w:tcPr>
          <w:p>
            <w:pPr>
              <w:spacing w:after="0"/>
              <w:rPr>
                <w:sz w:val="18"/>
                <w:szCs w:val="18"/>
                <w:color w:val="auto"/>
              </w:rPr>
            </w:pPr>
          </w:p>
        </w:tc>
        <w:tc>
          <w:tcPr>
            <w:tcW w:w="2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FY2008</w:t>
            </w:r>
          </w:p>
        </w:tc>
        <w:tc>
          <w:tcPr>
            <w:tcW w:w="408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Q1</w:t>
            </w:r>
          </w:p>
        </w:tc>
        <w:tc>
          <w:tcPr>
            <w:tcW w:w="20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0.92</w:t>
            </w:r>
          </w:p>
        </w:tc>
        <w:tc>
          <w:tcPr>
            <w:tcW w:w="2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80" w:type="dxa"/>
            <w:vAlign w:val="bottom"/>
          </w:tcPr>
          <w:p>
            <w:pPr>
              <w:ind w:left="2820"/>
              <w:spacing w:after="0"/>
              <w:rPr>
                <w:sz w:val="20"/>
                <w:szCs w:val="20"/>
                <w:color w:val="auto"/>
              </w:rPr>
            </w:pPr>
            <w:r>
              <w:rPr>
                <w:rFonts w:ascii="Arial" w:cs="Arial" w:eastAsia="Arial" w:hAnsi="Arial"/>
                <w:sz w:val="18"/>
                <w:szCs w:val="18"/>
                <w:color w:val="auto"/>
              </w:rPr>
              <w:t>Q2</w:t>
            </w:r>
          </w:p>
        </w:tc>
        <w:tc>
          <w:tcPr>
            <w:tcW w:w="2000" w:type="dxa"/>
            <w:vAlign w:val="bottom"/>
            <w:gridSpan w:val="2"/>
          </w:tcPr>
          <w:p>
            <w:pPr>
              <w:ind w:left="1400"/>
              <w:spacing w:after="0"/>
              <w:rPr>
                <w:sz w:val="20"/>
                <w:szCs w:val="20"/>
                <w:color w:val="auto"/>
              </w:rPr>
            </w:pPr>
            <w:r>
              <w:rPr>
                <w:rFonts w:ascii="Arial" w:cs="Arial" w:eastAsia="Arial" w:hAnsi="Arial"/>
                <w:sz w:val="18"/>
                <w:szCs w:val="18"/>
                <w:color w:val="auto"/>
              </w:rPr>
              <w:t>0.93</w:t>
            </w:r>
          </w:p>
        </w:tc>
        <w:tc>
          <w:tcPr>
            <w:tcW w:w="24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8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Q3</w:t>
            </w:r>
          </w:p>
        </w:tc>
        <w:tc>
          <w:tcPr>
            <w:tcW w:w="20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0.93</w:t>
            </w:r>
          </w:p>
        </w:tc>
        <w:tc>
          <w:tcPr>
            <w:tcW w:w="2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80" w:type="dxa"/>
            <w:vAlign w:val="bottom"/>
          </w:tcPr>
          <w:p>
            <w:pPr>
              <w:ind w:left="2820"/>
              <w:spacing w:after="0"/>
              <w:rPr>
                <w:sz w:val="20"/>
                <w:szCs w:val="20"/>
                <w:color w:val="auto"/>
              </w:rPr>
            </w:pPr>
            <w:r>
              <w:rPr>
                <w:rFonts w:ascii="Arial" w:cs="Arial" w:eastAsia="Arial" w:hAnsi="Arial"/>
                <w:sz w:val="18"/>
                <w:szCs w:val="18"/>
                <w:color w:val="auto"/>
              </w:rPr>
              <w:t>Q4</w:t>
            </w:r>
          </w:p>
        </w:tc>
        <w:tc>
          <w:tcPr>
            <w:tcW w:w="2000" w:type="dxa"/>
            <w:vAlign w:val="bottom"/>
            <w:gridSpan w:val="2"/>
          </w:tcPr>
          <w:p>
            <w:pPr>
              <w:ind w:left="1400"/>
              <w:spacing w:after="0"/>
              <w:rPr>
                <w:sz w:val="20"/>
                <w:szCs w:val="20"/>
                <w:color w:val="auto"/>
              </w:rPr>
            </w:pPr>
            <w:r>
              <w:rPr>
                <w:rFonts w:ascii="Arial" w:cs="Arial" w:eastAsia="Arial" w:hAnsi="Arial"/>
                <w:sz w:val="18"/>
                <w:szCs w:val="18"/>
                <w:color w:val="auto"/>
              </w:rPr>
              <w:t>0.93</w:t>
            </w:r>
          </w:p>
        </w:tc>
        <w:tc>
          <w:tcPr>
            <w:tcW w:w="24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4080" w:type="dxa"/>
            <w:vAlign w:val="bottom"/>
            <w:vMerge w:val="restart"/>
            <w:shd w:val="clear" w:color="auto" w:fill="CCEEFF"/>
          </w:tcPr>
          <w:p>
            <w:pPr>
              <w:ind w:left="740"/>
              <w:spacing w:after="0"/>
              <w:rPr>
                <w:sz w:val="20"/>
                <w:szCs w:val="20"/>
                <w:color w:val="auto"/>
              </w:rPr>
            </w:pPr>
            <w:r>
              <w:rPr>
                <w:rFonts w:ascii="Arial" w:cs="Arial" w:eastAsia="Arial" w:hAnsi="Arial"/>
                <w:sz w:val="18"/>
                <w:szCs w:val="18"/>
                <w:b w:val="1"/>
                <w:bCs w:val="1"/>
                <w:color w:val="auto"/>
              </w:rPr>
              <w:t>Total</w:t>
            </w:r>
          </w:p>
        </w:tc>
        <w:tc>
          <w:tcPr>
            <w:tcW w:w="17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4080" w:type="dxa"/>
            <w:vAlign w:val="bottom"/>
            <w:vMerge w:val="continue"/>
            <w:shd w:val="clear" w:color="auto" w:fill="CCEEFF"/>
          </w:tcPr>
          <w:p>
            <w:pPr>
              <w:spacing w:after="0"/>
              <w:rPr>
                <w:sz w:val="18"/>
                <w:szCs w:val="18"/>
                <w:color w:val="auto"/>
              </w:rPr>
            </w:pPr>
          </w:p>
        </w:tc>
        <w:tc>
          <w:tcPr>
            <w:tcW w:w="1700" w:type="dxa"/>
            <w:vAlign w:val="bottom"/>
            <w:shd w:val="clear" w:color="auto" w:fill="CCEEFF"/>
          </w:tcPr>
          <w:p>
            <w:pPr>
              <w:ind w:left="1400"/>
              <w:spacing w:after="0"/>
              <w:rPr>
                <w:sz w:val="20"/>
                <w:szCs w:val="20"/>
                <w:color w:val="auto"/>
              </w:rPr>
            </w:pPr>
            <w:r>
              <w:rPr>
                <w:rFonts w:ascii="Arial" w:cs="Arial" w:eastAsia="Arial" w:hAnsi="Arial"/>
                <w:sz w:val="18"/>
                <w:szCs w:val="18"/>
                <w:b w:val="1"/>
                <w:bCs w:val="1"/>
                <w:color w:val="auto"/>
                <w:w w:val="79"/>
              </w:rPr>
              <w:t>0.93</w:t>
            </w:r>
          </w:p>
        </w:tc>
        <w:tc>
          <w:tcPr>
            <w:tcW w:w="300" w:type="dxa"/>
            <w:vAlign w:val="bottom"/>
            <w:vMerge w:val="continue"/>
            <w:shd w:val="clear" w:color="auto" w:fill="CCEEFF"/>
          </w:tcPr>
          <w:p>
            <w:pPr>
              <w:spacing w:after="0"/>
              <w:rPr>
                <w:sz w:val="18"/>
                <w:szCs w:val="18"/>
                <w:color w:val="auto"/>
              </w:rPr>
            </w:pPr>
          </w:p>
        </w:tc>
        <w:tc>
          <w:tcPr>
            <w:tcW w:w="2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FY2009</w:t>
            </w:r>
          </w:p>
        </w:tc>
        <w:tc>
          <w:tcPr>
            <w:tcW w:w="408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Q1</w:t>
            </w:r>
          </w:p>
        </w:tc>
        <w:tc>
          <w:tcPr>
            <w:tcW w:w="20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0.92</w:t>
            </w:r>
          </w:p>
        </w:tc>
        <w:tc>
          <w:tcPr>
            <w:tcW w:w="2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80" w:type="dxa"/>
            <w:vAlign w:val="bottom"/>
          </w:tcPr>
          <w:p>
            <w:pPr>
              <w:ind w:left="2820"/>
              <w:spacing w:after="0"/>
              <w:rPr>
                <w:sz w:val="20"/>
                <w:szCs w:val="20"/>
                <w:color w:val="auto"/>
              </w:rPr>
            </w:pPr>
            <w:r>
              <w:rPr>
                <w:rFonts w:ascii="Arial" w:cs="Arial" w:eastAsia="Arial" w:hAnsi="Arial"/>
                <w:sz w:val="18"/>
                <w:szCs w:val="18"/>
                <w:color w:val="auto"/>
              </w:rPr>
              <w:t>Q2</w:t>
            </w:r>
          </w:p>
        </w:tc>
        <w:tc>
          <w:tcPr>
            <w:tcW w:w="2000" w:type="dxa"/>
            <w:vAlign w:val="bottom"/>
            <w:gridSpan w:val="2"/>
          </w:tcPr>
          <w:p>
            <w:pPr>
              <w:ind w:left="1400"/>
              <w:spacing w:after="0"/>
              <w:rPr>
                <w:sz w:val="20"/>
                <w:szCs w:val="20"/>
                <w:color w:val="auto"/>
              </w:rPr>
            </w:pPr>
            <w:r>
              <w:rPr>
                <w:rFonts w:ascii="Arial" w:cs="Arial" w:eastAsia="Arial" w:hAnsi="Arial"/>
                <w:sz w:val="18"/>
                <w:szCs w:val="18"/>
                <w:color w:val="auto"/>
              </w:rPr>
              <w:t>0.90</w:t>
            </w:r>
          </w:p>
        </w:tc>
        <w:tc>
          <w:tcPr>
            <w:tcW w:w="24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8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Q3</w:t>
            </w:r>
          </w:p>
        </w:tc>
        <w:tc>
          <w:tcPr>
            <w:tcW w:w="20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0.86</w:t>
            </w:r>
          </w:p>
        </w:tc>
        <w:tc>
          <w:tcPr>
            <w:tcW w:w="2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80" w:type="dxa"/>
            <w:vAlign w:val="bottom"/>
          </w:tcPr>
          <w:p>
            <w:pPr>
              <w:ind w:left="2820"/>
              <w:spacing w:after="0"/>
              <w:rPr>
                <w:sz w:val="20"/>
                <w:szCs w:val="20"/>
                <w:color w:val="auto"/>
              </w:rPr>
            </w:pPr>
            <w:r>
              <w:rPr>
                <w:rFonts w:ascii="Arial" w:cs="Arial" w:eastAsia="Arial" w:hAnsi="Arial"/>
                <w:sz w:val="18"/>
                <w:szCs w:val="18"/>
                <w:color w:val="auto"/>
              </w:rPr>
              <w:t>Q4</w:t>
            </w:r>
          </w:p>
        </w:tc>
        <w:tc>
          <w:tcPr>
            <w:tcW w:w="2000" w:type="dxa"/>
            <w:vAlign w:val="bottom"/>
            <w:gridSpan w:val="2"/>
          </w:tcPr>
          <w:p>
            <w:pPr>
              <w:ind w:left="1400"/>
              <w:spacing w:after="0"/>
              <w:rPr>
                <w:sz w:val="20"/>
                <w:szCs w:val="20"/>
                <w:color w:val="auto"/>
              </w:rPr>
            </w:pPr>
            <w:r>
              <w:rPr>
                <w:rFonts w:ascii="Arial" w:cs="Arial" w:eastAsia="Arial" w:hAnsi="Arial"/>
                <w:sz w:val="18"/>
                <w:szCs w:val="18"/>
                <w:color w:val="auto"/>
              </w:rPr>
              <w:t>0.82</w:t>
            </w:r>
          </w:p>
        </w:tc>
        <w:tc>
          <w:tcPr>
            <w:tcW w:w="246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700" w:type="dxa"/>
            <w:vAlign w:val="bottom"/>
            <w:shd w:val="clear" w:color="auto" w:fill="CCEEFF"/>
          </w:tcPr>
          <w:p>
            <w:pPr>
              <w:ind w:left="1400"/>
              <w:spacing w:after="0"/>
              <w:rPr>
                <w:sz w:val="20"/>
                <w:szCs w:val="20"/>
                <w:color w:val="auto"/>
              </w:rPr>
            </w:pPr>
            <w:r>
              <w:rPr>
                <w:rFonts w:ascii="Arial" w:cs="Arial" w:eastAsia="Arial" w:hAnsi="Arial"/>
                <w:sz w:val="18"/>
                <w:szCs w:val="18"/>
                <w:b w:val="1"/>
                <w:bCs w:val="1"/>
                <w:color w:val="auto"/>
                <w:w w:val="79"/>
              </w:rPr>
              <w:t>0.87</w:t>
            </w:r>
          </w:p>
        </w:tc>
        <w:tc>
          <w:tcPr>
            <w:tcW w:w="300" w:type="dxa"/>
            <w:vAlign w:val="bottom"/>
            <w:vMerge w:val="continue"/>
            <w:shd w:val="clear" w:color="auto" w:fill="CCEEFF"/>
          </w:tcPr>
          <w:p>
            <w:pPr>
              <w:spacing w:after="0"/>
              <w:rPr>
                <w:sz w:val="18"/>
                <w:szCs w:val="18"/>
                <w:color w:val="auto"/>
              </w:rPr>
            </w:pPr>
          </w:p>
        </w:tc>
        <w:tc>
          <w:tcPr>
            <w:tcW w:w="2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FY2010</w:t>
            </w:r>
          </w:p>
        </w:tc>
        <w:tc>
          <w:tcPr>
            <w:tcW w:w="408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Q1</w:t>
            </w:r>
          </w:p>
        </w:tc>
        <w:tc>
          <w:tcPr>
            <w:tcW w:w="20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0.77</w:t>
            </w:r>
          </w:p>
        </w:tc>
        <w:tc>
          <w:tcPr>
            <w:tcW w:w="2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80" w:type="dxa"/>
            <w:vAlign w:val="bottom"/>
          </w:tcPr>
          <w:p>
            <w:pPr>
              <w:ind w:left="2820"/>
              <w:spacing w:after="0"/>
              <w:rPr>
                <w:sz w:val="20"/>
                <w:szCs w:val="20"/>
                <w:color w:val="auto"/>
              </w:rPr>
            </w:pPr>
            <w:r>
              <w:rPr>
                <w:rFonts w:ascii="Arial" w:cs="Arial" w:eastAsia="Arial" w:hAnsi="Arial"/>
                <w:sz w:val="18"/>
                <w:szCs w:val="18"/>
                <w:color w:val="auto"/>
              </w:rPr>
              <w:t>Q2</w:t>
            </w:r>
          </w:p>
        </w:tc>
        <w:tc>
          <w:tcPr>
            <w:tcW w:w="2000" w:type="dxa"/>
            <w:vAlign w:val="bottom"/>
            <w:gridSpan w:val="2"/>
          </w:tcPr>
          <w:p>
            <w:pPr>
              <w:ind w:left="1400"/>
              <w:spacing w:after="0"/>
              <w:rPr>
                <w:sz w:val="20"/>
                <w:szCs w:val="20"/>
                <w:color w:val="auto"/>
              </w:rPr>
            </w:pPr>
            <w:r>
              <w:rPr>
                <w:rFonts w:ascii="Arial" w:cs="Arial" w:eastAsia="Arial" w:hAnsi="Arial"/>
                <w:sz w:val="18"/>
                <w:szCs w:val="18"/>
                <w:color w:val="auto"/>
              </w:rPr>
              <w:t>0.81</w:t>
            </w:r>
          </w:p>
        </w:tc>
        <w:tc>
          <w:tcPr>
            <w:tcW w:w="246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8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Q3</w:t>
            </w:r>
          </w:p>
        </w:tc>
        <w:tc>
          <w:tcPr>
            <w:tcW w:w="20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0.83</w:t>
            </w:r>
          </w:p>
        </w:tc>
        <w:tc>
          <w:tcPr>
            <w:tcW w:w="2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408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700" w:type="dxa"/>
            <w:vAlign w:val="bottom"/>
            <w:shd w:val="clear" w:color="auto" w:fill="CCEEFF"/>
          </w:tcPr>
          <w:p>
            <w:pPr>
              <w:ind w:left="1400"/>
              <w:spacing w:after="0"/>
              <w:rPr>
                <w:sz w:val="20"/>
                <w:szCs w:val="20"/>
                <w:color w:val="auto"/>
              </w:rPr>
            </w:pPr>
            <w:r>
              <w:rPr>
                <w:rFonts w:ascii="Arial" w:cs="Arial" w:eastAsia="Arial" w:hAnsi="Arial"/>
                <w:sz w:val="18"/>
                <w:szCs w:val="18"/>
                <w:b w:val="1"/>
                <w:bCs w:val="1"/>
                <w:color w:val="auto"/>
                <w:w w:val="79"/>
              </w:rPr>
              <w:t>0.81</w:t>
            </w:r>
          </w:p>
        </w:tc>
        <w:tc>
          <w:tcPr>
            <w:tcW w:w="3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September 2008, the FASB issued FASB Staff Position (FSP) No. 133-1 and FIN 45-4, “Disclosures about Credit Derivatives and Certain Guarantees: An Amendment of FASB Statement No. 133 and FASB Interpretation No. 45”. The FSP is intended to improve disclosures about credit derivatives by requiring more information about the potential adverse effects of changes in credit risk on the financial position, financial performance, and cash flows of the sellers of credit derivatives. It amends FASB Statement No. 133, “Accounting for Derivative Instruments and Hedging Activities”, to require disclosures by sellers of credit derivatives, including credit derivatives embedded in hybrid instruments. The provisions of the FSP that amend Statement 133 and Interpretation 45 are effective for reporting periods (annual or interim) ending after November 15, 2008. These statements became effective during this quarter and did not have an impact on our financial position and results of operation as we have not issued or purchased credit derivatives.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May 2008, the FASB issued SFAS No. 162, “The Hierarchy of Generally Accepted Accounting Principles”, which will provide framework for selecting accounting principles to be used in preparing financial statements that are presented in conformity with U.S. generally accepted accounting principles (GAAP) for nongovernmental entities. Prior to the issuance of SFAS No. 162, the GAAP hierarchy was defined in the American Institute of Certified Public Accountants’ (AICPA) Statement on Auditing Standards (SAS) No. 69, “The Meaning of Present Fairly in Conformity With Generally Accepted Accounting Principles</w:t>
      </w:r>
      <w:r>
        <w:rPr>
          <w:rFonts w:ascii="Arial" w:cs="Arial" w:eastAsia="Arial" w:hAnsi="Arial"/>
          <w:sz w:val="17"/>
          <w:szCs w:val="17"/>
          <w:i w:val="1"/>
          <w:iCs w:val="1"/>
          <w:color w:val="auto"/>
        </w:rPr>
        <w:t>”</w:t>
      </w:r>
      <w:r>
        <w:rPr>
          <w:rFonts w:ascii="Arial" w:cs="Arial" w:eastAsia="Arial" w:hAnsi="Arial"/>
          <w:sz w:val="17"/>
          <w:szCs w:val="17"/>
          <w:color w:val="auto"/>
        </w:rPr>
        <w:t>. With the issuance of SFAS No. 162, the GAAP hierarchy for nongovernmental entities will move from auditing literature to accounting literature. SFAS No. 162 will be effective 60 days following the SEC’s approval of the Public Company Accounting Oversight Board (PCAOB) amendments to AU Section 411, “The Meaning of Present Fairly in Conformity With Generally Accepted Accounting Principles”. This statement became effective during this quarter and did not have an impact on our financial position and results of operations.</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SFAS No. 161 is effective for any reporting period (annual or quarterly interim) beginning on or after November 15, 2008. We are currently evaluating the potential impact of SFAS No. 161 on our financial position and results of operations. This statement is effective for our fourth quarter interim period ending March 28, 2009 and our 2009 annual financial statements.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December 2007, the FASB issued SFAS No. 141 (revised 2007), “Business Combinations” (“SFAS 141(R)”). In SFAS 141(R), the FASB retained the fundamental requirements of SFAS No. 141 to account for all business combinations using the acquisition method (formerly the purchase method) and for an acquiring entity to be identified in all business combinations. However, the new standard requires the acquiring entity in a business combination to recognize all (and only)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SFAS 141(R) is effective for annual periods beginning on or after December 15, 2008. We are currently evaluating the potential impact of SFAS 141(R) on our financial position and results of operations. This statement is effective for our fiscal year 2010.</w:t>
      </w:r>
    </w:p>
    <w:p>
      <w:pPr>
        <w:spacing w:after="0" w:line="192"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In December 2007, the FASB issued SFAS No. 160, “Noncontrolling Interests in Consolidated Financial Statements - an amendment of ARB No. 51”, of which the objective is to improve the relevance, comparability, and transparency of the financial information that a reporting entity provides in its consolidated financial statements by establishing accounting and reporting standards by requiring all entities to report noncontrolling (minority) interests in subsidiaries in the same way - as equity in the consolidated financial statements. Moreover, SFAS No. 160 eliminates the diversity that currently exists in accounting for transactions between an entity and noncontrolling interests by requiring they be treated as equity transactions. SFAS No. 160 is effective for annual periods beginning on or after December 15, 2008. We are currently evaluating the potential impact of SFAS No. 160 on our financial position and results of operations. This statement is effective for our fiscal year 2010.</w:t>
      </w:r>
    </w:p>
    <w:p>
      <w:pPr>
        <w:sectPr>
          <w:pgSz w:w="11900" w:h="16921" w:orient="portrait"/>
          <w:cols w:equalWidth="0" w:num="1">
            <w:col w:w="11420"/>
          </w:cols>
          <w:pgMar w:left="240" w:top="125" w:right="239" w:bottom="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requirements for the marketing of our products, government reimbursement policies and practices, regulatory requirements relating to manufacturing, sale or disposal of raw materials and finished products that contain certain chemicals, the effect of economic and political conditions, the impact of competitive products and pricing, price volatility in petroleum products (plastics are the principal component of our disposables, which are the main source of our revenues), the impact of industry consolidation, foreign currency exchange rates, changes in customers’ ordering patterns, the effect of industry consolidation as seen in the Plasma market, the effect of communicable diseases and the effect of uncertainties in markets outside the U.S. (including Europe and Asia) in which we operate. The foregoing list should not be construed as exhaustive.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exposures relative to market risk are due to foreign exchange risk and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We do not use the financial instruments for speculative or trading activities. At Dectember 27, 2008, we had the following significant foreign exchange contracts to hedge the anticipated cash flows from forecasted foreign currency denominated sales outstanding: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Hedged</w:t>
            </w: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(BUY) / SELL</w:t>
            </w:r>
          </w:p>
        </w:tc>
        <w:tc>
          <w:tcPr>
            <w:tcW w:w="240" w:type="dxa"/>
            <w:vAlign w:val="bottom"/>
          </w:tcPr>
          <w:p>
            <w:pPr>
              <w:spacing w:after="0"/>
              <w:rPr>
                <w:sz w:val="14"/>
                <w:szCs w:val="14"/>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Weighted Spot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Weighted Forward</w:t>
            </w:r>
          </w:p>
        </w:tc>
        <w:tc>
          <w:tcPr>
            <w:tcW w:w="160" w:type="dxa"/>
            <w:vAlign w:val="bottom"/>
          </w:tcPr>
          <w:p>
            <w:pPr>
              <w:spacing w:after="0"/>
              <w:rPr>
                <w:sz w:val="14"/>
                <w:szCs w:val="14"/>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21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71"/>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Currency</w:t>
            </w: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Local Currency</w:t>
            </w:r>
          </w:p>
        </w:tc>
        <w:tc>
          <w:tcPr>
            <w:tcW w:w="24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Contract Rate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Contract Rate</w:t>
            </w: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1.503</w:t>
            </w:r>
          </w:p>
        </w:tc>
        <w:tc>
          <w:tcPr>
            <w:tcW w:w="7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1.482</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583,063</w:t>
            </w:r>
          </w:p>
        </w:tc>
        <w:tc>
          <w:tcPr>
            <w:tcW w:w="2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Jan 2009 - Feb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Euro</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12,800,000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1.568</w:t>
            </w:r>
          </w:p>
        </w:tc>
        <w:tc>
          <w:tcPr>
            <w:tcW w:w="74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1.544</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1,908,369</w:t>
            </w:r>
          </w:p>
        </w:tc>
        <w:tc>
          <w:tcPr>
            <w:tcW w:w="2160" w:type="dxa"/>
            <w:vAlign w:val="bottom"/>
            <w:gridSpan w:val="3"/>
          </w:tcPr>
          <w:p>
            <w:pPr>
              <w:jc w:val="right"/>
              <w:ind w:right="100"/>
              <w:spacing w:after="0"/>
              <w:rPr>
                <w:sz w:val="20"/>
                <w:szCs w:val="20"/>
                <w:color w:val="auto"/>
              </w:rPr>
            </w:pPr>
            <w:r>
              <w:rPr>
                <w:rFonts w:ascii="Arial" w:cs="Arial" w:eastAsia="Arial" w:hAnsi="Arial"/>
                <w:sz w:val="18"/>
                <w:szCs w:val="18"/>
                <w:color w:val="auto"/>
              </w:rPr>
              <w:t>Mar 2009 - May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11,200,000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1.489</w:t>
            </w:r>
          </w:p>
        </w:tc>
        <w:tc>
          <w:tcPr>
            <w:tcW w:w="7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1.464</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809,051</w:t>
            </w:r>
          </w:p>
        </w:tc>
        <w:tc>
          <w:tcPr>
            <w:tcW w:w="2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Jun 2009 - Aug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Euro</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11,307,000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1.319</w:t>
            </w:r>
          </w:p>
        </w:tc>
        <w:tc>
          <w:tcPr>
            <w:tcW w:w="74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1.313</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(800,346)</w:t>
            </w:r>
          </w:p>
        </w:tc>
        <w:tc>
          <w:tcPr>
            <w:tcW w:w="1200" w:type="dxa"/>
            <w:vAlign w:val="bottom"/>
          </w:tcPr>
          <w:p>
            <w:pPr>
              <w:jc w:val="right"/>
              <w:spacing w:after="0"/>
              <w:rPr>
                <w:sz w:val="20"/>
                <w:szCs w:val="20"/>
                <w:color w:val="auto"/>
              </w:rPr>
            </w:pPr>
            <w:r>
              <w:rPr>
                <w:rFonts w:ascii="Arial" w:cs="Arial" w:eastAsia="Arial" w:hAnsi="Arial"/>
                <w:sz w:val="18"/>
                <w:szCs w:val="18"/>
                <w:color w:val="auto"/>
              </w:rPr>
              <w:t>Sep 2009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 Nov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Japanese Yen</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105.8</w:t>
            </w:r>
          </w:p>
        </w:tc>
        <w:tc>
          <w:tcPr>
            <w:tcW w:w="7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per US$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104.1</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 US$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(1,147,756)</w:t>
            </w:r>
          </w:p>
        </w:tc>
        <w:tc>
          <w:tcPr>
            <w:tcW w:w="2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Jan 2009 - Feb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Japanese Yen</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1,195,000,000</w:t>
            </w:r>
          </w:p>
        </w:tc>
        <w:tc>
          <w:tcPr>
            <w:tcW w:w="24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105.3</w:t>
            </w:r>
          </w:p>
        </w:tc>
        <w:tc>
          <w:tcPr>
            <w:tcW w:w="740" w:type="dxa"/>
            <w:vAlign w:val="bottom"/>
          </w:tcPr>
          <w:p>
            <w:pPr>
              <w:ind w:left="140"/>
              <w:spacing w:after="0"/>
              <w:rPr>
                <w:sz w:val="20"/>
                <w:szCs w:val="20"/>
                <w:color w:val="auto"/>
              </w:rPr>
            </w:pPr>
            <w:r>
              <w:rPr>
                <w:rFonts w:ascii="Arial" w:cs="Arial" w:eastAsia="Arial" w:hAnsi="Arial"/>
                <w:sz w:val="18"/>
                <w:szCs w:val="18"/>
                <w:color w:val="auto"/>
                <w:w w:val="87"/>
              </w:rPr>
              <w:t>per US$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103.3</w:t>
            </w: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per US$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(1,624,402)</w:t>
            </w:r>
          </w:p>
        </w:tc>
        <w:tc>
          <w:tcPr>
            <w:tcW w:w="2160" w:type="dxa"/>
            <w:vAlign w:val="bottom"/>
            <w:gridSpan w:val="3"/>
          </w:tcPr>
          <w:p>
            <w:pPr>
              <w:jc w:val="right"/>
              <w:ind w:right="100"/>
              <w:spacing w:after="0"/>
              <w:rPr>
                <w:sz w:val="20"/>
                <w:szCs w:val="20"/>
                <w:color w:val="auto"/>
              </w:rPr>
            </w:pPr>
            <w:r>
              <w:rPr>
                <w:rFonts w:ascii="Arial" w:cs="Arial" w:eastAsia="Arial" w:hAnsi="Arial"/>
                <w:sz w:val="18"/>
                <w:szCs w:val="18"/>
                <w:color w:val="auto"/>
              </w:rPr>
              <w:t>Mar 2009 - May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Japanese Yen</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1,116,000,000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107.3</w:t>
            </w:r>
          </w:p>
        </w:tc>
        <w:tc>
          <w:tcPr>
            <w:tcW w:w="7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per US$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105.2</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 US$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(1,705,352)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 2009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 Aug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Japanese Yen</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1,198,061,000</w:t>
            </w:r>
          </w:p>
        </w:tc>
        <w:tc>
          <w:tcPr>
            <w:tcW w:w="24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95.4</w:t>
            </w:r>
          </w:p>
        </w:tc>
        <w:tc>
          <w:tcPr>
            <w:tcW w:w="740" w:type="dxa"/>
            <w:vAlign w:val="bottom"/>
          </w:tcPr>
          <w:p>
            <w:pPr>
              <w:ind w:left="140"/>
              <w:spacing w:after="0"/>
              <w:rPr>
                <w:sz w:val="20"/>
                <w:szCs w:val="20"/>
                <w:color w:val="auto"/>
              </w:rPr>
            </w:pPr>
            <w:r>
              <w:rPr>
                <w:rFonts w:ascii="Arial" w:cs="Arial" w:eastAsia="Arial" w:hAnsi="Arial"/>
                <w:sz w:val="18"/>
                <w:szCs w:val="18"/>
                <w:color w:val="auto"/>
                <w:w w:val="87"/>
              </w:rPr>
              <w:t>per US$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94.1</w:t>
            </w: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per US$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(569,052)</w:t>
            </w:r>
          </w:p>
        </w:tc>
        <w:tc>
          <w:tcPr>
            <w:tcW w:w="1200" w:type="dxa"/>
            <w:vAlign w:val="bottom"/>
          </w:tcPr>
          <w:p>
            <w:pPr>
              <w:jc w:val="right"/>
              <w:spacing w:after="0"/>
              <w:rPr>
                <w:sz w:val="20"/>
                <w:szCs w:val="20"/>
                <w:color w:val="auto"/>
              </w:rPr>
            </w:pPr>
            <w:r>
              <w:rPr>
                <w:rFonts w:ascii="Arial" w:cs="Arial" w:eastAsia="Arial" w:hAnsi="Arial"/>
                <w:sz w:val="18"/>
                <w:szCs w:val="18"/>
                <w:color w:val="auto"/>
              </w:rPr>
              <w:t>Sep 2009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 Nov 2009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jc w:val="center"/>
              <w:ind w:left="353"/>
              <w:spacing w:after="0"/>
              <w:rPr>
                <w:sz w:val="20"/>
                <w:szCs w:val="20"/>
                <w:color w:val="auto"/>
              </w:rPr>
            </w:pPr>
            <w:r>
              <w:rPr>
                <w:rFonts w:ascii="Arial" w:cs="Arial" w:eastAsia="Arial" w:hAnsi="Arial"/>
                <w:sz w:val="18"/>
                <w:szCs w:val="18"/>
                <w:color w:val="auto"/>
                <w:w w:val="93"/>
              </w:rPr>
              <w:t>Total:</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(2,546,425</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$14.6 million increase in the fair value of the forward contracts; whereas a 10% weakening of the US dollar would result in a $15.9 million decrease in the fair value of the forward contracts.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of our long-term debt is at fixed rates. Accordingly, a change in interest rates has an insignificant effect on our interest expense amounts. The fair value of our long-term debt, however, does change in response to interest rate movements due to its fixed rate nature. These changes reflect the premium (when market interest rates decline below the contract fixed interest rates) or discount (when market interest rates rise above the fixed interest rate) that an investor in these long term obligations would pay in the market interest rate environment.</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December 27, 2008, the fair value of our long-term debt was approximately $0.7 million higher than the value of the debt reflected on our financial statements. This higher fair market is entirely related to the $5.5 million remaining principal balance of the original $10.0 million, 8.41% real estate mortgage due January, 2016.</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Using scenario analysis, if the interest rate on all long-term maturities changed by 10% from the rate levels that existed at December 27, 2008, the fair value of our long-term debt would change by approximately $0.1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0" w:gutter="0" w:footer="0" w:header="0"/>
        </w:sectPr>
      </w:pPr>
    </w:p>
    <w:bookmarkStart w:id="24" w:name="page25"/>
    <w:bookmarkEnd w:id="24"/>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conducted an evaluation, as of December 27, 2008,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our disclosure controls and procedures are effective.</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change in the Company’s internal control over financial reporting occurred during the three months ended December 27, 2008 that has materially affected, or is reasonably likely to materially affect, the Company’s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Legal Proceedings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March 29, 2008, which could materially affect the Company’s business, financial condition or future results. The risks described in the Company’s Annual Report on Form 10-K are not the only risks facing the Company. Additional risks and uncertainties not currently known to the Company or that it currently deems to be immaterial also may materially adversely affect its business, financial condition and/or operating results.</w:t>
      </w:r>
    </w:p>
    <w:p>
      <w:pPr>
        <w:spacing w:after="0" w:line="18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225" w:lineRule="exact"/>
        <w:rPr>
          <w:sz w:val="20"/>
          <w:szCs w:val="20"/>
          <w:color w:val="auto"/>
        </w:rPr>
      </w:pPr>
    </w:p>
    <w:p>
      <w:pPr>
        <w:jc w:val="center"/>
        <w:ind w:right="8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Defaults upon Senior Securities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Submission of Matters to a Vote of Security Holders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Exhibits</w:t>
      </w:r>
    </w:p>
    <w:p>
      <w:pPr>
        <w:spacing w:after="0" w:line="225" w:lineRule="exact"/>
        <w:rPr>
          <w:sz w:val="20"/>
          <w:szCs w:val="20"/>
          <w:color w:val="auto"/>
        </w:rPr>
      </w:pPr>
    </w:p>
    <w:p>
      <w:pPr>
        <w:ind w:left="2620" w:right="380" w:hanging="611"/>
        <w:spacing w:after="0" w:line="277" w:lineRule="auto"/>
        <w:tabs>
          <w:tab w:leader="none" w:pos="26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pursuant to Section 302 of Sarbanes-Oxley Act of 2002, of Brad Nutter, Chairman and Chief Executive Officer of the Company</w:t>
      </w:r>
    </w:p>
    <w:p>
      <w:pPr>
        <w:spacing w:after="0" w:line="170" w:lineRule="exact"/>
        <w:rPr>
          <w:sz w:val="20"/>
          <w:szCs w:val="20"/>
          <w:color w:val="auto"/>
        </w:rPr>
      </w:pPr>
    </w:p>
    <w:p>
      <w:pPr>
        <w:ind w:left="2620" w:hanging="611"/>
        <w:spacing w:after="0" w:line="277" w:lineRule="auto"/>
        <w:tabs>
          <w:tab w:leader="none" w:pos="26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Section 302 of Sarbanes-Oxley of 2002, of Christopher Lindop, Chief Financial Officer and Vice President Business Development of the Company</w:t>
      </w:r>
    </w:p>
    <w:p>
      <w:pPr>
        <w:spacing w:after="0" w:line="170" w:lineRule="exact"/>
        <w:rPr>
          <w:sz w:val="20"/>
          <w:szCs w:val="20"/>
          <w:color w:val="auto"/>
        </w:rPr>
      </w:pPr>
    </w:p>
    <w:p>
      <w:pPr>
        <w:ind w:left="2620" w:right="100" w:hanging="611"/>
        <w:spacing w:after="0" w:line="277" w:lineRule="auto"/>
        <w:tabs>
          <w:tab w:leader="none" w:pos="26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Pursuant to 18 United States Code Section 1350, as adopted Pursuant to Section 906 of the Sarbanes-Oxley Act of 2002, of Brad Nutter, Chairman and Chief Executive Officer of the Company</w:t>
      </w:r>
    </w:p>
    <w:p>
      <w:pPr>
        <w:spacing w:after="0" w:line="170" w:lineRule="exact"/>
        <w:rPr>
          <w:sz w:val="20"/>
          <w:szCs w:val="20"/>
          <w:color w:val="auto"/>
        </w:rPr>
      </w:pPr>
    </w:p>
    <w:p>
      <w:pPr>
        <w:ind w:left="2620" w:right="100" w:hanging="611"/>
        <w:spacing w:after="0" w:line="342" w:lineRule="auto"/>
        <w:tabs>
          <w:tab w:leader="none" w:pos="26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Pursuant to 18 United States Code Section 1350, as adopted Pursuant to Section 906 of the Sarbanes-Oxley Act of 2002, of Christopher Lindop, Chief Financial Officer and Vice President Business Development of the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HAEMONETICS CORPORATION</w:t>
      </w:r>
    </w:p>
    <w:p>
      <w:pPr>
        <w:sectPr>
          <w:pgSz w:w="11900" w:h="16838" w:orient="portrait"/>
          <w:cols w:equalWidth="0" w:num="1">
            <w:col w:w="11400"/>
          </w:cols>
          <w:pgMar w:left="240" w:top="517" w:right="259" w:bottom="73"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Date: February 2, 2009</w:t>
            </w:r>
          </w:p>
        </w:tc>
        <w:tc>
          <w:tcPr>
            <w:tcW w:w="2040" w:type="dxa"/>
            <w:vAlign w:val="bottom"/>
          </w:tcPr>
          <w:p>
            <w:pPr>
              <w:spacing w:after="0"/>
              <w:rPr>
                <w:sz w:val="20"/>
                <w:szCs w:val="20"/>
                <w:color w:val="auto"/>
              </w:rPr>
            </w:pP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Brad Nutter</w:t>
            </w:r>
          </w:p>
        </w:tc>
        <w:tc>
          <w:tcPr>
            <w:tcW w:w="40" w:type="dxa"/>
            <w:vAlign w:val="bottom"/>
          </w:tcPr>
          <w:p>
            <w:pPr>
              <w:spacing w:after="0"/>
              <w:rPr>
                <w:sz w:val="20"/>
                <w:szCs w:val="20"/>
                <w:color w:val="auto"/>
              </w:rPr>
            </w:pPr>
          </w:p>
        </w:tc>
      </w:tr>
      <w:tr>
        <w:trPr>
          <w:trHeight w:val="195"/>
        </w:trPr>
        <w:tc>
          <w:tcPr>
            <w:tcW w:w="36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700" w:type="dxa"/>
            <w:vAlign w:val="bottom"/>
          </w:tcPr>
          <w:p>
            <w:pPr>
              <w:ind w:left="20"/>
              <w:spacing w:after="0" w:line="195" w:lineRule="exact"/>
              <w:rPr>
                <w:sz w:val="20"/>
                <w:szCs w:val="20"/>
                <w:color w:val="auto"/>
              </w:rPr>
            </w:pPr>
            <w:r>
              <w:rPr>
                <w:rFonts w:ascii="Arial" w:cs="Arial" w:eastAsia="Arial" w:hAnsi="Arial"/>
                <w:sz w:val="18"/>
                <w:szCs w:val="18"/>
                <w:color w:val="auto"/>
              </w:rPr>
              <w:t>Brad Nutter, Chairman and Chief Executive Officer</w:t>
            </w:r>
          </w:p>
        </w:tc>
        <w:tc>
          <w:tcPr>
            <w:tcW w:w="4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648"/>
        </w:trPr>
        <w:tc>
          <w:tcPr>
            <w:tcW w:w="3680" w:type="dxa"/>
            <w:vAlign w:val="bottom"/>
          </w:tcPr>
          <w:p>
            <w:pPr>
              <w:ind w:left="20"/>
              <w:spacing w:after="0"/>
              <w:rPr>
                <w:sz w:val="20"/>
                <w:szCs w:val="20"/>
                <w:color w:val="auto"/>
              </w:rPr>
            </w:pPr>
            <w:r>
              <w:rPr>
                <w:rFonts w:ascii="Arial" w:cs="Arial" w:eastAsia="Arial" w:hAnsi="Arial"/>
                <w:sz w:val="18"/>
                <w:szCs w:val="18"/>
                <w:color w:val="auto"/>
              </w:rPr>
              <w:t>Date: February 2, 2009</w:t>
            </w:r>
          </w:p>
        </w:tc>
        <w:tc>
          <w:tcPr>
            <w:tcW w:w="2040" w:type="dxa"/>
            <w:vAlign w:val="bottom"/>
          </w:tcPr>
          <w:p>
            <w:pPr>
              <w:spacing w:after="0"/>
              <w:rPr>
                <w:sz w:val="24"/>
                <w:szCs w:val="24"/>
                <w:color w:val="auto"/>
              </w:rPr>
            </w:pP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Christopher Lindop</w:t>
            </w:r>
          </w:p>
        </w:tc>
        <w:tc>
          <w:tcPr>
            <w:tcW w:w="40" w:type="dxa"/>
            <w:vAlign w:val="bottom"/>
          </w:tcPr>
          <w:p>
            <w:pPr>
              <w:spacing w:after="0"/>
              <w:rPr>
                <w:sz w:val="24"/>
                <w:szCs w:val="24"/>
                <w:color w:val="auto"/>
              </w:rPr>
            </w:pPr>
          </w:p>
        </w:tc>
      </w:tr>
      <w:tr>
        <w:trPr>
          <w:trHeight w:val="201"/>
        </w:trPr>
        <w:tc>
          <w:tcPr>
            <w:tcW w:w="36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700" w:type="dxa"/>
            <w:vAlign w:val="bottom"/>
          </w:tcPr>
          <w:p>
            <w:pPr>
              <w:ind w:left="20"/>
              <w:spacing w:after="0" w:line="201" w:lineRule="exact"/>
              <w:rPr>
                <w:sz w:val="20"/>
                <w:szCs w:val="20"/>
                <w:color w:val="auto"/>
              </w:rPr>
            </w:pPr>
            <w:r>
              <w:rPr>
                <w:rFonts w:ascii="Arial" w:cs="Arial" w:eastAsia="Arial" w:hAnsi="Arial"/>
                <w:sz w:val="18"/>
                <w:szCs w:val="18"/>
                <w:color w:val="auto"/>
              </w:rPr>
              <w:t>Christopher Lindop</w:t>
            </w:r>
            <w:r>
              <w:rPr>
                <w:rFonts w:ascii="Arial" w:cs="Arial" w:eastAsia="Arial" w:hAnsi="Arial"/>
                <w:sz w:val="17"/>
                <w:szCs w:val="17"/>
                <w:color w:val="auto"/>
              </w:rPr>
              <w:t>, Chief Financial Officer and Vice</w:t>
            </w:r>
          </w:p>
        </w:tc>
        <w:tc>
          <w:tcPr>
            <w:tcW w:w="40" w:type="dxa"/>
            <w:vAlign w:val="bottom"/>
          </w:tcPr>
          <w:p>
            <w:pPr>
              <w:spacing w:after="0"/>
              <w:rPr>
                <w:sz w:val="17"/>
                <w:szCs w:val="17"/>
                <w:color w:val="auto"/>
              </w:rPr>
            </w:pPr>
          </w:p>
        </w:tc>
      </w:tr>
      <w:tr>
        <w:trPr>
          <w:trHeight w:val="222"/>
        </w:trPr>
        <w:tc>
          <w:tcPr>
            <w:tcW w:w="3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President Business Development (Principal Financial Officer)</w:t>
            </w:r>
          </w:p>
        </w:tc>
        <w:tc>
          <w:tcPr>
            <w:tcW w:w="40" w:type="dxa"/>
            <w:vAlign w:val="bottom"/>
          </w:tcPr>
          <w:p>
            <w:pPr>
              <w:spacing w:after="0"/>
              <w:rPr>
                <w:sz w:val="19"/>
                <w:szCs w:val="19"/>
                <w:color w:val="auto"/>
              </w:rPr>
            </w:pPr>
          </w:p>
        </w:tc>
      </w:tr>
      <w:tr>
        <w:trPr>
          <w:trHeight w:val="434"/>
        </w:trPr>
        <w:tc>
          <w:tcPr>
            <w:tcW w:w="3680" w:type="dxa"/>
            <w:vAlign w:val="bottom"/>
          </w:tcPr>
          <w:p>
            <w:pPr>
              <w:spacing w:after="0"/>
              <w:rPr>
                <w:sz w:val="24"/>
                <w:szCs w:val="24"/>
                <w:color w:val="auto"/>
              </w:rPr>
            </w:pPr>
          </w:p>
        </w:tc>
        <w:tc>
          <w:tcPr>
            <w:tcW w:w="7740" w:type="dxa"/>
            <w:vAlign w:val="bottom"/>
            <w:gridSpan w:val="2"/>
          </w:tcPr>
          <w:p>
            <w:pPr>
              <w:jc w:val="right"/>
              <w:ind w:right="553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4"/>
                <w:szCs w:val="24"/>
                <w:color w:val="auto"/>
              </w:rPr>
            </w:pPr>
          </w:p>
        </w:tc>
      </w:tr>
      <w:tr>
        <w:trPr>
          <w:trHeight w:val="132"/>
        </w:trPr>
        <w:tc>
          <w:tcPr>
            <w:tcW w:w="368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Brad Nutter,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140" w:hanging="332"/>
        <w:spacing w:after="0" w:line="308" w:lineRule="auto"/>
        <w:tabs>
          <w:tab w:leader="none" w:pos="3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0" w:hanging="332"/>
        <w:spacing w:after="0" w:line="264" w:lineRule="auto"/>
        <w:tabs>
          <w:tab w:leader="none" w:pos="3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00" w:hanging="320"/>
        <w:spacing w:after="0" w:line="342" w:lineRule="auto"/>
        <w:tabs>
          <w:tab w:leader="none" w:pos="1305"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5"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2009</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 Brad Nutter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 Nutter, Chairman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140" w:hanging="332"/>
        <w:spacing w:after="0" w:line="308" w:lineRule="auto"/>
        <w:tabs>
          <w:tab w:leader="none" w:pos="3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0" w:hanging="332"/>
        <w:spacing w:after="0" w:line="264" w:lineRule="auto"/>
        <w:tabs>
          <w:tab w:leader="none" w:pos="3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00" w:hanging="320"/>
        <w:spacing w:after="0" w:line="342" w:lineRule="auto"/>
        <w:tabs>
          <w:tab w:leader="none" w:pos="1305"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5"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2009</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Christopher Lindop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Christopher Lindop, Chief Financial Officer and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Business Development (Principal Financial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ending June 28, 2008 as filed with the Securities and Exchange Commission on the date hereof (the “Report”), I, Brad Nutter,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2009</w:t>
      </w:r>
    </w:p>
    <w:p>
      <w:pPr>
        <w:spacing w:after="0" w:line="22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 Brad Nutter</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Brad Nutter,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ending June 28, 2008 as filed with the Securities and Exchange Commission on the date hereof (the “Report”), I, Christopher Lindop, Vice President and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2009</w:t>
      </w:r>
    </w:p>
    <w:p>
      <w:pPr>
        <w:spacing w:after="0" w:line="200" w:lineRule="exact"/>
        <w:rPr>
          <w:sz w:val="20"/>
          <w:szCs w:val="20"/>
          <w:color w:val="auto"/>
        </w:rPr>
      </w:pPr>
    </w:p>
    <w:p>
      <w:pPr>
        <w:spacing w:after="0" w:line="255"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/s/ Christopher Lindop</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Christopher Lindop</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Chief Financial Officer and Vice President Business</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Development</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0"/>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Roman"/>
      <w:start w:val="4"/>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2019-12-10T04:03:48Z</dcterms:created>
  <dcterms:modified xsi:type="dcterms:W3CDTF">2019-12-10T04:03:48Z</dcterms:modified>
</cp:coreProperties>
</file>