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594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5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vMerge w:val="restart"/>
          </w:tcPr>
          <w:p>
            <w:pPr>
              <w:jc w:val="center"/>
              <w:ind w:left="325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5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5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5940" w:type="dxa"/>
            <w:vAlign w:val="bottom"/>
          </w:tcPr>
          <w:p>
            <w:pPr>
              <w:jc w:val="center"/>
              <w:ind w:right="24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220"/>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8820" w:space="720"/>
            <w:col w:w="1880"/>
          </w:cols>
          <w:pgMar w:left="240" w:top="225" w:right="2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86" w:lineRule="exact"/>
        <w:rPr>
          <w:sz w:val="24"/>
          <w:szCs w:val="24"/>
          <w:color w:val="auto"/>
        </w:rPr>
      </w:pPr>
    </w:p>
    <w:p>
      <w:pPr>
        <w:sectPr>
          <w:pgSz w:w="11900" w:h="16838" w:orient="portrait"/>
          <w:cols w:equalWidth="0" w:num="2">
            <w:col w:w="2320" w:space="720"/>
            <w:col w:w="8380"/>
          </w:cols>
          <w:pgMar w:left="240" w:top="225" w:right="239" w:bottom="1440" w:gutter="0" w:footer="0" w:header="0"/>
          <w:type w:val="continuous"/>
        </w:sectPr>
      </w:pPr>
    </w:p>
    <w:p>
      <w:pPr>
        <w:ind w:left="8820"/>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ind w:left="88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20"/>
        <w:spacing w:after="0" w:line="207" w:lineRule="exact"/>
        <w:tabs>
          <w:tab w:leader="none" w:pos="58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August 3, 2018: 51,691,865</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8"/>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99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(Loss) Income and Comprehensive (Loss) Income - Three Months Ended June 30, 2018 and July 1,</w:t>
              </w:r>
            </w:hyperlink>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500" w:type="dxa"/>
            <w:vAlign w:val="bottom"/>
            <w:gridSpan w:val="2"/>
          </w:tcPr>
          <w:p>
            <w:pPr>
              <w:ind w:left="140"/>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2017</w:t>
              </w:r>
            </w:hyperlink>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 - June 30, 2018 and Audited Consolidated Balance Sheet - March 31, 2018</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240" w:type="dxa"/>
            <w:vAlign w:val="bottom"/>
            <w:tcBorders>
              <w:top w:val="single" w:sz="8" w:color="0000EE"/>
            </w:tcBorders>
            <w:gridSpan w:val="15"/>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Unaudited Consolidated Statements of Cash Flows - Three Months Ended June 30, 2018 and July 1, 2017</w:t>
              </w:r>
            </w:hyperlink>
          </w:p>
        </w:tc>
        <w:tc>
          <w:tcPr>
            <w:tcW w:w="198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Unaudited Consolidated Financial Statements</w:t>
              </w:r>
            </w:hyperlink>
          </w:p>
        </w:tc>
        <w:tc>
          <w:tcPr>
            <w:tcW w:w="3660" w:type="dxa"/>
            <w:vAlign w:val="bottom"/>
            <w:tcBorders>
              <w:top w:val="single" w:sz="8" w:color="0000EE"/>
            </w:tcBorders>
            <w:gridSpan w:val="3"/>
          </w:tcPr>
          <w:p>
            <w:pPr>
              <w:spacing w:after="0"/>
              <w:rPr>
                <w:sz w:val="21"/>
                <w:szCs w:val="21"/>
                <w:color w:val="auto"/>
              </w:rPr>
            </w:pPr>
          </w:p>
        </w:tc>
        <w:tc>
          <w:tcPr>
            <w:tcW w:w="262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w w:val="90"/>
              </w:rPr>
            </w:pPr>
            <w:hyperlink w:anchor="page20">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20</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0"/>
              </w:rPr>
            </w:pPr>
            <w:hyperlink w:anchor="page30">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5. [Removed and Reserved]</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7740" w:type="dxa"/>
            <w:vAlign w:val="bottom"/>
            <w:gridSpan w:val="9"/>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3"/>
          </w:tcPr>
          <w:p>
            <w:pPr>
              <w:spacing w:after="0"/>
              <w:rPr>
                <w:rFonts w:ascii="Arial" w:cs="Arial" w:eastAsia="Arial" w:hAnsi="Arial"/>
                <w:sz w:val="18"/>
                <w:szCs w:val="18"/>
                <w:b w:val="1"/>
                <w:bCs w:val="1"/>
                <w:color w:val="0000EE"/>
                <w:w w:val="96"/>
              </w:rPr>
            </w:pPr>
            <w:hyperlink w:anchor="page32">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3"/>
          </w:tcPr>
          <w:p>
            <w:pPr>
              <w:spacing w:after="0"/>
              <w:rPr>
                <w:sz w:val="24"/>
                <w:szCs w:val="24"/>
                <w:color w:val="auto"/>
              </w:rPr>
            </w:pPr>
          </w:p>
        </w:tc>
        <w:tc>
          <w:tcPr>
            <w:tcW w:w="6380" w:type="dxa"/>
            <w:vAlign w:val="bottom"/>
            <w:gridSpan w:val="11"/>
          </w:tcPr>
          <w:p>
            <w:pPr>
              <w:jc w:val="right"/>
              <w:ind w:right="18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(LOSS) INCOME AND COMPREHENSIVE (LOSS) INCOME (Unaudited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1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jc w:val="right"/>
              <w:ind w:right="752"/>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2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229,347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210,951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146,103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119,286</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83,244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91,665</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68,545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66,861</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77,951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75,054</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16,611</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23,252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3,115</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20,137</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1"/>
        </w:trPr>
        <w:tc>
          <w:tcPr>
            <w:tcW w:w="7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 basic</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Net (loss) income per share - diluted</w:t>
            </w: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0.38</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52,443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52,119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52,811</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Comprehensive (loss) income</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23,766</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18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r>
      <w:tr>
        <w:trPr>
          <w:trHeight w:val="256"/>
        </w:trPr>
        <w:tc>
          <w:tcPr>
            <w:tcW w:w="180" w:type="dxa"/>
            <w:vAlign w:val="bottom"/>
            <w:shd w:val="clear" w:color="auto" w:fill="CCEEFF"/>
          </w:tcPr>
          <w:p>
            <w:pPr>
              <w:spacing w:after="0"/>
              <w:rPr>
                <w:sz w:val="22"/>
                <w:szCs w:val="22"/>
                <w:color w:val="auto"/>
              </w:rPr>
            </w:pPr>
          </w:p>
        </w:tc>
        <w:tc>
          <w:tcPr>
            <w:tcW w:w="7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192,106</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180,169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180" w:type="dxa"/>
            <w:vAlign w:val="bottom"/>
            <w:shd w:val="clear" w:color="auto" w:fill="CCEEFF"/>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less allowance of $2,327 at June 30, 2018 and</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180" w:type="dxa"/>
            <w:vAlign w:val="bottom"/>
            <w:tcBorders>
              <w:bottom w:val="single" w:sz="8" w:color="CCEEFF"/>
            </w:tcBorders>
            <w:shd w:val="clear" w:color="auto" w:fill="CCEEFF"/>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$2,111 at March 31, 2018</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151,336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151,226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175,329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160,799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28,983</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551,017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521,177</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315,873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332,156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9"/>
              </w:rPr>
              <w:t>Intangible assets, less accumulated amortization of $256,675 at June 30, 2018 and $249,278 at March 31, 2018</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148,730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156,589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211,395</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Deferred tax asset</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3,774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3,961</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12,061</w:t>
            </w:r>
          </w:p>
        </w:tc>
      </w:tr>
      <w:tr>
        <w:trPr>
          <w:trHeight w:val="284"/>
        </w:trPr>
        <w:tc>
          <w:tcPr>
            <w:tcW w:w="18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1,241,168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1,237,339</w:t>
            </w:r>
          </w:p>
        </w:tc>
      </w:tr>
      <w:tr>
        <w:trPr>
          <w:trHeight w:val="22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194,259</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65,393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55,265</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69,519</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65,731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65,660</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384,703</w:t>
            </w:r>
          </w:p>
        </w:tc>
      </w:tr>
      <w:tr>
        <w:trPr>
          <w:trHeight w:val="217"/>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330,838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59,423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6,526</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31,670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34,258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0"/>
        </w:trPr>
        <w:tc>
          <w:tcPr>
            <w:tcW w:w="1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6"/>
                <w:szCs w:val="16"/>
                <w:color w:val="auto"/>
                <w:w w:val="91"/>
              </w:rPr>
              <w:t>Common stock, $0.01 par value; Authorized — 150,000,000 shares; Issued and outstanding — 51,641,159 shares at June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30, 2018 and 52,342,965 shares at March 31, 2018</w:t>
            </w:r>
          </w:p>
        </w:tc>
        <w:tc>
          <w:tcPr>
            <w:tcW w:w="260" w:type="dxa"/>
            <w:vAlign w:val="bottom"/>
          </w:tcPr>
          <w:p>
            <w:pPr>
              <w:spacing w:after="0"/>
              <w:rPr>
                <w:sz w:val="17"/>
                <w:szCs w:val="17"/>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503,955</w:t>
            </w:r>
          </w:p>
        </w:tc>
      </w:tr>
      <w:tr>
        <w:trPr>
          <w:trHeight w:val="237"/>
        </w:trPr>
        <w:tc>
          <w:tcPr>
            <w:tcW w:w="18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189,859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266,942</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(18,991)</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674,059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752,429</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1,241,168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1,237,339</w:t>
            </w:r>
          </w:p>
        </w:tc>
      </w:tr>
      <w:tr>
        <w:trPr>
          <w:trHeight w:val="20"/>
        </w:trPr>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3"/>
                <w:szCs w:val="13"/>
                <w:color w:val="auto"/>
              </w:rPr>
            </w:pPr>
          </w:p>
        </w:tc>
        <w:tc>
          <w:tcPr>
            <w:tcW w:w="124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20,137</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(loss)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21,789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Gain on divestiture</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(8,000)</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21,170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658</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2,203</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817</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8,998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(11,865)</w:t>
            </w:r>
          </w:p>
        </w:tc>
      </w:tr>
      <w:tr>
        <w:trPr>
          <w:trHeight w:val="33"/>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38,425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(13,721)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9,000</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981</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(27,264)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(3,740)</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Term loan borrowings</w:t>
            </w: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347,780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term loan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1,622</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6,430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in short-term loans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18,663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(3,549)</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32,175</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180,169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139,564</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192,106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171,739</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1,825</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1,338</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980" w:firstLine="8"/>
        <w:spacing w:after="0" w:line="533"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ind w:right="80"/>
        <w:spacing w:after="0" w:line="289" w:lineRule="auto"/>
        <w:rPr>
          <w:sz w:val="20"/>
          <w:szCs w:val="20"/>
          <w:color w:val="auto"/>
        </w:rPr>
      </w:pPr>
      <w:r>
        <w:rPr>
          <w:rFonts w:ascii="Arial" w:cs="Arial" w:eastAsia="Arial" w:hAnsi="Arial"/>
          <w:sz w:val="16"/>
          <w:szCs w:val="16"/>
          <w:color w:val="auto"/>
        </w:rPr>
        <w:t>The accompanying unaudited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our management, all adjustments (consisting of normal recurring adjustments) considered necessary for a fair presentation have been included. All intercompany transactions have been eliminated. Operating results for the three months ended June 30, 2018 are not necessarily indicative of the results that may be expected for the full fiscal year ending March 30, 2019 or any other interim period. We have assessed our ability to continue as a going concern. As of June 30, 2018, we have concluded that substantial doubt about our ability to continue as a going concern does not exist. These unaudited consolidated financial statements should be read in conjunction with our audited consolidated financial statements and footnotes included in our annual report on Form 10-K for the fiscal year ended March 31, 2018.</w:t>
      </w:r>
    </w:p>
    <w:p>
      <w:pPr>
        <w:spacing w:after="0" w:line="16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5,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for information pertaining to the completion of an accelerated share repurchase that occurred after the balance sheet date but prior to the issuance of the financial statements.</w:t>
      </w:r>
    </w:p>
    <w:p>
      <w:pPr>
        <w:spacing w:after="0" w:line="143" w:lineRule="exact"/>
        <w:rPr>
          <w:sz w:val="20"/>
          <w:szCs w:val="20"/>
          <w:color w:val="auto"/>
        </w:rPr>
      </w:pPr>
    </w:p>
    <w:p>
      <w:pPr>
        <w:ind w:right="734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Codification ("ASC") Update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ASC Update No. 2014-09 stipulates that an entity should recognize revenue to depict the transfer of promised goods</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9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In March 2016, the FASB issued ASC Update No. 2016-08, Revenue from Contracts with Customers (Topic 606): </w:t>
      </w:r>
      <w:r>
        <w:rPr>
          <w:rFonts w:ascii="Arial" w:cs="Arial" w:eastAsia="Arial" w:hAnsi="Arial"/>
          <w:sz w:val="18"/>
          <w:szCs w:val="18"/>
          <w:i w:val="1"/>
          <w:iCs w:val="1"/>
          <w:color w:val="auto"/>
        </w:rPr>
        <w:t>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Revenue Gross versus Net)</w:t>
      </w:r>
      <w:r>
        <w:rPr>
          <w:rFonts w:ascii="Arial" w:cs="Arial" w:eastAsia="Arial" w:hAnsi="Arial"/>
          <w:sz w:val="18"/>
          <w:szCs w:val="18"/>
          <w:color w:val="auto"/>
        </w:rPr>
        <w:t>. The purpose of ASC Update No. 2016-08 is to clarify the guidance on principal versus agent considerations.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indicators that 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April 2016, the FASB issued ASC Update No. 2016-10, Revenue from Contracts with Customers (Topic 606): </w:t>
      </w:r>
      <w:r>
        <w:rPr>
          <w:rFonts w:ascii="Arial" w:cs="Arial" w:eastAsia="Arial" w:hAnsi="Arial"/>
          <w:sz w:val="18"/>
          <w:szCs w:val="18"/>
          <w:i w:val="1"/>
          <w:iCs w:val="1"/>
          <w:color w:val="auto"/>
        </w:rPr>
        <w:t>Identifying Performance Obligations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Licensing</w:t>
      </w:r>
      <w:r>
        <w:rPr>
          <w:rFonts w:ascii="Arial" w:cs="Arial" w:eastAsia="Arial" w:hAnsi="Arial"/>
          <w:sz w:val="18"/>
          <w:szCs w:val="18"/>
          <w:color w:val="auto"/>
        </w:rPr>
        <w:t>. The guidance clarifies that entities are not required to assess whether promised goods or services are performance obligations if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in the context of the contract. ASC Update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adopted Topic 606 on April 1, 2018, using the modified retrospective method. Under this method, entities recognize the cumulative effect of applying the new standard at the date of initial application with no restatement of comparative periods presented. The cumulative effect of applying the new standard resulted in an increase to opening retained earnings of $1.5 million upon adoption of Topic 606 in April 2018, primarily related to deferred revenue associated with software contracts. Software revenue accounts for approximately 8.1% and 7.5% of our total revenue for the three months ended June 30, 2018 and three months ended July 1, 2017, respectively. The new standard has been applied only to those contracts that were not completed as of March 31, 2018. The impact of adopting ASU 2014-09 was not significant to individual financial statement line items in the consolidated balance sheet and consolidated statement of (loss) income and comprehensive (loss) income.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October 2016, the FASB issued ASC Update No. 2016-16, Income Taxes (Topic 740). The guidance requires companies to recognize the income tax effects of intercompany sales and transfers of assets, other than inventory, in the income statement as income tax expense (or benefit) in the period in which the transfer occurs. We adopted ASC Update No. 2016-16 during the first quarter of fiscal 2019. The adoption of ASC Update No. 2016-16 did not have a material impact on our consolidated financial statements.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2016, the FASB issued ASC Update No. 2016-15, Statement of Cash Flow (Topic 230). The guidance reduces diversity in how certain cash receipts and cash payments are presented and classified in the consolidated statements of cash flows. We adopted ASC Update No. 2016-15 during the first quarter of fiscal 2019. The adoption of ASC Update No. 2016-15 did not have a material impact on our consolidated financial statements.</w:t>
      </w:r>
    </w:p>
    <w:p>
      <w:pPr>
        <w:spacing w:after="0" w:line="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May 2017, the FASB issued ASC Update No. 2017-09, Compensation - Stock Compensation: Scope of Modification Accounting (Topic 718). The guidance clarifies when to account for a change to the terms or conditions of a share-based payment award as a modification. We adopted ASC Update No. 2017-09 during the first quarter of fiscal 2019. The adoption of ASC Update No. 2017-09 did not have a material impact on our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fiscal 2018,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During the three months ended June 30, 2018, we incurred $3.4 million of restructuring and turnaround costs under this program. Total cumulative charges under this program are $40.0 million.</w:t>
      </w:r>
    </w:p>
    <w:p>
      <w:pPr>
        <w:spacing w:after="0" w:line="16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fiscal 2017, we launched a restructuring program (the "2017 Program") designed to reposition our organization and improve our cost structure. During the three months ended June 30, 2018, there were nominal restructuring and turnaround charges recorded under this program. During the three months ended July 1, 2017, we incurred $2.5 million of restructuring and turnaround charges under this program. The 2017 Program is substantially complete.</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activity for restructuring reserves related to the 2018 Program and the 2017 Program for the three months ended June 30, 2018, substantially all of which relates to employee severance and other employee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2018 Program</w:t>
            </w:r>
          </w:p>
        </w:tc>
        <w:tc>
          <w:tcPr>
            <w:tcW w:w="22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2017 Program</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19,777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20,256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substantial majority of restructuring costs during the three months ended June 30, 2018 and the three months ended July 1, 2017 have been included as a component of selling, general and administrative expenses in the accompanying consolidated statements of (loss) income. As of June 30, 2018, we had a restructuring liability of $20.3 million, of which $18.1 million is payable within the next twelve months.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addition to the restructuring costs included in the table above, during the three months ended June 30, 2018, we also incurred costs of $3.6 million that do not constitute restructuring under ASC 420, </w:t>
      </w:r>
      <w:r>
        <w:rPr>
          <w:rFonts w:ascii="Arial" w:cs="Arial" w:eastAsia="Arial" w:hAnsi="Arial"/>
          <w:sz w:val="18"/>
          <w:szCs w:val="18"/>
          <w:i w:val="1"/>
          <w:iCs w:val="1"/>
          <w:color w:val="auto"/>
        </w:rPr>
        <w:t>Exit and Disposal Cost Obligations,</w:t>
      </w:r>
      <w:r>
        <w:rPr>
          <w:rFonts w:ascii="Arial" w:cs="Arial" w:eastAsia="Arial" w:hAnsi="Arial"/>
          <w:sz w:val="18"/>
          <w:szCs w:val="18"/>
          <w:color w:val="auto"/>
        </w:rPr>
        <w:t xml:space="preserve"> which we refer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sectPr>
      </w:pPr>
    </w:p>
    <w:bookmarkStart w:id="7" w:name="page8"/>
    <w:bookmarkEnd w:id="7"/>
    <w:p>
      <w:pPr>
        <w:ind w:right="220"/>
        <w:spacing w:after="0" w:line="286" w:lineRule="auto"/>
        <w:rPr>
          <w:sz w:val="20"/>
          <w:szCs w:val="20"/>
          <w:color w:val="auto"/>
        </w:rPr>
      </w:pPr>
      <w:r>
        <w:rPr>
          <w:rFonts w:ascii="Arial" w:cs="Arial" w:eastAsia="Arial" w:hAnsi="Arial"/>
          <w:sz w:val="17"/>
          <w:szCs w:val="17"/>
          <w:color w:val="auto"/>
        </w:rPr>
        <w:t>as turnaround costs. These costs, substantially all of which have been included as a component of selling, general and administrative expenses in the accompanying consolidated statements of (loss) income, consist primarily of expenditures directly related to our restructuring actions and include program management, costs associated with the implementation of outsourcing initiatives and recent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Restructuring costs</w:t>
            </w:r>
          </w:p>
        </w:tc>
        <w:tc>
          <w:tcPr>
            <w:tcW w:w="3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5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2"/>
                <w:szCs w:val="22"/>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320" w:type="dxa"/>
            <w:vAlign w:val="bottom"/>
          </w:tcPr>
          <w:p>
            <w:pPr>
              <w:spacing w:after="0"/>
              <w:rPr>
                <w:sz w:val="22"/>
                <w:szCs w:val="22"/>
                <w:color w:val="auto"/>
              </w:rPr>
            </w:pPr>
          </w:p>
        </w:tc>
        <w:tc>
          <w:tcPr>
            <w:tcW w:w="1480" w:type="dxa"/>
            <w:vAlign w:val="bottom"/>
          </w:tcPr>
          <w:p>
            <w:pPr>
              <w:jc w:val="right"/>
              <w:ind w:right="453"/>
              <w:spacing w:after="0"/>
              <w:rPr>
                <w:sz w:val="20"/>
                <w:szCs w:val="20"/>
                <w:color w:val="auto"/>
              </w:rPr>
            </w:pPr>
            <w:r>
              <w:rPr>
                <w:rFonts w:ascii="Arial" w:cs="Arial" w:eastAsia="Arial" w:hAnsi="Arial"/>
                <w:sz w:val="14"/>
                <w:szCs w:val="14"/>
                <w:b w:val="1"/>
                <w:bCs w:val="1"/>
                <w:color w:val="auto"/>
              </w:rPr>
              <w:t>July 1, 2017</w:t>
            </w:r>
          </w:p>
        </w:tc>
      </w:tr>
      <w:tr>
        <w:trPr>
          <w:trHeight w:val="250"/>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Plasma</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937</w:t>
            </w:r>
          </w:p>
        </w:tc>
      </w:tr>
      <w:tr>
        <w:trPr>
          <w:trHeight w:val="27"/>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w:t>
            </w:r>
          </w:p>
        </w:tc>
      </w:tr>
      <w:tr>
        <w:trPr>
          <w:trHeight w:val="20"/>
        </w:trPr>
        <w:tc>
          <w:tcPr>
            <w:tcW w:w="7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r>
      <w:tr>
        <w:trPr>
          <w:trHeight w:val="514"/>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Turnaround costs</w:t>
            </w: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July 1, 2017</w:t>
            </w: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 Plasma</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1,269</w:t>
            </w:r>
          </w:p>
        </w:tc>
      </w:tr>
      <w:tr>
        <w:trPr>
          <w:trHeight w:val="27"/>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1,427</w:t>
            </w:r>
          </w:p>
        </w:tc>
      </w:tr>
      <w:tr>
        <w:trPr>
          <w:trHeight w:val="318"/>
        </w:trPr>
        <w:tc>
          <w:tcPr>
            <w:tcW w:w="75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r>
      <w:tr>
        <w:trPr>
          <w:trHeight w:val="25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turnaround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3,349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2,483</w:t>
            </w: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rate. Our reported tax rate of 185% for the three months ended June 30, 2018 is higher than the U.S. statutory tax rate primarily as a result of asset impairment expense of $21.2 million recorded in pretax income for which no tax benefit was recognized as a result of the valuation allowance maintained against our deferred tax assets in the impacted jurisdiction, refer to Note 8,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for additional details</w:t>
      </w:r>
      <w:r>
        <w:rPr>
          <w:rFonts w:ascii="Arial" w:cs="Arial" w:eastAsia="Arial" w:hAnsi="Arial"/>
          <w:sz w:val="16"/>
          <w:szCs w:val="16"/>
          <w:i w:val="1"/>
          <w:iCs w:val="1"/>
          <w:color w:val="auto"/>
        </w:rPr>
        <w:t>.</w:t>
      </w:r>
      <w:r>
        <w:rPr>
          <w:rFonts w:ascii="Arial" w:cs="Arial" w:eastAsia="Arial" w:hAnsi="Arial"/>
          <w:sz w:val="16"/>
          <w:szCs w:val="16"/>
          <w:color w:val="auto"/>
        </w:rPr>
        <w:t xml:space="preserve"> Our effective tax rate was also negatively impacted by the U.S. tax reform provisions related to Global Intangible Low Taxed Income that became effective in fiscal 2019.</w:t>
      </w:r>
    </w:p>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the three months ended June 30, 2018 and July 1, 2017, we reported an income tax provision of $6.1 million and $3.1 million, respectively. The change in our tax provision for the three months ended June 30, 2018 was primarily the result of an increase in the tax expense of our U.S. entity, which is impacted by the U.S. tax reform provisions discussed in more detail below, as well as changes in the jurisdictional mix of earnings and other foreign items. The income tax provision for the three months ended June 30, 2018 was primarily attributable to applying the Company’s estimated annual effective tax rate to its year-to-date consolidated income before provision for income taxes, and includes a discrete tax benefit of $1.4 million related to stock compensation windfall tax benefits. Our tax provision for the three months ended July 1, 2017 was primarily attributable to applying the Company’s estimated annual effective tax rate to its year-to-date consolidated income before provision for income taxes, and includes a discrete tax provision of $0.4 million for international items and tax reserves.</w:t>
      </w:r>
    </w:p>
    <w:p>
      <w:pPr>
        <w:spacing w:after="0" w:line="1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fiscal 2018, the Tax Cuts and Jobs Act (the "Act") was enacted in the United States. The Act reduced the U.S. federal corporate tax rate from 35% to 21%, required companies to pay a one-time transition tax on earnings of certain foreign subsidiaries that were previously tax deferred and created new taxes on certain foreign sourced earnings. In December 2017, the Securities and Exchange Commission issued Staff Accounting Bulletin No. 118, which directs taxpayers to consider the impact of the U.S. legislation as “provisional” when it does not have the necessary information available, prepared or analyzed (including computations) in reasonable detail to complete its accounting for the change in tax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had not completed our accounting for the tax effects of the enactment of the Act, however, we have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368" w:right="299" w:bottom="1440" w:gutter="0" w:footer="0" w:header="0"/>
        </w:sectPr>
      </w:pPr>
    </w:p>
    <w:bookmarkStart w:id="8" w:name="page9"/>
    <w:bookmarkEnd w:id="8"/>
    <w:p>
      <w:pPr>
        <w:ind w:right="100"/>
        <w:spacing w:after="0" w:line="312" w:lineRule="auto"/>
        <w:rPr>
          <w:sz w:val="20"/>
          <w:szCs w:val="20"/>
          <w:color w:val="auto"/>
        </w:rPr>
      </w:pPr>
      <w:r>
        <w:rPr>
          <w:rFonts w:ascii="Arial" w:cs="Arial" w:eastAsia="Arial" w:hAnsi="Arial"/>
          <w:sz w:val="16"/>
          <w:szCs w:val="16"/>
          <w:color w:val="auto"/>
        </w:rPr>
        <w:t>made a reasonable estimate of the effects on our existing deferred tax balances and the one-time transition tax. During the three months ended June 30, 2018, we recognized an immaterial adjustment to the provisional tax expense estimate recorded related to the Act. We will continue to refine our calculations as additional analysis is completed. In addition, our estimates may also be affected as we gain a more thorough understanding of the tax law.</w:t>
      </w:r>
    </w:p>
    <w:p>
      <w:pPr>
        <w:spacing w:after="0" w:line="14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have incorporated the other impacts of tax reform that became effective in fiscal 2019 including the provisions related to Global Intangible Low Taxed Income, Foreign Derived Intangible Income, Base Erosion Anti Abuse Tax, as well as other provisions which limit tax deductibility of expenses.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in a three year cumulative loss position in the U.S. and, accordingly, maintain a valuation allowance against certain U.S. deferred tax assets. Additionally, we also maintain a valuation allowance against certain other deferred tax assets primarily in Switzerland, Puerto Rico, Luxembourg and France which we have concluded are not more-likely-than-not realizable.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jc w:val="right"/>
              <w:ind w:right="754"/>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2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360" w:type="dxa"/>
            <w:vAlign w:val="bottom"/>
          </w:tcPr>
          <w:p>
            <w:pPr>
              <w:jc w:val="right"/>
              <w:ind w:right="115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20,137</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52,119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52,443</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income per share</w:t>
            </w:r>
          </w:p>
        </w:tc>
        <w:tc>
          <w:tcPr>
            <w:tcW w:w="1360" w:type="dxa"/>
            <w:vAlign w:val="bottom"/>
            <w:tcBorders>
              <w:top w:val="single" w:sz="8" w:color="auto"/>
              <w:bottom w:val="single" w:sz="8" w:color="auto"/>
            </w:tcBorders>
          </w:tcPr>
          <w:p>
            <w:pPr>
              <w:jc w:val="right"/>
              <w:ind w:right="11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tcBorders>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0.38</w:t>
            </w: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360" w:type="dxa"/>
            <w:vAlign w:val="bottom"/>
          </w:tcPr>
          <w:p>
            <w:pPr>
              <w:jc w:val="right"/>
              <w:ind w:right="115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20,137</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52,119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52,443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13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368</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52,119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52,811</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Diluted (loss) income per share</w:t>
            </w:r>
          </w:p>
        </w:tc>
        <w:tc>
          <w:tcPr>
            <w:tcW w:w="1360" w:type="dxa"/>
            <w:vAlign w:val="bottom"/>
            <w:tcBorders>
              <w:top w:val="single" w:sz="8" w:color="auto"/>
              <w:bottom w:val="single" w:sz="8" w:color="auto"/>
            </w:tcBorders>
          </w:tcPr>
          <w:p>
            <w:pPr>
              <w:jc w:val="right"/>
              <w:ind w:right="11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0.38</w:t>
            </w: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Basic earnings per share is calculated using our weighted-average outstanding common stock. Diluted earnings per share is calculated using our weighted-average outstanding common stock including the dilutive effect of stock awards as determined under the treasury stock method. For the three months ended June 30, 2018, we recognized a net loss; therefore we excluded the impact of outstanding stock awards from the diluted loss per share calculation as their inclusion would have an anti-dilutive effect. For the three months ended July 1, 2017, weighted average shares outstanding, assuming dilution, excludes the impact of 0.7 million anti-dilutive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6, 2018, we announced that our Board of Directors authorized the repurchase of up to $260 million of our outstanding common stock from time to time, based on market conditions, through March 30, 2019.</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May 2018, we completed a $100.0 million repurchase of our common stock pursuant to an accelerated share repurchase agreement ("ASR") entered into with Citibank N.A (“Citibank”) in February 2018. The total number of shares repurchased under the ASR was approximately 1.4 million at an average price per share upon final settlement of $72.51.</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entered into a new ASR with Citibank to repurchase approximately $80.0 million of the Company’s common stock. Pursuant to the terms of the ASR, in June 2018, we paid Citibank $80.0 million in cash and received an initial delivery of approximately 0.7 million shares of our common stock based on a closing market price of the Company's common stock on the New York Stock Exchange on June 5, 2018 of $95.42. This initial delivery of shares represented approximately 80% of the notional amount of the ASR. On August 1, 2018, the ASR was completed and an additional 0.2 million shares were delivered upon settlement. The total number of shares repurchased under the ASR was approximately 0.9 million at an average price per share upon final settlement of $93.83.</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August 7, 2018, the total remaining authorization for repurchases of the Company’s common stock under our share repurchase program was $80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REVENUE</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Our revenue recognition policy is to recognize revenues from product sales, software and services in accordance with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Revenue is recognized when obligations under the terms of a contract with a customer are satisfied; this occurs with the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the Company’s goods or services. We consider revenue to be earned when all of the following criteria are met: we have a contract with a customer that creates enforceable rights and obligations; promised products or services are identified; the transaction price, or the consideration we expect to receive for transferring goods or providing services, is determinable and we have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June 30, 2018, the Company had $19.8 million of its transaction price allocated to remaining performance obligations related to executed contracts with an original duration of one year or more. The Company expects to recognize approximately 56% of this amount as revenue within the next twelve months and the remaining balance thereafter.</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adopted the new standard as of April 1, 2018, using the modified retrospective method. Under this method, entities recognize the cumulative effect of applying the new standard at the date of initial application with no restatement of comparative periods presented. The cumulative effect of applying the new standard resulted in an increase to opening retained earnings of $1.5 million upon adoption of Topic 606 on April 1, 2018, primarily related to deferred revenue associated with software revenue. The new standard has been applied only to those contracts that were not completed as of March 31, 2018.</w:t>
      </w:r>
    </w:p>
    <w:p>
      <w:pPr>
        <w:spacing w:after="0" w:line="15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impact of adopting was not significant to individual financial statement line items in the consolidated balance sheet as of June 30, 2018 or in the consolidated statements of (loss) income and comprehensive (loss) income for the three months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majority of the Company’s performance obligations related to product sales are satisfied at a point in time. Product sales consist of the sale of our disposable blood component collection and processing sets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product sales to distributors, we recognize revenue for both equipment and disposables upon shipment to distributors, which is when our performance obligations are complete. Our standard contracts with our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also place equipment at customer sites. While we retain ownership of this equipment, the customer has the right to use it for a period of time provided they meet certain agreed to conditions. We recover the cost of providing the equipment from the sale of our disposables.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and Other Revenues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a lesser extent, the Company enters into other types of contracts including certain software licensing arrangements to provide software solutions to support our plasma, blood collection and hospital customers. A significant portion of our software sales are perpetual licenses typically accompanied by significant implementation services related to software customization as well as other professional and technical services. We generally recognize revenue from the sale of perpetual licenses and related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right="20"/>
        <w:spacing w:after="0" w:line="290" w:lineRule="auto"/>
        <w:rPr>
          <w:sz w:val="20"/>
          <w:szCs w:val="20"/>
          <w:color w:val="auto"/>
        </w:rPr>
      </w:pPr>
      <w:r>
        <w:rPr>
          <w:rFonts w:ascii="Arial" w:cs="Arial" w:eastAsia="Arial" w:hAnsi="Arial"/>
          <w:sz w:val="16"/>
          <w:szCs w:val="16"/>
          <w:color w:val="auto"/>
        </w:rPr>
        <w:t>customization services over time (the Company is creating or enhancing an asset that the customer controls) using an input method which requires us to make estimates of the extent of progress toward completion of the contract. When we provide other services, including in some instances hosting, technical support and maintenance, we recognize these fees and charges over time (the customer simultaneously receives and consumes benefits), as performance obligations for these services are satisfied during the contract period. Certain of our software licensing arrangements are term-based licenses that include a per-collection or a usage-based fee related to the use of the license and the related technical support and hosting services. For these usage-based arrangements, we apply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Revenues from product sales are recorded at the net sales price, which includes estimates of variable consideration related to rebates, product returns and volume discounts. These reserves are based on estimates of the amounts earned or to be claimed on the related sales. Management's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sheets. The difference in timing between billing and revenue recognition primarily occurs in software licensing arrangements, resulting in contract assets and contract liabilities.</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of June 30, 2018 and April 1, 2018, the Company had contract assets of $4.0 million and $2.7 million, respectively. The change is primarily due to the delay in billings compared to the revenue recognized. Contract assets are classified as other current assets and other long-term assets on the consolidated balance sheet.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June 30, 2018 and April 1, 2018, the Company had contract liabilities of $17.3 million and $16.6 million, respectively. During the three months ended June 30, 2018, we recognized $7.4 million of revenue that was included in the above April 1, 2018 contract liability balance. Contract liabilities are classified as other current liabilities and other long-term liabilities on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6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(1)</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52,997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12,474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10,774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113,418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97,028</w:t>
            </w:r>
          </w:p>
        </w:tc>
      </w:tr>
      <w:tr>
        <w:trPr>
          <w:trHeight w:val="25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175,329</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160,799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8890</wp:posOffset>
            </wp:positionV>
            <wp:extent cx="2092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We have corrected the classification of inventory in the prior period. This correction did not change total inventories and did not have a financial statement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-98425</wp:posOffset>
            </wp:positionV>
            <wp:extent cx="2092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1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part of our acquisition of the whole blood business from Pall Corporation (“Pall”) in fiscal 2012, Pall agreed to manufacture and install in one of our facilities a filter media manufacturing line (the “HDC line”) for which we agreed to pay Pall approximately $15.0 million (plus pre-approved overages). Pall also agreed to supply media to us for use in leukoreduction filters until such time as we accepted the HDC line.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May 2018, we entered into a long-term supply agreement with Pall under which Pall will continue to supply media to us for use in leukoreduction filters.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condition of the supply agreement, we agreed to accept the HDC line and to make a final payment of $9.0 million to Pall for the HDC line.</w:t>
      </w:r>
    </w:p>
    <w:p>
      <w:pPr>
        <w:spacing w:after="0" w:line="116"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As a result of the decision to continue to source media for our leukoreduction filters from Pall rather than producing them internally, we do not expect to utilize the HDC line for future production and expect that the asset’s future cash flows will not be sufficient to recover its carrying value of $19.8 million. Accordingly, during the first quarter of fiscal 2019 we recorded $19.8 million of impairment charges for the HDC line.</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also impaired $1.4 million of property, plant and equipment as a result of our review of non-core and underperforming assets and our decision to discontinue the use of or investment in certain assets. This impairment, as well as the impairment of the HDC line, were included within cost of goods sold on the consolidated statements of (loss) income and impacted the All Other reporting segment.</w:t>
      </w:r>
    </w:p>
    <w:p>
      <w:pPr>
        <w:spacing w:after="0" w:line="8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Additionally, we have changed the estimated useful lives of our PCS2 devices as these will be replaced by the NexSys PCS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which we began placing during the second quarter of fiscal 2019. During the three months ended June 30, 2018, we incurred $3.9 million of depreciation expense related to this change in estimate.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CAPITALIZATION OF SOFTWARE DEVELOPMENT COSTS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capitalized $0.7 million and $3.1 million in software development costs for ongoing initiatives during the three months ended June 30, 2018 and July 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2017, respectively. At June 30, 2018 and March 31, 2018, we had a total of $72.5 million and $71.8 million of capitalized software costs, respectively,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$7.8 million and $17.7 million are related to in-process software development initiatives. During the three months ended June 30, 2018, there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$10.6 million capitalized costs placed into service. We did not place any capitalized costs into service during the three months ended July 1, 2017. The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for each project are included in intangible assets in the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10.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July 1,</w:t>
            </w:r>
          </w:p>
        </w:tc>
        <w:tc>
          <w:tcPr>
            <w:tcW w:w="520" w:type="dxa"/>
            <w:vAlign w:val="bottom"/>
          </w:tcPr>
          <w:p>
            <w:pPr>
              <w:spacing w:after="0"/>
              <w:rPr>
                <w:sz w:val="13"/>
                <w:szCs w:val="13"/>
                <w:color w:val="auto"/>
              </w:rPr>
            </w:pP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110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110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June 15, 2018, we entered into a credit agreement with certain lenders which provided for a $350.0 million term loan ("Term Loan") and a $350.0 million revolving loan ("Revolving Credit Facility" and together with the Term Loan, the "Credit Facilities"). The Credit Facilities expire on June 15, 2023. Interest on the Credit Facilities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A portion of the net proceeds of $347.8 million was used to pay down the $253.7 million remaining outstanding balance on our 2012 credit agreement, as amended in fiscal 2014. The remainder of the proceeds are available to be used to support the launch of our NexSys PCS device and for general corporate purposes. At June 30, 2018, $350.0 million was outstanding under the Term Loan with an effective interest rate of 3.625% and no amount was outstanding on the Revolving Credit Facility. We also have $44.1 million of uncommitted operating lines of credit to fund our global operations under which there are no outstanding borrowings as of June 30, 2018.</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required scheduled principal payments of $13.1 million during fiscal 2019, $17.5 million during fiscal 2020, $17.5 million during fiscal 2021, $17.5 million during fiscal 2022, and $214.4 million during fiscal 2023.</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were in compliance with the leverage and interest coverage ratios specified in the credit agreement as well as all other bank covenants as of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FAIR VALUE MEASUREMENTS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manufacture, market and sell our products globally. During the three months ended June 30, 2018, 38.0% of our sales were generated outside the U.S., generally in foreign currencies. We also incur certain manufacturing, marketing and selling costs in international markets in local currency.</w:t>
      </w:r>
    </w:p>
    <w:p>
      <w:pPr>
        <w:spacing w:after="0" w:line="14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All of our designated foreign currency hedge contracts as of June 30, 2018 and March 31, 2018 were cash flow hedges under ASC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("ASC 815"). We record the effective portion of any change in the fair value of designated foreign currency hedge contracts in other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$79.0 million as of June 30, 2018 and $86.0 million as of March 31, 2018. At June 30, 2018, gains of $1.2 million, net of tax, will be reclassified to earnings within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next twelve months. Substantially all currency cash flow hedges outstanding as of June 30, 2018 mature within twelve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We had non-designated foreign currency hedge contracts under ASC 815 outstanding in the contract amount of $39.3 million as of June 30, 2018 and $36.3 million as of March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815 in our consolidated statements of (loss) income and comprehensive (loss) income for the three months ended June 30, 2018: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vMerge w:val="restart"/>
          </w:tcPr>
          <w:p>
            <w:pPr>
              <w:jc w:val="center"/>
              <w:ind w:right="60"/>
              <w:spacing w:after="0"/>
              <w:rPr>
                <w:sz w:val="20"/>
                <w:szCs w:val="20"/>
                <w:color w:val="auto"/>
              </w:rPr>
            </w:pPr>
            <w:r>
              <w:rPr>
                <w:rFonts w:ascii="Arial" w:cs="Arial" w:eastAsia="Arial" w:hAnsi="Arial"/>
                <w:sz w:val="14"/>
                <w:szCs w:val="14"/>
                <w:color w:val="auto"/>
                <w:w w:val="97"/>
              </w:rPr>
              <w:t>Amount of (Loss) Gain</w:t>
            </w:r>
          </w:p>
        </w:tc>
        <w:tc>
          <w:tcPr>
            <w:tcW w:w="220" w:type="dxa"/>
            <w:vAlign w:val="bottom"/>
          </w:tcPr>
          <w:p>
            <w:pPr>
              <w:spacing w:after="0"/>
              <w:rPr>
                <w:sz w:val="14"/>
                <w:szCs w:val="14"/>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color w:val="auto"/>
                <w:w w:val="97"/>
              </w:rPr>
              <w:t>Amount of (Loss) Gain</w:t>
            </w:r>
          </w:p>
        </w:tc>
        <w:tc>
          <w:tcPr>
            <w:tcW w:w="2020" w:type="dxa"/>
            <w:vAlign w:val="bottom"/>
          </w:tcPr>
          <w:p>
            <w:pPr>
              <w:jc w:val="center"/>
              <w:spacing w:after="0"/>
              <w:rPr>
                <w:sz w:val="20"/>
                <w:szCs w:val="20"/>
                <w:color w:val="auto"/>
              </w:rPr>
            </w:pPr>
            <w:r>
              <w:rPr>
                <w:rFonts w:ascii="Arial" w:cs="Arial" w:eastAsia="Arial" w:hAnsi="Arial"/>
                <w:sz w:val="14"/>
                <w:szCs w:val="14"/>
                <w:color w:val="auto"/>
                <w:w w:val="97"/>
              </w:rPr>
              <w:t>Location in</w:t>
            </w:r>
          </w:p>
        </w:tc>
        <w:tc>
          <w:tcPr>
            <w:tcW w:w="240" w:type="dxa"/>
            <w:vAlign w:val="bottom"/>
          </w:tcPr>
          <w:p>
            <w:pPr>
              <w:spacing w:after="0"/>
              <w:rPr>
                <w:sz w:val="14"/>
                <w:szCs w:val="14"/>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color w:val="auto"/>
                <w:w w:val="96"/>
              </w:rPr>
              <w:t>Amount of Gain</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vMerge w:val="restart"/>
          </w:tcPr>
          <w:p>
            <w:pPr>
              <w:jc w:val="center"/>
              <w:ind w:right="79"/>
              <w:spacing w:after="0" w:line="149" w:lineRule="exact"/>
              <w:rPr>
                <w:sz w:val="20"/>
                <w:szCs w:val="20"/>
                <w:color w:val="auto"/>
              </w:rPr>
            </w:pPr>
            <w:r>
              <w:rPr>
                <w:rFonts w:ascii="Arial" w:cs="Arial" w:eastAsia="Arial" w:hAnsi="Arial"/>
                <w:sz w:val="14"/>
                <w:szCs w:val="14"/>
                <w:color w:val="auto"/>
                <w:w w:val="95"/>
              </w:rPr>
              <w:t>Reclassified</w:t>
            </w: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vMerge w:val="restart"/>
          </w:tcPr>
          <w:p>
            <w:pPr>
              <w:jc w:val="center"/>
              <w:ind w:right="60"/>
              <w:spacing w:after="0" w:line="149" w:lineRule="exact"/>
              <w:rPr>
                <w:sz w:val="20"/>
                <w:szCs w:val="20"/>
                <w:color w:val="auto"/>
              </w:rPr>
            </w:pPr>
            <w:r>
              <w:rPr>
                <w:rFonts w:ascii="Arial" w:cs="Arial" w:eastAsia="Arial" w:hAnsi="Arial"/>
                <w:sz w:val="14"/>
                <w:szCs w:val="14"/>
                <w:color w:val="auto"/>
                <w:w w:val="91"/>
              </w:rPr>
              <w:t>Recognized</w:t>
            </w: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5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5"/>
              </w:rPr>
              <w:t>(Loss) Excluded from</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(Loss)</w:t>
            </w:r>
          </w:p>
        </w:tc>
        <w:tc>
          <w:tcPr>
            <w:tcW w:w="1500" w:type="dxa"/>
            <w:vAlign w:val="bottom"/>
            <w:gridSpan w:val="2"/>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7"/>
              </w:rPr>
              <w:t>(Loss)</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vMerge w:val="restart"/>
          </w:tcPr>
          <w:p>
            <w:pPr>
              <w:jc w:val="center"/>
              <w:ind w:right="60"/>
              <w:spacing w:after="0" w:line="149" w:lineRule="exact"/>
              <w:rPr>
                <w:sz w:val="20"/>
                <w:szCs w:val="20"/>
                <w:color w:val="auto"/>
              </w:rPr>
            </w:pPr>
            <w:r>
              <w:rPr>
                <w:rFonts w:ascii="Arial" w:cs="Arial" w:eastAsia="Arial" w:hAnsi="Arial"/>
                <w:sz w:val="14"/>
                <w:szCs w:val="14"/>
                <w:color w:val="auto"/>
                <w:w w:val="95"/>
              </w:rPr>
              <w:t>in Accumulated Other</w:t>
            </w:r>
          </w:p>
        </w:tc>
        <w:tc>
          <w:tcPr>
            <w:tcW w:w="1740" w:type="dxa"/>
            <w:vAlign w:val="bottom"/>
            <w:gridSpan w:val="2"/>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vMerge w:val="restart"/>
          </w:tcPr>
          <w:p>
            <w:pPr>
              <w:jc w:val="center"/>
              <w:ind w:right="119"/>
              <w:spacing w:after="0" w:line="149" w:lineRule="exact"/>
              <w:rPr>
                <w:sz w:val="20"/>
                <w:szCs w:val="20"/>
                <w:color w:val="auto"/>
              </w:rPr>
            </w:pPr>
            <w:r>
              <w:rPr>
                <w:rFonts w:ascii="Arial" w:cs="Arial" w:eastAsia="Arial" w:hAnsi="Arial"/>
                <w:sz w:val="14"/>
                <w:szCs w:val="14"/>
                <w:color w:val="auto"/>
                <w:w w:val="93"/>
              </w:rPr>
              <w:t>Effectiveness</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vMerge w:val="restart"/>
          </w:tcPr>
          <w:p>
            <w:pPr>
              <w:jc w:val="center"/>
              <w:ind w:right="60"/>
              <w:spacing w:after="0"/>
              <w:rPr>
                <w:sz w:val="20"/>
                <w:szCs w:val="20"/>
                <w:color w:val="auto"/>
              </w:rPr>
            </w:pPr>
            <w:r>
              <w:rPr>
                <w:rFonts w:ascii="Arial" w:cs="Arial" w:eastAsia="Arial" w:hAnsi="Arial"/>
                <w:sz w:val="14"/>
                <w:szCs w:val="14"/>
                <w:color w:val="auto"/>
                <w:w w:val="91"/>
              </w:rPr>
              <w:t>Comprehensive Loss</w:t>
            </w:r>
          </w:p>
        </w:tc>
        <w:tc>
          <w:tcPr>
            <w:tcW w:w="1740" w:type="dxa"/>
            <w:vAlign w:val="bottom"/>
            <w:gridSpan w:val="2"/>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color w:val="auto"/>
                <w:w w:val="91"/>
              </w:rPr>
              <w:t>Testing</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color w:val="auto"/>
                <w:w w:val="94"/>
              </w:rPr>
              <w:t>Earnings</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2"/>
              </w:rPr>
              <w:t>(Loss) Income</w:t>
            </w:r>
          </w:p>
        </w:tc>
        <w:tc>
          <w:tcPr>
            <w:tcW w:w="2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color w:val="auto"/>
                <w:w w:val="92"/>
              </w:rPr>
              <w:t>(Loss) Income</w:t>
            </w: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Net revenues, COGS and</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(858)</w:t>
            </w:r>
          </w:p>
        </w:tc>
        <w:tc>
          <w:tcPr>
            <w:tcW w:w="2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SG&amp;A</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424</w:t>
            </w:r>
          </w:p>
        </w:tc>
        <w:tc>
          <w:tcPr>
            <w:tcW w:w="1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4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9"/>
              <w:spacing w:after="0"/>
              <w:rPr>
                <w:sz w:val="20"/>
                <w:szCs w:val="20"/>
                <w:color w:val="auto"/>
              </w:rPr>
            </w:pPr>
            <w:r>
              <w:rPr>
                <w:rFonts w:ascii="Arial" w:cs="Arial" w:eastAsia="Arial" w:hAnsi="Arial"/>
                <w:sz w:val="18"/>
                <w:szCs w:val="18"/>
                <w:color w:val="auto"/>
              </w:rPr>
              <w:t>921</w:t>
            </w:r>
          </w:p>
        </w:tc>
        <w:tc>
          <w:tcPr>
            <w:tcW w:w="1880" w:type="dxa"/>
            <w:vAlign w:val="bottom"/>
          </w:tcPr>
          <w:p>
            <w:pPr>
              <w:ind w:left="8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June 30, 2018 or March 31, 2018. As of June 30, 2018, no deferred tax assets were recognized for designated foreign currency hedges.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We determine the fair value of our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30, 2018,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June 30, 2018 and March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2"/>
            <w:vMerge w:val="restart"/>
          </w:tcPr>
          <w:p>
            <w:pPr>
              <w:ind w:left="920"/>
              <w:spacing w:after="0"/>
              <w:rPr>
                <w:sz w:val="20"/>
                <w:szCs w:val="20"/>
                <w:color w:val="auto"/>
              </w:rPr>
            </w:pPr>
            <w:r>
              <w:rPr>
                <w:rFonts w:ascii="Arial" w:cs="Arial" w:eastAsia="Arial" w:hAnsi="Arial"/>
                <w:sz w:val="14"/>
                <w:szCs w:val="14"/>
                <w:color w:val="auto"/>
              </w:rPr>
              <w:t>Location in</w:t>
            </w: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8"/>
        </w:trPr>
        <w:tc>
          <w:tcPr>
            <w:tcW w:w="4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2018</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88"/>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Balance Sheet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1,620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11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1,638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1,104</w:t>
            </w:r>
          </w:p>
        </w:tc>
        <w:tc>
          <w:tcPr>
            <w:tcW w:w="0" w:type="dxa"/>
            <w:vAlign w:val="bottom"/>
          </w:tcPr>
          <w:p>
            <w:pPr>
              <w:spacing w:after="0"/>
              <w:rPr>
                <w:sz w:val="1"/>
                <w:szCs w:val="1"/>
                <w:color w:val="auto"/>
              </w:rPr>
            </w:pPr>
          </w:p>
        </w:tc>
      </w:tr>
      <w:tr>
        <w:trPr>
          <w:trHeight w:val="67"/>
        </w:trPr>
        <w:tc>
          <w:tcPr>
            <w:tcW w:w="46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11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738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94"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1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125"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June 30, 2018 and March 31,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June 30, 2018</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76,408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76,408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76,408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78,046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738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gridSpan w:val="6"/>
            <w:shd w:val="clear" w:color="auto" w:fill="CCEEFF"/>
          </w:tcPr>
          <w:p>
            <w:pPr>
              <w:jc w:val="center"/>
              <w:ind w:right="50"/>
              <w:spacing w:after="0"/>
              <w:rPr>
                <w:sz w:val="20"/>
                <w:szCs w:val="20"/>
                <w:color w:val="auto"/>
              </w:rPr>
            </w:pPr>
            <w:r>
              <w:rPr>
                <w:rFonts w:ascii="Arial" w:cs="Arial" w:eastAsia="Arial" w:hAnsi="Arial"/>
                <w:sz w:val="14"/>
                <w:szCs w:val="14"/>
                <w:b w:val="1"/>
                <w:bCs w:val="1"/>
                <w:color w:val="auto"/>
                <w:w w:val="93"/>
              </w:rPr>
              <w:t>As of March 31, 2018</w:t>
            </w: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22"/>
                <w:szCs w:val="22"/>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75,450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75,450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75,450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1,104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76,554</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1,583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1,583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Company is a party to various other legal proceedings and claims arising out of the ordinary course of its business. We believe that except for those matters described below, there are no other proceedings or claims pending against us the ultimate resolution of which could have a material adverse effect on our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March 2018, we issued a voluntary recall of specific lots of our Acrodose Plus and PL Systems sold to our Blood Center customers in the U.S. The recall resulted from reports of low pH readings for platelets stored in the CLX HP bag and, in some instances, an accompanying yellow discoloration of the storage bag. For a period of nine weeks, we were unable to provide our customers with our Acrodose Plus and PL Systems. As a result of the recall, our Blood Center customers may have discarded collected platelets and incurred other damages. As of June 30, 2018, we have recorded cumulative charges of $1.7 million associated with this recall. We have recorded a total of $1.0 million of charges associated with customer returns and inventory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ind w:right="40"/>
        <w:spacing w:after="0" w:line="277" w:lineRule="auto"/>
        <w:rPr>
          <w:sz w:val="20"/>
          <w:szCs w:val="20"/>
          <w:color w:val="auto"/>
        </w:rPr>
      </w:pPr>
      <w:r>
        <w:rPr>
          <w:rFonts w:ascii="Arial" w:cs="Arial" w:eastAsia="Arial" w:hAnsi="Arial"/>
          <w:sz w:val="18"/>
          <w:szCs w:val="18"/>
          <w:color w:val="auto"/>
        </w:rPr>
        <w:t>reserves. We also recorded $0.7 million of charges associated with customer claims during the first quarter of fiscal 2019. We may record incremental charges for customer claims in future periods associated with this recall.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135"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unit. We aggregate components within an operating segment that have similar economic characteristics.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aggregated the Americas Blood Center and Hospital and Asia - Pacific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accelerated depreciation and certain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first quarter of fiscal 2019, management reorganized its operating segments such that certain immaterial components of EMEA are now reported as components of All Other. Accordingly, the prior year numbers have been updated to reflect this reclassification as well as other changes within the cost reporting structure that occurred in the first quarter of fiscal 2019. These changes did not have an impact on our ability to aggregate Americas Blood Center and Hospital with Asia - Pacific.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jc w:val="right"/>
              <w:ind w:right="754"/>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44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40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Japan</w:t>
            </w:r>
          </w:p>
        </w:tc>
        <w:tc>
          <w:tcPr>
            <w:tcW w:w="406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16,604</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41,288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40,439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2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91,574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77,536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7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79,812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80,743</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revenues before foreign exchange impact</w:t>
            </w:r>
          </w:p>
        </w:tc>
        <w:tc>
          <w:tcPr>
            <w:tcW w:w="274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229,278</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213,950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27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74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229,347</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210,951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740" w:type="dxa"/>
            <w:vAlign w:val="bottom"/>
            <w:vMerge w:val="restart"/>
          </w:tcPr>
          <w:p>
            <w:pPr>
              <w:jc w:val="right"/>
              <w:ind w:right="1316"/>
              <w:spacing w:after="0"/>
              <w:rPr>
                <w:sz w:val="20"/>
                <w:szCs w:val="20"/>
                <w:color w:val="auto"/>
              </w:rPr>
            </w:pPr>
            <w:r>
              <w:rPr>
                <w:rFonts w:ascii="Arial" w:cs="Arial" w:eastAsia="Arial" w:hAnsi="Arial"/>
                <w:sz w:val="18"/>
                <w:szCs w:val="18"/>
                <w:color w:val="auto"/>
              </w:rPr>
              <w:t>17</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13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jc w:val="right"/>
              <w:ind w:right="752"/>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Japan</w:t>
            </w:r>
          </w:p>
        </w:tc>
        <w:tc>
          <w:tcPr>
            <w:tcW w:w="1340" w:type="dxa"/>
            <w:vAlign w:val="bottom"/>
          </w:tcPr>
          <w:p>
            <w:pPr>
              <w:jc w:val="right"/>
              <w:ind w:right="113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7,467</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10,498</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3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38,596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27,200</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30,671</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91,944</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75,836</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operating expenses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(54,273)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(48,050)</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Effect of exchange rates</w:t>
            </w:r>
          </w:p>
        </w:tc>
        <w:tc>
          <w:tcPr>
            <w:tcW w:w="13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(2,201)</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turnaround costs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Deal amortization</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(6,491)</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(21,170)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Accelerated depreciation</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charges</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34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5,293</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16,611</w:t>
            </w: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products are organized into three categories for purposes of evaluating their growth potential: Plasma, Blood Center and Hospital. Management reviews revenue trends based on these business units; however, no other financial information is currently available on this basis.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business unit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1320" w:type="dxa"/>
            <w:vAlign w:val="bottom"/>
          </w:tcPr>
          <w:p>
            <w:pPr>
              <w:jc w:val="center"/>
              <w:ind w:left="639"/>
              <w:spacing w:after="0" w:line="153" w:lineRule="exact"/>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jc w:val="center"/>
              <w:ind w:right="655"/>
              <w:spacing w:after="0" w:line="153" w:lineRule="exact"/>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auto"/>
            </w:tcBorders>
          </w:tcPr>
          <w:p>
            <w:pPr>
              <w:jc w:val="center"/>
              <w:ind w:left="659"/>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3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116,903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101,507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1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64,483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65,565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47,961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43,879</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32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229,347</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210,951</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w w:val="97"/>
              </w:rPr>
              <w:t>Net revenues generated in our principle operating regions on a reported basis are as follows:</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1320" w:type="dxa"/>
            <w:vAlign w:val="bottom"/>
          </w:tcPr>
          <w:p>
            <w:pPr>
              <w:jc w:val="center"/>
              <w:ind w:left="639"/>
              <w:spacing w:after="0" w:line="153" w:lineRule="exact"/>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jc w:val="center"/>
              <w:ind w:right="655"/>
              <w:spacing w:after="0" w:line="153" w:lineRule="exact"/>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auto"/>
            </w:tcBorders>
          </w:tcPr>
          <w:p>
            <w:pPr>
              <w:jc w:val="center"/>
              <w:ind w:left="659"/>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3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142,140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131,052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Japan</w:t>
            </w:r>
          </w:p>
        </w:tc>
        <w:tc>
          <w:tcPr>
            <w:tcW w:w="1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39,002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37,222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Asia</w:t>
            </w:r>
          </w:p>
        </w:tc>
        <w:tc>
          <w:tcPr>
            <w:tcW w:w="1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29,395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25,940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32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229,347</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210,951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March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(18,991)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w w:val="94"/>
              </w:rPr>
              <w:t>Other comprehensive income (loss) before reclassifications</w:t>
            </w:r>
            <w:r>
              <w:rPr>
                <w:rFonts w:ascii="Arial" w:cs="Arial" w:eastAsia="Arial" w:hAnsi="Arial"/>
                <w:sz w:val="25"/>
                <w:szCs w:val="25"/>
                <w:color w:val="auto"/>
                <w:w w:val="94"/>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Annual Report on Form 10-K for the year ended March 31, 2018. The following discussion may contain forward-looking statements and should be read in conjunction with the “Cautionary Statement Regarding Forward-Looking Information” in this discussion.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commercial plasma collection, hospital-based diagnostics, blood and blood component collection and devices and software products. When used in this report, the terms “we,” “us,” “our” and “the Company” mean Haemonetics.</w:t>
      </w:r>
    </w:p>
    <w:p>
      <w:pPr>
        <w:spacing w:after="0" w:line="9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Blood is essential to a modern healthcare system. 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w:t>
      </w:r>
    </w:p>
    <w:p>
      <w:pPr>
        <w:spacing w:after="0" w:line="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Haemonetics develops and markets a wide range of devices and solutions to serve our customers. We provide plasma collection systems and software that enable the collection of plasma used by fractionators to make life saving pharmaceuticals. We provide analytical devices for measuring hemostasis that enable healthcare providers to better manage their patients’ bleeding risk. Haemonetics makes blood processing systems and software that make blood donation more efficient and track life giving blood components. Finally, Haemonetics supplies systems and software that facilitate blood transfusions and cell processing.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products are organized into three categories for purposes of evaluating and developing their growth potential: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"Hospital" which is comprised of Hemostasis Management and Cell Processing products including devices and methodologies for measuring coagulation characteristics of blood, surgical blood salvage systems, specialized blood cell processing systems, disposables and blood transfusion management software.</w:t>
      </w:r>
    </w:p>
    <w:p>
      <w:pPr>
        <w:spacing w:after="0" w:line="9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believe that Plasma and Hospital have the greatest growth potential, while Blood Center competes in challenging markets which require us to manage the business differently, including reducing costs, shrinking the scope of the current product line, and evaluating opportunities to exit unfavorable customer contracts. We are progressing toward a streamlined operating model with a management and cost structure that can bring about sustainable productivity improvement across the organization. Overall implementation of our new operating model began in fiscal 2017 and will continue into fiscal 2019 and beyond.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and Repayment</w:t>
      </w:r>
    </w:p>
    <w:p>
      <w:pPr>
        <w:spacing w:after="0" w:line="13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On June 15, 2018, we entered into a credit agreement with certain lenders which provided for a $350.0 million term loan ("Term Loan") and a $350.0 million revolving loan ("Revolving Credit Facility" and together with the Term Loan, the "Credit Facilities"). The Credit Facilities expire on June 15, 2023. Interest on the Credit Facilities is established using LIBOR plus 1.13% - 1.75%, depending on our leverage ratio. A portion of the net proceeds of $347.8 million was used to pay down the $253.7 million remaining outstanding balance on our 2012 credit agreement, as amended in fiscal 2014. The remainder of the proceeds are available to be used to support the launch of our NexSys PCS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device and for general corporate purposes. At June 30, 2018, $350.0 million was outstanding under the Term Loan with an effective interest rate of 3.625% and no amount was outstanding on the Revolving Credit Facility.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2018, we announced that our Board of Directors authorized the repurchase of up to $260 million of our outstanding common stock through March 30, 2019. In May 2018, we completed a $100.0 million repurchase of our common stock pursuant to an accelerated share repurchase agreement ("ASR") entered into with Citibank N.A (“Citibank”) in February 2018. The total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repurchased under the ASR was approximately 1.4 million at an average price per share upon final settlement of $72.51.</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entered into a new ASR with Citibank to repurchase approximately $80.0 million of the Company’s common stock. Pursuant to the terms of the ASR, in June 2018, we paid Citibank $80.0 million in cash and received an initial delivery of approximately 0.7 million shares of our common stock based on a closing market price of the Company's common stock on the New York Stock Exchange on June 5, 2018 of $95.42. This initial delivery of shares represented approximately 80% of the notional amount of the ASR. On August 1, 2018, the ASR was completed and an additional 0.2 million shares were delivered upon settlement. The total number of shares repurchased under the ASR was approximately 0.9 million at an average price per share upon final settlement of $93.83.</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August 7, 2018, the total remaining authorization for repurchases of the Company’s common stock under our share repurchase program was $80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Supply Agreement</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part of our acquisition of the whole blood business from Pall Corporation (“Pall”) in fiscal 2012, Pall agreed to manufacture and install in one of our facilities a filter media manufacturing line (the “HDC line”) for which we agreed to pay Pall approximately $15.0 million (plus pre-approved overages). Pall also agreed to supply media to us for use in leukoreduction filters until such time as we accepted the HDC line.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May 2018, we entered into a long-term supply agreement with Pall under which Pall will continue to supply media to us for use in leukoreduction filters.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condition of the supply agreement, we agreed to accept the HDC line and to make a final payment of $9.0 million to Pall for the HDC line.</w:t>
      </w:r>
    </w:p>
    <w:p>
      <w:pPr>
        <w:spacing w:after="0" w:line="116"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As a result of the decision to continue to source media for our leukoreduction filters from Pall rather than producing them internally, we do not expect to utilize the HDC line for future production and expect that the asset’s future cash flows will not be sufficient to recover its carrying value of $19.8 million. Accordingly, during the first quarter of fiscal 2019 we recorded $19.8 million of impairment charges for the HDC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2018, we issued a voluntary recall of specific lots of our Acrodose Plus and PL Systems sold to our Blood Center customers in the U.S. The recall resulted from reports of low pH readings for platelets stored in the CLX HP bag and, in some instances, an accompanying yellow discoloration of the storage bag. For a period of nine weeks, we were unable to provide our customers with our Acrodose Plus and PL Systems. As a result of the recall, our Blood Center customers may have discarded collected platelets and incurred other damages. As of June 30, 2018, we have recorded cumulative charges of $1.7 million associated with this recall. We have recorded a total of $1.0 million of charges associated with customer returns and inventory reserves. We also recorded $0.7 million of charges associated with customer claims during the first quarter of fiscal 2019. We may record incremental charges for customer claims in future periods associated with this recall.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NexSys PCS and NexLynk</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July 2017, we received FDA 510(k) clearance for our NexSys PCS plasmapheresis system. We have begun production of the devices and expect to pursue further regulatory clearances for additional enhancements to the overall product offering.</w:t>
      </w:r>
    </w:p>
    <w:p>
      <w:pPr>
        <w:spacing w:after="0" w:line="7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planned roll out of this new platform includes the placement of a significant number of new devices. Such placements will require meaningful capital expenditures and new customer contracts that reflect pricing and volumes appropriate to these investments. As of June 30, 2018, approximately 21,000 of our Haemonetics owned PCS2 devices are placed with customers. Subsequent to the first quarter of fiscal 2019, we entered into several long-term commercial contracts and began rollout with Plasma customers for the delivery of NexSys PCS devices and NexLynk DMS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donor management software.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Initiative</w:t>
      </w:r>
    </w:p>
    <w:p>
      <w:pPr>
        <w:spacing w:after="0" w:line="1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fiscal 2018, we launched a Complexity Reduction Initiative (the "2018 Program"), a company-wide restructuring program designed to improve operational performance and reduce cost, freeing up resources to invest in accelerated growth. This program includes a reduction of headcount and operating costs which will enable a more streamlined organizational structure. We expect to incur aggregate charges between $50 million and $60 million associated with these actions,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We expect savings from this program of approximately $80 million on an annualized basis once the program 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1260"/>
        <w:spacing w:after="0" w:line="410" w:lineRule="auto"/>
        <w:rPr>
          <w:sz w:val="20"/>
          <w:szCs w:val="20"/>
          <w:color w:val="auto"/>
        </w:rPr>
      </w:pPr>
      <w:r>
        <w:rPr>
          <w:rFonts w:ascii="Arial" w:cs="Arial" w:eastAsia="Arial" w:hAnsi="Arial"/>
          <w:sz w:val="18"/>
          <w:szCs w:val="18"/>
          <w:color w:val="auto"/>
        </w:rPr>
        <w:t xml:space="preserve">completed. During the three months ended June 30, 2018, we incurred $3.4 million of restructuring and turnaround costs under this program. </w:t>
      </w:r>
      <w:r>
        <w:rPr>
          <w:rFonts w:ascii="Arial" w:cs="Arial" w:eastAsia="Arial" w:hAnsi="Arial"/>
          <w:sz w:val="18"/>
          <w:szCs w:val="18"/>
          <w:b w:val="1"/>
          <w:bCs w:val="1"/>
          <w:color w:val="auto"/>
        </w:rPr>
        <w:t>Financial Summary</w:t>
      </w: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860" w:type="dxa"/>
            <w:vAlign w:val="bottom"/>
            <w:gridSpan w:val="2"/>
          </w:tcPr>
          <w:p>
            <w:pPr>
              <w:ind w:left="540"/>
              <w:spacing w:after="0" w:line="153" w:lineRule="exact"/>
              <w:rPr>
                <w:sz w:val="20"/>
                <w:szCs w:val="20"/>
                <w:color w:val="auto"/>
              </w:rPr>
            </w:pPr>
            <w:r>
              <w:rPr>
                <w:rFonts w:ascii="Arial" w:cs="Arial" w:eastAsia="Arial" w:hAnsi="Arial"/>
                <w:sz w:val="14"/>
                <w:szCs w:val="14"/>
                <w:b w:val="1"/>
                <w:bCs w:val="1"/>
                <w:color w:val="auto"/>
              </w:rPr>
              <w:t>July 1,</w:t>
            </w:r>
          </w:p>
        </w:tc>
        <w:tc>
          <w:tcPr>
            <w:tcW w:w="2020" w:type="dxa"/>
            <w:vAlign w:val="bottom"/>
          </w:tcPr>
          <w:p>
            <w:pPr>
              <w:jc w:val="right"/>
              <w:ind w:right="5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229,347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210,951</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83,244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3"/>
              <w:spacing w:after="0"/>
              <w:rPr>
                <w:sz w:val="20"/>
                <w:szCs w:val="20"/>
                <w:color w:val="auto"/>
              </w:rPr>
            </w:pPr>
            <w:r>
              <w:rPr>
                <w:rFonts w:ascii="Arial" w:cs="Arial" w:eastAsia="Arial" w:hAnsi="Arial"/>
                <w:sz w:val="18"/>
                <w:szCs w:val="18"/>
                <w:color w:val="auto"/>
              </w:rPr>
              <w:t>91,665</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77,951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3"/>
              <w:spacing w:after="0"/>
              <w:rPr>
                <w:sz w:val="20"/>
                <w:szCs w:val="20"/>
                <w:color w:val="auto"/>
              </w:rPr>
            </w:pPr>
            <w:r>
              <w:rPr>
                <w:rFonts w:ascii="Arial" w:cs="Arial" w:eastAsia="Arial" w:hAnsi="Arial"/>
                <w:sz w:val="18"/>
                <w:szCs w:val="18"/>
                <w:color w:val="auto"/>
              </w:rPr>
              <w:t>75,054</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16,611</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(68.1)%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4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divestiture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45.5 %</w:t>
            </w: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23,252</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3"/>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96.9 %</w:t>
            </w: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pre-tax income</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185.0 %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3"/>
              <w:spacing w:after="0"/>
              <w:rPr>
                <w:sz w:val="20"/>
                <w:szCs w:val="20"/>
                <w:color w:val="auto"/>
              </w:rPr>
            </w:pPr>
            <w:r>
              <w:rPr>
                <w:rFonts w:ascii="Arial" w:cs="Arial" w:eastAsia="Arial" w:hAnsi="Arial"/>
                <w:sz w:val="18"/>
                <w:szCs w:val="18"/>
                <w:color w:val="auto"/>
              </w:rPr>
              <w:t>20,137</w:t>
            </w:r>
          </w:p>
        </w:tc>
        <w:tc>
          <w:tcPr>
            <w:tcW w:w="100" w:type="dxa"/>
            <w:vAlign w:val="bottom"/>
          </w:tcPr>
          <w:p>
            <w:pPr>
              <w:spacing w:after="0"/>
              <w:rPr>
                <w:sz w:val="21"/>
                <w:szCs w:val="21"/>
                <w:color w:val="auto"/>
              </w:rPr>
            </w:pPr>
          </w:p>
        </w:tc>
        <w:tc>
          <w:tcPr>
            <w:tcW w:w="202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 per share - 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3"/>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020" w:type="dxa"/>
            <w:vAlign w:val="bottom"/>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per share - 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n/m</w:t>
            </w:r>
          </w:p>
        </w:tc>
      </w:tr>
      <w:tr>
        <w:trPr>
          <w:trHeight w:val="27"/>
        </w:trPr>
        <w:tc>
          <w:tcPr>
            <w:tcW w:w="5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revenues increased 8.7% for the three months ended June 30, 2018, as compared with the same period of fiscal 2018. Without the effect of foreign exchange, net revenues increased 7.2% for the three months ended June 30, 2018, as compared with the same period of fiscal 2018. Revenue increases in Plasma and Hemostasis Management were partially offset by declines in our Blood Center and Cell Processing business units during the three months ended June 30, 2018.</w:t>
      </w:r>
    </w:p>
    <w:p>
      <w:pPr>
        <w:spacing w:after="0" w:line="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income decreased for the three months ended June 30, 2018, as compared with the same period of fiscal 2018, primarily due to asset impairments and accelerated depreciation, partially offset by increased revenue volumes.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9"/>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08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July 1,</w:t>
            </w:r>
          </w:p>
        </w:tc>
        <w:tc>
          <w:tcPr>
            <w:tcW w:w="100" w:type="dxa"/>
            <w:vAlign w:val="bottom"/>
          </w:tcPr>
          <w:p>
            <w:pPr>
              <w:spacing w:after="0"/>
              <w:rPr>
                <w:sz w:val="13"/>
                <w:szCs w:val="13"/>
                <w:color w:val="auto"/>
              </w:rPr>
            </w:pPr>
          </w:p>
        </w:tc>
        <w:tc>
          <w:tcPr>
            <w:tcW w:w="14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2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131,052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87,207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79,899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229,347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210,951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-228600</wp:posOffset>
            </wp:positionV>
            <wp:extent cx="1792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90 countries around the world through a combination of our direct sales force, independent distributors and agents. Our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generated outside the U.S. was 38.0% of total net revenues for the three months ended June 30, 2018 as compared with 37.9% for the three months ended July 1, 2017.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06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3"/>
                <w:szCs w:val="13"/>
                <w:color w:val="auto"/>
              </w:rPr>
            </w:pPr>
          </w:p>
        </w:tc>
        <w:tc>
          <w:tcPr>
            <w:tcW w:w="14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8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116,903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101,507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2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64,483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65,565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47,961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43,879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50"/>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229,347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210,951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8890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 w:lineRule="exact"/>
        <w:rPr>
          <w:sz w:val="20"/>
          <w:szCs w:val="20"/>
          <w:color w:val="auto"/>
        </w:rPr>
      </w:pPr>
    </w:p>
    <w:p>
      <w:pPr>
        <w:ind w:right="100" w:firstLine="8"/>
        <w:spacing w:after="0" w:line="250" w:lineRule="auto"/>
        <w:tabs>
          <w:tab w:leader="none" w:pos="127" w:val="left"/>
        </w:tabs>
        <w:numPr>
          <w:ilvl w:val="0"/>
          <w:numId w:val="7"/>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ind w:right="100" w:firstLine="8"/>
        <w:spacing w:after="0" w:line="248" w:lineRule="auto"/>
        <w:tabs>
          <w:tab w:leader="none" w:pos="141" w:val="left"/>
        </w:tabs>
        <w:numPr>
          <w:ilvl w:val="0"/>
          <w:numId w:val="7"/>
        </w:numPr>
        <w:rPr>
          <w:rFonts w:ascii="Arial" w:cs="Arial" w:eastAsia="Arial" w:hAnsi="Arial"/>
          <w:sz w:val="9"/>
          <w:szCs w:val="9"/>
          <w:color w:val="auto"/>
        </w:rPr>
      </w:pPr>
      <w:r>
        <w:rPr>
          <w:rFonts w:ascii="Arial" w:cs="Arial" w:eastAsia="Arial" w:hAnsi="Arial"/>
          <w:sz w:val="14"/>
          <w:szCs w:val="14"/>
          <w:color w:val="auto"/>
        </w:rPr>
        <w:t>Hospital revenue includes both Cell Processing and Hemostasis Management revenue. Hemostasis Management revenue was $21.8 million and $17.5 million for the three months ended June 30, 2018 and July 1, 2017, respectively. Hemostasis Management revenue increased 24.0% in the first quarter of fiscal 2019 as compared with the same period of fiscal 2018. Without the effect of foreign exchange, Hemostasis Management revenue increased 20.6% in the first quarter of fiscal 2019 as compared with the same period of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-526415</wp:posOffset>
            </wp:positionV>
            <wp:extent cx="1783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Plasma revenue increased 15.2% during the three months ended June 30, 2018, as compared with the same period of fiscal 2018. Without the effect of foreign exchange, plasma revenue increased 14.0% for the three months ended June 30, 2018, as compared with the same period of fiscal 2018. This revenue growth was primarily driven by an increase in sales of plasma disposables during the three months ended June 30, 2018 due to continued strong performance in the U.S. An increase in both liquid solutions and software revenue also contributed to this growth.</w:t>
      </w:r>
    </w:p>
    <w:p>
      <w:pPr>
        <w:spacing w:after="0" w:line="9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continuing delays in the expansion of our liquid solutions production capacity that require us or our customers to continue to obtain alternative sources of supply. We expect purchases from these alternate sources to continue until we can complete the expansion and produce solutions at the necessary level.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Blood Center revenue decreased 1.7% during the three months ended June 30, 2018, as compared with the same period of fiscal 2018. Without the effect of foreign exchange, Blood Center revenue decreased 3.1% for the three months ended June 30, 2018, as compared with the same period of fiscal 2018. This decrease was primarily driven by declines in whole blood revenue due to the Acrodose recall and declines in Europe as a result of the continued moderation in the rate of collections, partly offset by revenue growth in Japan. Declines in Blood Center software revenue also contributed to the overall decrease.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1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Hospital revenue increased 9.3% during the three months ended June 30, 2018, as compared with the same period of fiscal 2018. Without the effect of foreign exchange, Hospital revenue increased 6.3% during the three months ended June 30, 2018, as compared with the same period of fiscal 2018. This increase was primarily attributable to the growth of disposables associated with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diagnostic systems, principally in China and the U.S. The TEG 6s hemostasis analyzer system continues to contribute significantly to the overall growth of Hemostasis Management in Europe and the U.S. The TEG 6s system and TEG Manager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software are approved for the same set of indications as the TEG 5000 system in Europe, Australia and Japan. In the U.S., the TEG 6s system is approved cardiovascular surgery and cardiology. We are pursuing a broader set of indications for the TEG 6s system in the U.S., including trauma. The increase was partially offset by lower software revenue and the continued decline in OrthoPAT revenue due to better blood management which has reduced orthopedic blood loss. Effective March 31, 2019, our OrthoPAT products will be discontinued and we will offer the Cell Saver Elite + as an alternative autotransfusion system for orthopedics or other medium to low blood loss procedures.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tcBorders>
              <w:bottom w:val="single" w:sz="8" w:color="auto"/>
            </w:tcBorders>
          </w:tcPr>
          <w:p>
            <w:pPr>
              <w:spacing w:after="0"/>
              <w:rPr>
                <w:sz w:val="16"/>
                <w:szCs w:val="16"/>
                <w:color w:val="auto"/>
              </w:rPr>
            </w:pPr>
          </w:p>
        </w:tc>
      </w:tr>
      <w:tr>
        <w:trPr>
          <w:trHeight w:val="152"/>
        </w:trPr>
        <w:tc>
          <w:tcPr>
            <w:tcW w:w="4860" w:type="dxa"/>
            <w:vAlign w:val="bottom"/>
          </w:tcPr>
          <w:p>
            <w:pPr>
              <w:spacing w:after="0"/>
              <w:rPr>
                <w:sz w:val="13"/>
                <w:szCs w:val="13"/>
                <w:color w:val="auto"/>
              </w:rPr>
            </w:pPr>
          </w:p>
        </w:tc>
        <w:tc>
          <w:tcPr>
            <w:tcW w:w="1340" w:type="dxa"/>
            <w:vAlign w:val="bottom"/>
          </w:tcPr>
          <w:p>
            <w:pPr>
              <w:jc w:val="center"/>
              <w:ind w:left="622"/>
              <w:spacing w:after="0" w:line="153" w:lineRule="exact"/>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664"/>
              <w:spacing w:after="0" w:line="153" w:lineRule="exact"/>
              <w:rPr>
                <w:sz w:val="20"/>
                <w:szCs w:val="20"/>
                <w:color w:val="auto"/>
              </w:rPr>
            </w:pPr>
            <w:r>
              <w:rPr>
                <w:rFonts w:ascii="Arial" w:cs="Arial" w:eastAsia="Arial" w:hAnsi="Arial"/>
                <w:sz w:val="14"/>
                <w:szCs w:val="14"/>
                <w:b w:val="1"/>
                <w:bCs w:val="1"/>
                <w:color w:val="auto"/>
                <w:w w:val="96"/>
              </w:rPr>
              <w:t>July 1,</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 Increase/</w:t>
            </w:r>
          </w:p>
        </w:tc>
      </w:t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340" w:type="dxa"/>
            <w:vAlign w:val="bottom"/>
            <w:tcBorders>
              <w:bottom w:val="single" w:sz="8" w:color="CCEEFF"/>
            </w:tcBorders>
            <w:shd w:val="clear" w:color="auto" w:fill="CCEEFF"/>
          </w:tcPr>
          <w:p>
            <w:pPr>
              <w:jc w:val="right"/>
              <w:ind w:right="114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83,244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2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91,665</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r>
    </w:tbl>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Gross profit decreased 9.2% for the three months ended June 30, 2018, as compared with the same period of fiscal 2018. Without the effect of foreign exchange, gross profit decreased 15.4% for the three months ended June 30, 2018, as compared with the same period of fiscal 2018. Gross profit margin decreased 720 basis points for the three months ended June 30, 2018, as compared with the same period of fiscal 2018. The decrease in gross profit margin during the three months ended June 30, 2018 was primarily due to asset impairments and the accelerated depreciation of PCS2 devices. This decline was partially offset by favorable mix and the impact of foreign exchange in the current 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80" w:type="dxa"/>
            <w:vAlign w:val="bottom"/>
            <w:tcBorders>
              <w:bottom w:val="single" w:sz="8" w:color="auto"/>
            </w:tcBorders>
          </w:tcPr>
          <w:p>
            <w:pPr>
              <w:spacing w:after="0"/>
              <w:rPr>
                <w:sz w:val="16"/>
                <w:szCs w:val="16"/>
                <w:color w:val="auto"/>
              </w:rPr>
            </w:pPr>
          </w:p>
        </w:tc>
      </w:tr>
      <w:tr>
        <w:trPr>
          <w:trHeight w:val="152"/>
        </w:trPr>
        <w:tc>
          <w:tcPr>
            <w:tcW w:w="488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jc w:val="right"/>
              <w:ind w:right="57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36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9,406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8,193</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68,545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66,861</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77,951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75,054</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increased 14.8% for the three months ended June 30, 2018 as compared with the same period of fiscal 2018. Without the effect of foreign exchange, research and development expenses increased 15.0% for the three months ended June 30, 2018, as compared with the same period of fiscal 2018. The increase during the three months ended June 30, 2018 was primarily driven by our continued investment of resources in clinical programs, primarily in Hemostasis Management and NexSys PCS. These increased costs were partially offset by reduced spending on certain software projects that have been completed since the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Selling, general and administrative expenses increased 2.5% for the three months ended June 30, 2018, as compared with the same period of fiscal 2018. Without the effect of foreign exchange, selling, general, and administrative expenses increased 1.2% for the three months ended June 30, 2018, as compared with the same period of fiscal 2018. The increase for the three months ended June 30, 2018 was primarily the result of higher freight and warehousing costs due to increased fuel costs and carrier fees, an increase in stock-based compensation expense and higher restructuring and turnaround costs associated with the 2018 Program. This increase was partially offset by annualized savings as a result of the prior year restructuring initiative.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Interest expense from our term loan borrowings, which constitutes the majority of expense, increased during the three months ended June 30, 2018 as compared with the prior year period due to an increase in the effective interest rate. The effective interest rate on total debt outstanding as of June 30, 2018 was 3.6%.</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 Our reported tax rate for the three months ended June 30, 2018 of 185% is higher than the U.S. statutory tax rate primarily as a result of asset impairment expense of $21.2 million recorded in pretax income for which a no tax benefit was recognized as a result of the valuation allowance maintained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against our deferred tax assets in the impacted jurisdiction, refer to Note 8,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for additional details</w:t>
      </w:r>
      <w:r>
        <w:rPr>
          <w:rFonts w:ascii="Arial" w:cs="Arial" w:eastAsia="Arial" w:hAnsi="Arial"/>
          <w:sz w:val="16"/>
          <w:szCs w:val="16"/>
          <w:i w:val="1"/>
          <w:iCs w:val="1"/>
          <w:color w:val="auto"/>
        </w:rPr>
        <w:t>.</w:t>
      </w:r>
      <w:r>
        <w:rPr>
          <w:rFonts w:ascii="Arial" w:cs="Arial" w:eastAsia="Arial" w:hAnsi="Arial"/>
          <w:sz w:val="16"/>
          <w:szCs w:val="16"/>
          <w:color w:val="auto"/>
        </w:rPr>
        <w:t xml:space="preserve"> Our effective tax rate was also negatively impacted by the U.S. tax reform provisions related to global intangible low taxed income that became effective in fiscal 2019.</w:t>
      </w:r>
    </w:p>
    <w:p>
      <w:pPr>
        <w:spacing w:after="0" w:line="12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During the three months ended June 30, 2018 and July 1, 2017, we reported an income tax provision of $6.1 million and $3.1 million, respectively. The change in our tax provision for the three months ended June 30, 2018 was primarily the result of an increase in the tax expense of our U.S. entity, which as impacted by the U.S. tax reform provisions discussed in more detail below, as well as changes in the jurisdictional mix of earnings and other foreign items. The income tax provision for the three months ended June 30, 2018 was primarily attributable to applying the Company’s estimated annual effective tax rate to its year-to-date consolidated income before provision for income taxes, and includes a discrete tax benefit of $1.4 million related to stock compensation windfall tax benefits. The income tax provision for the three months ended July 1, 2017 was primarily attributable to applying the Company’s estimated annual effective tax rate to its year-to-date consolidated income before provision for income taxes, and includes a discrete tax provision of $0.4 million for international items and tax reserves.</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fiscal 2018, the Tax Cuts and Jobs Act (the "Act") was enacted in the United States. The Act reduced the U.S. federal corporate tax rate from 35% to 21%, required companies to pay a one-time transition tax on earnings of certain foreign subsidiaries that were previously tax deferred and created new taxes on certain foreign sourced earnings. As of June 30, 2018, we had not completed our accounting for the tax effects of enactment of the Act, however, we have made a reasonable estimate of the effects on our existing deferred tax balances and the one-time transition tax. During the three months ended June 30, 2018, we recognized an immaterial adjustment to the provisional tax expense estimate recorded related to the Act. We will continue to refine our calculations as additional analysis is completed. In addition, our estimates may also be affected as we gain a more thorough understanding of the tax law. We have incorporated the other impacts of tax reform that became effective for the Company in fiscal 2019 including the provisions related to Global Intangible Low Taxed Income, Foreign Derived Intangible Income, Base Erosion Anti Abuse Tax, as well as other provisions which limit tax deductibility of expenses.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in a three year cumulative loss position in the U.S. and, accordingly, maintain a valuation allowance against certain U.S. deferred tax assets. Additionally, we also maintain a valuation allowance against certain other deferred tax assets primarily in Switzerland, Puerto Rico, Luxembourg and France which we have concluded are not more-likely-than-not realizable.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180,169</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357,022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136,474</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70"/>
        </w:trPr>
        <w:tc>
          <w:tcPr>
            <w:tcW w:w="81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(155,775)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(73,513)</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Inventory turnover</w:t>
            </w: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3.5</w:t>
            </w:r>
          </w:p>
        </w:tc>
      </w:tr>
      <w:tr>
        <w:trPr>
          <w:trHeight w:val="341"/>
        </w:trPr>
        <w:tc>
          <w:tcPr>
            <w:tcW w:w="81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fiscal 2018, we launched the 2018 Program, a restructuring initiative designed to reposition our organization and improve our cost structure. We expect to incur aggregate charges between $50 million and $60 million, of which we expect $35 million to $40 million will consist of severance and other employee costs and the remainder will consist of other exit costs, primarily related to third party services. These charges, substantially all of which will result in cash outlays, will be incurred as the specific actions required to execute on these initiatives are identified and approved and are expected to continue through fiscal 2020. During the three months ended June 30, 2018, we incurred $3.4 million of restructuring and turnaround costs under this program.</w:t>
      </w:r>
    </w:p>
    <w:p>
      <w:pPr>
        <w:spacing w:after="0" w:line="6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our Revolving Credit Facility and proceeds from employee stock option exercises. We believe these sources are sufficient to fund our cash requirements over at least the next twelve months. Our expected cash outlays relate primarily to investments, capital expenditures, including production of the NexSys PCS, Plasma plant capacity expansions, share repurchases, cash payments under the loan agreement, restructuring and turnaround initiatives and acquisitions.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June 30, 2018, we had $192.1 million in cash and cash equivalents, the majority of which is held in the U.S. or in countries from which it can be freely repatriated to the U.S. On June 15, 2018, we entered into a credit agreement with certain lenders which provided for a $350.0 million Term Loan and a $350.0 million Revolving Credit Facility. The Credit Facilities expire on June 15, 2023. Interest on the Credit Facilities is established using LIBOR plus 1.13% -</w:t>
      </w:r>
    </w:p>
    <w:p>
      <w:pPr>
        <w:ind w:right="100"/>
        <w:spacing w:after="0" w:line="290" w:lineRule="auto"/>
        <w:rPr>
          <w:sz w:val="20"/>
          <w:szCs w:val="20"/>
          <w:color w:val="auto"/>
        </w:rPr>
      </w:pPr>
      <w:r>
        <w:rPr>
          <w:rFonts w:ascii="Arial" w:cs="Arial" w:eastAsia="Arial" w:hAnsi="Arial"/>
          <w:sz w:val="16"/>
          <w:szCs w:val="16"/>
          <w:color w:val="auto"/>
        </w:rPr>
        <w:t>1.75%, depending on our leverage ratio. Under the Credit Facilities, we are required to maintain certain leverage and interest coverage ratios specified in the credit agreement as well as other customary non-financial affirmative and negative covenants. A portion of the net proceeds of $347.8 million was used to pay down the $253.7 remaining outstanding balance on our 2012 credit agreement, as amended in fiscal 2014. The remainder of the proceeds are available to be used to support the launch of our NexSys PCS device and for general corporate purposes. At June 30, 2018, $350.0 million was outstanding under the Term Loan with an effective interest rate of 3.625% and no amount was outstanding on the Revolving Credit Facility. We also have $44.1 million of uncommitted operating lines of credit to fund our global operations under which there are no outstanding borrowings as of June 30, 2018.</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scheduled principal payments of $13.1 million required during fiscal 2019. We were in compliance with the leverage and interest coverage ratios specified in the credit agreement as well as all other bank covenants as of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460" w:type="dxa"/>
            <w:vAlign w:val="bottom"/>
          </w:tcPr>
          <w:p>
            <w:pPr>
              <w:jc w:val="right"/>
              <w:ind w:right="537"/>
              <w:spacing w:after="0" w:line="153" w:lineRule="exact"/>
              <w:rPr>
                <w:sz w:val="20"/>
                <w:szCs w:val="20"/>
                <w:color w:val="auto"/>
              </w:rPr>
            </w:pPr>
            <w:r>
              <w:rPr>
                <w:rFonts w:ascii="Arial" w:cs="Arial" w:eastAsia="Arial" w:hAnsi="Arial"/>
                <w:sz w:val="14"/>
                <w:szCs w:val="14"/>
                <w:b w:val="1"/>
                <w:bCs w:val="1"/>
                <w:color w:val="auto"/>
              </w:rPr>
              <w:t>July 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23,122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38,425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(15,303)</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(23,524)</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18,663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22,212</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11,937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32,175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right="22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provided by operating activities decreased by $15.3 million during the three months ended June 30, 2018, as compared with the three months ended July 1, 2017. The decrease in cash provided by operating activities was primarily due to a working capital outflow driven largely by an increase in inventory build to support the launch of the NexSys PCS devices. Decreases in accrued payroll due to the payout of annual bonuses and severance payments associated with the 2018 Program also contributed to the decline. These decreases were partially offset by a working capital inflow due to a decrease in other current assets and an increase in accounts payable.</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used in investing activities increased by $23.5 million during the three months ended June 30, 2018, as compared with the three months ended July 1, 2017. The increase in cash used in investing activities was primarily the result of increase in capital expenditures in the current year period and the proceeds received related to the divestiture of our SEBRA product line in the prior period.</w:t>
      </w:r>
    </w:p>
    <w:p>
      <w:pPr>
        <w:spacing w:after="0" w:line="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provided by financing activities increased by $22.2 million during the three months ended June 30, 2018, as compared with the three months ended July 1, 2017, primarily due to the $350.0 million Term Loan entered into in June 2018, as discussed above. This increase was partially offset by the repayment of the $253.7 remaining outstanding balance on our 2012 credit agreement, as amended in fiscal 2014, as well as $80 million paid toward share repurchases during the three months ended June 30,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three months ended June 30, 2018, approximately 38.0%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2016, the Financial Accounting Standards Board (FASB) issued ASC Update No. 2016-02, Leases (Topic 842). ASC Update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ASC Update No. 2016-02 is effective for fiscal years beginning after December 15, 2018, including interim periods within those fiscal years, and is applicable to us in fiscal 2020. Earlier adoption is permitted. The impact of adopting ASC Update No. 2016-02 on our financial position and results of operations is being assessed by management.</w:t>
      </w:r>
    </w:p>
    <w:p>
      <w:pPr>
        <w:spacing w:after="0" w:line="9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March 2017, the FASB issued ASC Update No. 2017-07, Compensation - Retirement Benefits (Topic 715).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ASC Update No. 2017-07 is not expected to have a material effect on our consolidated financial statements.</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August 2017, the FASB issued ASC Update No. 2017-12, Derivatives and Hedging: Targeted Improvements to Accounting for Hedging Activities (Topic 815). The new guidance will make more financial and non-financial hedging strategies eligible for hedge accounting as well as amend the presentation and disclosure requirements and change how companies assess effectiveness. The guidance is effective for annual periods beginning after December 15, 2018, and is applicable to us in fiscal 2020. Early adoption is permitted for all entities as of the beginning of an annual reporting period. The impact of adopting ASC Update No. 2017-12 on our financial position and results of operations is being assessed by management.</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June 2018, the FASB issued ASC Update No. 2018-07, Compensation - Stock Compensation (Topic 718). The new guidance will align the accounting for non-employee share-based payments with the existing employee share-based transactions guidance. The guidance is effective for annual periods beginning after December 15, 2018, and is applicable to us in fiscal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2020. Early adoption is permitted for all entities, including interim periods, but no earlier than the entity's adoption of ASC 606. The impact of adopting ASC Update No. 2018-07 on our financial position and results of operations is being assessed by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Statements contained in this report, as well as oral statements we make that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7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Factors that may influence or contribute to the inaccuracy of the forward-looking statements or cause actual results to differ materially from expected or desired results may include, without limitation, demand for whole blood and blood components, changes in executive management, changes in operations, restructuring and turnaround plans, the impact of the Tax Cuts and Jobs Act, the share repurchase program, asset revaluations to reflect current business conditions, asset sales, technological advances in the medical field and standards for transfusion medicine and our ability to successfully offer products that incorporate such advances and standards, product quality, market acceptance, regulatory uncertainties, including in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Part II, Item 1A. Risk Factors included in this report, if any, as well as those described in our Annual Report on Form 10-K for the fiscal year ended March 31, 2018. The foregoing list should not be construed as exhaustive.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$5.1 million increase in the fair value of the forward contracts; whereas a 10% weakening of the U.S. Dollar would result in a $5.0 million decrease of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exposure to changes in interest rates is associated with borrowings on our Credit Agreement, all of which is variable rate debt. Total outstanding debt under our Credit Facilities as of June 30, 2018 was $350.0 million with an interest rate of 3.6% based on prevailing LIBOR rates. An increase of 100 basis points in LIBOR rates would result in additional annual interest expense of $3.5 million.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an evaluation, as of June 30, 2018,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 as of June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three months ended June 30, 2018, we implemented certain controls related to the adoption of FASB ASC Topic 606, effective April 1, 2018. These controls were designed and implemented to ensure the completeness and accuracy over financial reporting. With the exception of the controls implemented for FASB ASC Topic 606, there were no changes in our internal control over financial reporting during the three months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Consolidated Financial Statements in this Quarterly Report on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from the Risk Factors previously disclosed in our Annual Report on Form 10-K for the year ended March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share repurchases during the first quarter of fiscal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80" w:type="dxa"/>
            <w:vAlign w:val="bottom"/>
            <w:vMerge w:val="restart"/>
          </w:tcPr>
          <w:p>
            <w:pPr>
              <w:jc w:val="center"/>
              <w:ind w:left="1241"/>
              <w:spacing w:after="0"/>
              <w:rPr>
                <w:sz w:val="20"/>
                <w:szCs w:val="20"/>
                <w:color w:val="auto"/>
              </w:rPr>
            </w:pPr>
            <w:r>
              <w:rPr>
                <w:rFonts w:ascii="Arial" w:cs="Arial" w:eastAsia="Arial" w:hAnsi="Arial"/>
                <w:sz w:val="14"/>
                <w:szCs w:val="14"/>
                <w:b w:val="1"/>
                <w:bCs w:val="1"/>
                <w:color w:val="auto"/>
                <w:w w:val="95"/>
              </w:rPr>
              <w:t>Total</w:t>
            </w:r>
          </w:p>
        </w:tc>
        <w:tc>
          <w:tcPr>
            <w:tcW w:w="16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360" w:type="dxa"/>
            <w:vAlign w:val="bottom"/>
          </w:tcPr>
          <w:p>
            <w:pPr>
              <w:jc w:val="right"/>
              <w:ind w:right="37"/>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16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9"/>
              </w:rPr>
              <w:t>Average Price Paid per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3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88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6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4"/>
              </w:rPr>
              <w:t>May Yet Be Purchased</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2880" w:type="dxa"/>
            <w:vAlign w:val="bottom"/>
          </w:tcPr>
          <w:p>
            <w:pPr>
              <w:jc w:val="center"/>
              <w:ind w:left="1241"/>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Under the Program</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2018 - April 28, 2018</w:t>
            </w:r>
          </w:p>
        </w:tc>
        <w:tc>
          <w:tcPr>
            <w:tcW w:w="28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April 29, 2018 - May 26, 2018</w:t>
            </w:r>
          </w:p>
        </w:tc>
        <w:tc>
          <w:tcPr>
            <w:tcW w:w="2880" w:type="dxa"/>
            <w:vAlign w:val="bottom"/>
          </w:tcPr>
          <w:p>
            <w:pPr>
              <w:jc w:val="right"/>
              <w:ind w:right="61"/>
              <w:spacing w:after="0"/>
              <w:rPr>
                <w:sz w:val="20"/>
                <w:szCs w:val="20"/>
                <w:color w:val="auto"/>
              </w:rPr>
            </w:pPr>
            <w:r>
              <w:rPr>
                <w:rFonts w:ascii="Arial" w:cs="Arial" w:eastAsia="Arial" w:hAnsi="Arial"/>
                <w:sz w:val="18"/>
                <w:szCs w:val="18"/>
                <w:color w:val="auto"/>
              </w:rPr>
              <w:t>217,512</w:t>
            </w:r>
          </w:p>
        </w:tc>
        <w:tc>
          <w:tcPr>
            <w:tcW w:w="1660" w:type="dxa"/>
            <w:vAlign w:val="bottom"/>
          </w:tcPr>
          <w:p>
            <w:pPr>
              <w:jc w:val="right"/>
              <w:ind w:right="713"/>
              <w:spacing w:after="0"/>
              <w:rPr>
                <w:sz w:val="20"/>
                <w:szCs w:val="20"/>
                <w:color w:val="auto"/>
              </w:rPr>
            </w:pPr>
            <w:r>
              <w:rPr>
                <w:rFonts w:ascii="Arial" w:cs="Arial" w:eastAsia="Arial" w:hAnsi="Arial"/>
                <w:sz w:val="13"/>
                <w:szCs w:val="13"/>
                <w:color w:val="auto"/>
              </w:rPr>
              <w:t>(2)</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217,512</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27, 2018 - June 30, 2018</w:t>
            </w:r>
          </w:p>
        </w:tc>
        <w:tc>
          <w:tcPr>
            <w:tcW w:w="28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670,718</w:t>
            </w:r>
          </w:p>
        </w:tc>
        <w:tc>
          <w:tcPr>
            <w:tcW w:w="1660" w:type="dxa"/>
            <w:vAlign w:val="bottom"/>
            <w:shd w:val="clear" w:color="auto" w:fill="CCEEFF"/>
          </w:tcPr>
          <w:p>
            <w:pPr>
              <w:jc w:val="right"/>
              <w:ind w:right="713"/>
              <w:spacing w:after="0"/>
              <w:rPr>
                <w:sz w:val="20"/>
                <w:szCs w:val="20"/>
                <w:color w:val="auto"/>
              </w:rPr>
            </w:pPr>
            <w:r>
              <w:rPr>
                <w:rFonts w:ascii="Arial" w:cs="Arial" w:eastAsia="Arial" w:hAnsi="Arial"/>
                <w:sz w:val="13"/>
                <w:szCs w:val="13"/>
                <w:color w:val="auto"/>
              </w:rPr>
              <w:t>(3)</w:t>
            </w: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670,718</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80,000,000</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right="80" w:hanging="5"/>
        <w:spacing w:after="0" w:line="289" w:lineRule="auto"/>
        <w:tabs>
          <w:tab w:leader="none" w:pos="181" w:val="left"/>
        </w:tabs>
        <w:numPr>
          <w:ilvl w:val="0"/>
          <w:numId w:val="8"/>
        </w:numPr>
        <w:rPr>
          <w:rFonts w:ascii="Arial" w:cs="Arial" w:eastAsia="Arial" w:hAnsi="Arial"/>
          <w:sz w:val="8"/>
          <w:szCs w:val="8"/>
          <w:color w:val="auto"/>
        </w:rPr>
      </w:pPr>
      <w:r>
        <w:rPr>
          <w:rFonts w:ascii="Arial" w:cs="Arial" w:eastAsia="Arial" w:hAnsi="Arial"/>
          <w:sz w:val="12"/>
          <w:szCs w:val="12"/>
          <w:color w:val="auto"/>
        </w:rPr>
        <w:t>On February 6, 2018, the Company announced that the Board of Directors had authorized the repurchase of up to $260 million of the Company’s common stock from time to time, based on market conditions, through March 30, 2019. The Company’s share repurchase program does not obligate it to acquire any specific number of shares. Under the program, shares may be repurchased in accordance with applicable laws both on the open market, including under trading plans established pursuant to Rule 10b5-1 under the Exchange Act, and in privately negotiated transactions.</w:t>
      </w:r>
    </w:p>
    <w:p>
      <w:pPr>
        <w:spacing w:after="0" w:line="1" w:lineRule="exact"/>
        <w:rPr>
          <w:rFonts w:ascii="Arial" w:cs="Arial" w:eastAsia="Arial" w:hAnsi="Arial"/>
          <w:sz w:val="8"/>
          <w:szCs w:val="8"/>
          <w:color w:val="auto"/>
        </w:rPr>
      </w:pPr>
    </w:p>
    <w:p>
      <w:pPr>
        <w:jc w:val="both"/>
        <w:ind w:left="40" w:right="120" w:hanging="5"/>
        <w:spacing w:after="0" w:line="238" w:lineRule="auto"/>
        <w:tabs>
          <w:tab w:leader="none" w:pos="181" w:val="left"/>
        </w:tabs>
        <w:numPr>
          <w:ilvl w:val="0"/>
          <w:numId w:val="8"/>
        </w:numPr>
        <w:rPr>
          <w:rFonts w:ascii="Arial" w:cs="Arial" w:eastAsia="Arial" w:hAnsi="Arial"/>
          <w:sz w:val="9"/>
          <w:szCs w:val="9"/>
          <w:color w:val="auto"/>
        </w:rPr>
      </w:pPr>
      <w:r>
        <w:rPr>
          <w:rFonts w:ascii="Arial" w:cs="Arial" w:eastAsia="Arial" w:hAnsi="Arial"/>
          <w:sz w:val="14"/>
          <w:szCs w:val="14"/>
          <w:color w:val="auto"/>
        </w:rPr>
        <w:t>In February 2018, the Company entered into an accelerated share repurchase agreement ("ASR") to repurchase approximately $100.0 million of the Company's common stock. In May 2018, the ASR was completed and an additional 0.2 million shares were delivered upon settlement. The total number of share repurchased under this ASR was approximately 1.4 million at an average price per share upon final settlement of $72.51.</w:t>
      </w:r>
    </w:p>
    <w:p>
      <w:pPr>
        <w:spacing w:after="0" w:line="20" w:lineRule="exact"/>
        <w:rPr>
          <w:rFonts w:ascii="Arial" w:cs="Arial" w:eastAsia="Arial" w:hAnsi="Arial"/>
          <w:sz w:val="9"/>
          <w:szCs w:val="9"/>
          <w:color w:val="auto"/>
        </w:rPr>
      </w:pPr>
    </w:p>
    <w:p>
      <w:pPr>
        <w:jc w:val="both"/>
        <w:ind w:left="40" w:right="200" w:hanging="5"/>
        <w:spacing w:after="0" w:line="234" w:lineRule="auto"/>
        <w:tabs>
          <w:tab w:leader="none" w:pos="181" w:val="left"/>
        </w:tabs>
        <w:numPr>
          <w:ilvl w:val="0"/>
          <w:numId w:val="8"/>
        </w:numPr>
        <w:rPr>
          <w:rFonts w:ascii="Arial" w:cs="Arial" w:eastAsia="Arial" w:hAnsi="Arial"/>
          <w:sz w:val="9"/>
          <w:szCs w:val="9"/>
          <w:color w:val="auto"/>
        </w:rPr>
      </w:pPr>
      <w:r>
        <w:rPr>
          <w:rFonts w:ascii="Arial" w:cs="Arial" w:eastAsia="Arial" w:hAnsi="Arial"/>
          <w:sz w:val="14"/>
          <w:szCs w:val="14"/>
          <w:color w:val="auto"/>
        </w:rPr>
        <w:t>In June 2018, the Company entered into a new ASR to repurchase approximately $80.0 million of the Company’s common stock. Pursuant to the terms of the ASR, in June 2018, the Company paid Citibank $80.0 million in cash and received an initial delivery of approximately 0.7 million shares of our common stock based on a closing market price of the Company's common stock on the New York Stock Exchange on June 5, 2018 of $95.42. On August 1, 2018, the ASR was completed and an additional 0.2 million shares were delivered upon settlement. The total number of shares repurchased under the ASR was approximately 0.9 million at an average price per share upon final settlement of $93.83.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175" w:lineRule="exact"/>
        <w:rPr>
          <w:sz w:val="20"/>
          <w:szCs w:val="20"/>
          <w:color w:val="auto"/>
        </w:rPr>
      </w:pPr>
    </w:p>
    <w:p>
      <w:pPr>
        <w:ind w:left="840" w:right="180" w:hanging="796"/>
        <w:spacing w:after="0" w:line="308" w:lineRule="auto"/>
        <w:tabs>
          <w:tab w:leader="none" w:pos="820" w:val="left"/>
        </w:tabs>
        <w:rPr>
          <w:rFonts w:ascii="Arial" w:cs="Arial" w:eastAsia="Arial" w:hAnsi="Arial"/>
          <w:sz w:val="18"/>
          <w:szCs w:val="18"/>
          <w:color w:val="0000FF"/>
        </w:rPr>
      </w:pPr>
      <w:hyperlink r:id="rId13">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7"/>
          <w:szCs w:val="17"/>
          <w:color w:val="0000FF"/>
        </w:rPr>
        <w:t>Restated Articles of Organization of Haemonetics Corporation, reflecting Articles of Amendment dated August 23, 1993, August 21, 2006 and July 26, 2018 (filed as Exhibit 3.1 to the Company’s Form 8-K dated July 31, 2018 and incorporated herein by reference).</w:t>
      </w:r>
    </w:p>
    <w:p>
      <w:pPr>
        <w:spacing w:after="0" w:line="282" w:lineRule="exact"/>
        <w:rPr>
          <w:sz w:val="20"/>
          <w:szCs w:val="20"/>
          <w:color w:val="auto"/>
        </w:rPr>
      </w:pPr>
    </w:p>
    <w:p>
      <w:pPr>
        <w:ind w:left="840" w:right="660" w:hanging="796"/>
        <w:spacing w:after="0" w:line="277" w:lineRule="auto"/>
        <w:tabs>
          <w:tab w:leader="none" w:pos="820" w:val="left"/>
        </w:tabs>
        <w:rPr>
          <w:rFonts w:ascii="Arial" w:cs="Arial" w:eastAsia="Arial" w:hAnsi="Arial"/>
          <w:sz w:val="18"/>
          <w:szCs w:val="18"/>
          <w:color w:val="0000FF"/>
        </w:rPr>
      </w:pPr>
      <w:hyperlink r:id="rId14">
        <w:r>
          <w:rPr>
            <w:rFonts w:ascii="Arial" w:cs="Arial" w:eastAsia="Arial" w:hAnsi="Arial"/>
            <w:sz w:val="18"/>
            <w:szCs w:val="18"/>
            <w:u w:val="single" w:color="auto"/>
            <w:color w:val="0000FF"/>
          </w:rPr>
          <w:t>3.2*</w:t>
        </w:r>
      </w:hyperlink>
      <w:r>
        <w:rPr>
          <w:rFonts w:ascii="Arial" w:cs="Arial" w:eastAsia="Arial" w:hAnsi="Arial"/>
          <w:sz w:val="18"/>
          <w:szCs w:val="18"/>
          <w:color w:val="0000FF"/>
        </w:rPr>
        <w:tab/>
        <w:t>By-Laws of Haemonetics Corporation, effective July 26, 2018 (filed as Exhibit 3.3 to the Company’s Form 8-K dated July 31, 2018 and incorporated herein by reference).</w:t>
      </w:r>
    </w:p>
    <w:p>
      <w:pPr>
        <w:spacing w:after="0" w:line="306" w:lineRule="exact"/>
        <w:rPr>
          <w:sz w:val="20"/>
          <w:szCs w:val="20"/>
          <w:color w:val="auto"/>
        </w:rPr>
      </w:pPr>
    </w:p>
    <w:p>
      <w:pPr>
        <w:ind w:left="840" w:right="140" w:hanging="796"/>
        <w:spacing w:after="0" w:line="264" w:lineRule="auto"/>
        <w:tabs>
          <w:tab w:leader="none" w:pos="820" w:val="left"/>
        </w:tabs>
        <w:rPr>
          <w:rFonts w:ascii="Arial" w:cs="Arial" w:eastAsia="Arial" w:hAnsi="Arial"/>
          <w:sz w:val="18"/>
          <w:szCs w:val="18"/>
          <w:color w:val="0000FF"/>
        </w:rPr>
      </w:pPr>
      <w:hyperlink r:id="rId15">
        <w:r>
          <w:rPr>
            <w:rFonts w:ascii="Arial" w:cs="Arial" w:eastAsia="Arial" w:hAnsi="Arial"/>
            <w:sz w:val="18"/>
            <w:szCs w:val="18"/>
            <w:u w:val="single" w:color="auto"/>
            <w:color w:val="0000FF"/>
          </w:rPr>
          <w:t>10.1*</w:t>
        </w:r>
      </w:hyperlink>
      <w:r>
        <w:rPr>
          <w:rFonts w:ascii="Arial" w:cs="Arial" w:eastAsia="Arial" w:hAnsi="Arial"/>
          <w:sz w:val="18"/>
          <w:szCs w:val="18"/>
          <w:color w:val="0000FF"/>
        </w:rPr>
        <w:tab/>
        <w:t>Credit Agreement, dated as of June 15, 2018, by and among Haemonetics Corporation, the Lenders from time to time party thereto and JPMorgan Chase Bank, N.A., as Administrative Agent (filed as Exhibit 10.1 to the Company’s Form 8-K dated June 18, 2018 and incorporated herein by reference).</w:t>
      </w:r>
    </w:p>
    <w:p>
      <w:pPr>
        <w:spacing w:after="0" w:line="316" w:lineRule="exact"/>
        <w:rPr>
          <w:sz w:val="20"/>
          <w:szCs w:val="20"/>
          <w:color w:val="auto"/>
        </w:rPr>
      </w:pPr>
    </w:p>
    <w:p>
      <w:pPr>
        <w:ind w:left="840" w:right="380" w:hanging="796"/>
        <w:spacing w:after="0" w:line="277" w:lineRule="auto"/>
        <w:tabs>
          <w:tab w:leader="none" w:pos="820" w:val="left"/>
        </w:tabs>
        <w:rPr>
          <w:rFonts w:ascii="Arial" w:cs="Arial" w:eastAsia="Arial" w:hAnsi="Arial"/>
          <w:sz w:val="18"/>
          <w:szCs w:val="18"/>
          <w:color w:val="0000FF"/>
        </w:rPr>
      </w:pPr>
      <w:hyperlink w:anchor="page33">
        <w:r>
          <w:rPr>
            <w:rFonts w:ascii="Arial" w:cs="Arial" w:eastAsia="Arial" w:hAnsi="Arial"/>
            <w:sz w:val="18"/>
            <w:szCs w:val="18"/>
            <w:u w:val="single" w:color="auto"/>
            <w:color w:val="0000FF"/>
          </w:rPr>
          <w:t>10.2†</w:t>
        </w:r>
      </w:hyperlink>
      <w:r>
        <w:rPr>
          <w:rFonts w:ascii="Arial" w:cs="Arial" w:eastAsia="Arial" w:hAnsi="Arial"/>
          <w:sz w:val="18"/>
          <w:szCs w:val="18"/>
          <w:color w:val="0000FF"/>
        </w:rPr>
        <w:tab/>
        <w:t>Form of Option Agreement for Non-Qualified Stock Options Under 2005 Long-Term Incentive Compensation Plan for Employees (adopted fiscal 2019).</w:t>
      </w:r>
    </w:p>
    <w:p>
      <w:pPr>
        <w:spacing w:after="0" w:line="306"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41">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Form of Performance Share Unit Agreement Under 2005 Long-Term Incentive Compensation Plan (rTSR Metrics, adopted fiscal 2019).</w:t>
      </w:r>
    </w:p>
    <w:p>
      <w:pPr>
        <w:spacing w:after="0" w:line="200" w:lineRule="exact"/>
        <w:rPr>
          <w:sz w:val="20"/>
          <w:szCs w:val="20"/>
          <w:color w:val="auto"/>
        </w:rPr>
      </w:pPr>
    </w:p>
    <w:p>
      <w:pPr>
        <w:spacing w:after="0" w:line="376"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54">
        <w:r>
          <w:rPr>
            <w:rFonts w:ascii="Arial" w:cs="Arial" w:eastAsia="Arial" w:hAnsi="Arial"/>
            <w:sz w:val="18"/>
            <w:szCs w:val="18"/>
            <w:u w:val="single" w:color="auto"/>
            <w:color w:val="0000FF"/>
          </w:rPr>
          <w:t>10.4†</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Agreement Under 2005 Long-Term Incentive Compensation Plan for Employees (adopted fiscal 2019).</w:t>
      </w:r>
    </w:p>
    <w:p>
      <w:pPr>
        <w:spacing w:after="0" w:line="360"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63">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Agreement Under 2005 Long-Term Incentive Compensation Plan for Non-Employee Directors (adopted fiscal</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2019).</w:t>
      </w:r>
    </w:p>
    <w:p>
      <w:pPr>
        <w:spacing w:after="0" w:line="346" w:lineRule="exact"/>
        <w:rPr>
          <w:sz w:val="20"/>
          <w:szCs w:val="20"/>
          <w:color w:val="auto"/>
        </w:rPr>
      </w:pPr>
    </w:p>
    <w:p>
      <w:pPr>
        <w:ind w:left="840" w:right="560" w:hanging="796"/>
        <w:spacing w:after="0" w:line="277" w:lineRule="auto"/>
        <w:tabs>
          <w:tab w:leader="none" w:pos="820" w:val="left"/>
        </w:tabs>
        <w:rPr>
          <w:rFonts w:ascii="Arial" w:cs="Arial" w:eastAsia="Arial" w:hAnsi="Arial"/>
          <w:sz w:val="18"/>
          <w:szCs w:val="18"/>
          <w:color w:val="0000FF"/>
        </w:rPr>
      </w:pPr>
      <w:hyperlink w:anchor="page70">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Simon, President and Chief Executive Officer of the Company.</w:t>
      </w:r>
    </w:p>
    <w:p>
      <w:pPr>
        <w:spacing w:after="0" w:line="279" w:lineRule="exact"/>
        <w:rPr>
          <w:sz w:val="20"/>
          <w:szCs w:val="20"/>
          <w:color w:val="auto"/>
        </w:rPr>
      </w:pPr>
    </w:p>
    <w:p>
      <w:pPr>
        <w:ind w:left="840" w:right="340" w:hanging="796"/>
        <w:spacing w:after="0" w:line="277" w:lineRule="auto"/>
        <w:tabs>
          <w:tab w:leader="none" w:pos="820" w:val="left"/>
        </w:tabs>
        <w:rPr>
          <w:rFonts w:ascii="Arial" w:cs="Arial" w:eastAsia="Arial" w:hAnsi="Arial"/>
          <w:sz w:val="18"/>
          <w:szCs w:val="18"/>
          <w:color w:val="0000FF"/>
        </w:rPr>
      </w:pPr>
      <w:hyperlink w:anchor="page71">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9" w:lineRule="exact"/>
        <w:rPr>
          <w:sz w:val="20"/>
          <w:szCs w:val="20"/>
          <w:color w:val="auto"/>
        </w:rPr>
      </w:pPr>
    </w:p>
    <w:p>
      <w:pPr>
        <w:ind w:left="840" w:right="640" w:hanging="796"/>
        <w:spacing w:after="0" w:line="277" w:lineRule="auto"/>
        <w:tabs>
          <w:tab w:leader="none" w:pos="820" w:val="left"/>
        </w:tabs>
        <w:rPr>
          <w:rFonts w:ascii="Arial" w:cs="Arial" w:eastAsia="Arial" w:hAnsi="Arial"/>
          <w:sz w:val="18"/>
          <w:szCs w:val="18"/>
          <w:color w:val="0000FF"/>
        </w:rPr>
      </w:pPr>
      <w:hyperlink w:anchor="page72">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Simon, President and Chief Executive Officer of the Company.</w:t>
      </w:r>
    </w:p>
    <w:p>
      <w:pPr>
        <w:spacing w:after="0" w:line="279" w:lineRule="exact"/>
        <w:rPr>
          <w:sz w:val="20"/>
          <w:szCs w:val="20"/>
          <w:color w:val="auto"/>
        </w:rPr>
      </w:pPr>
    </w:p>
    <w:p>
      <w:pPr>
        <w:ind w:left="840" w:hanging="796"/>
        <w:spacing w:after="0" w:line="277" w:lineRule="auto"/>
        <w:tabs>
          <w:tab w:leader="none" w:pos="820" w:val="left"/>
        </w:tabs>
        <w:rPr>
          <w:rFonts w:ascii="Arial" w:cs="Arial" w:eastAsia="Arial" w:hAnsi="Arial"/>
          <w:sz w:val="18"/>
          <w:szCs w:val="18"/>
          <w:color w:val="0000FF"/>
        </w:rPr>
      </w:pPr>
      <w:hyperlink w:anchor="page73">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306" w:lineRule="exact"/>
        <w:rPr>
          <w:sz w:val="20"/>
          <w:szCs w:val="20"/>
          <w:color w:val="auto"/>
        </w:rPr>
      </w:pPr>
    </w:p>
    <w:p>
      <w:pPr>
        <w:ind w:left="840" w:right="300" w:hanging="799"/>
        <w:spacing w:after="0" w:line="276" w:lineRule="auto"/>
        <w:tabs>
          <w:tab w:leader="none" w:pos="8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materials from Haemonetics Corporation on Form 10-Q for the quarter ended June 30, 2018, formatted in Extensible Business Reporting Language (XBRL); (i) Consolidated Statements of (Loss) Income and Comprehensive (Loss) Income, (ii) Consolidated Balance Sheets, (iii) Consolidated Statements of Cash Flows, and (iv)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63" w:lineRule="exact"/>
        <w:rPr>
          <w:sz w:val="20"/>
          <w:szCs w:val="20"/>
          <w:color w:val="auto"/>
        </w:rPr>
      </w:pPr>
    </w:p>
    <w:p>
      <w:pPr>
        <w:ind w:left="720" w:hanging="685"/>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9" w:lineRule="exact"/>
        <w:rPr>
          <w:sz w:val="20"/>
          <w:szCs w:val="20"/>
          <w:color w:val="auto"/>
        </w:rPr>
      </w:pPr>
    </w:p>
    <w:p>
      <w:pPr>
        <w:ind w:left="5620" w:right="3780" w:hanging="5585"/>
        <w:spacing w:after="0" w:line="59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executive officers or directors. 31</w:t>
      </w:r>
    </w:p>
    <w:p>
      <w:pPr>
        <w:sectPr>
          <w:pgSz w:w="11900" w:h="16838" w:orient="portrait"/>
          <w:cols w:equalWidth="0" w:num="1">
            <w:col w:w="11300"/>
          </w:cols>
          <w:pgMar w:left="240" w:top="364" w:right="359" w:bottom="1440" w:gutter="0" w:footer="0" w:header="0"/>
        </w:sectPr>
      </w:pPr>
    </w:p>
    <w:bookmarkStart w:id="31" w:name="page32"/>
    <w:bookmarkEnd w:id="3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8/7/2018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Director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8/7/2018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364"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4"/>
          <w:szCs w:val="24"/>
          <w:u w:val="single" w:color="auto"/>
          <w:color w:val="auto"/>
        </w:rPr>
        <w:t>2005 LONG-TERM INCENTIVE COMPENSATION PLAN</w:t>
      </w:r>
    </w:p>
    <w:p>
      <w:pPr>
        <w:spacing w:after="0" w:line="312" w:lineRule="exact"/>
        <w:rPr>
          <w:sz w:val="20"/>
          <w:szCs w:val="20"/>
          <w:color w:val="auto"/>
        </w:rPr>
      </w:pPr>
    </w:p>
    <w:p>
      <w:pPr>
        <w:ind w:left="1620"/>
        <w:spacing w:after="0"/>
        <w:rPr>
          <w:sz w:val="20"/>
          <w:szCs w:val="20"/>
          <w:color w:val="auto"/>
        </w:rPr>
      </w:pPr>
      <w:r>
        <w:rPr>
          <w:rFonts w:ascii="Arial" w:cs="Arial" w:eastAsia="Arial" w:hAnsi="Arial"/>
          <w:sz w:val="25"/>
          <w:szCs w:val="25"/>
          <w:b w:val="1"/>
          <w:bCs w:val="1"/>
          <w:u w:val="single" w:color="auto"/>
          <w:color w:val="auto"/>
        </w:rPr>
        <w:t>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3280"/>
        <w:spacing w:after="0"/>
        <w:rPr>
          <w:sz w:val="20"/>
          <w:szCs w:val="20"/>
          <w:color w:val="auto"/>
        </w:rPr>
      </w:pPr>
      <w:r>
        <w:rPr>
          <w:rFonts w:ascii="Arial" w:cs="Arial" w:eastAsia="Arial" w:hAnsi="Arial"/>
          <w:sz w:val="25"/>
          <w:szCs w:val="25"/>
          <w:b w:val="1"/>
          <w:bCs w:val="1"/>
          <w:u w:val="single" w:color="auto"/>
          <w:color w:val="auto"/>
        </w:rPr>
        <w:t>&lt;&lt;Participant Name&gt;&gt;</w:t>
      </w:r>
    </w:p>
    <w:p>
      <w:pPr>
        <w:sectPr>
          <w:pgSz w:w="11900" w:h="16838" w:orient="portrait"/>
          <w:cols w:equalWidth="0" w:num="1">
            <w:col w:w="10220"/>
          </w:cols>
          <w:pgMar w:left="1440" w:top="364" w:right="239" w:bottom="1440" w:gutter="0" w:footer="0" w:header="0"/>
        </w:sectPr>
      </w:pPr>
    </w:p>
    <w:bookmarkStart w:id="33" w:name="page34"/>
    <w:bookmarkEnd w:id="33"/>
    <w:p>
      <w:pPr>
        <w:jc w:val="center"/>
        <w:ind w:left="260" w:right="2760"/>
        <w:spacing w:after="0" w:line="253" w:lineRule="auto"/>
        <w:rPr>
          <w:sz w:val="20"/>
          <w:szCs w:val="20"/>
          <w:color w:val="auto"/>
        </w:rPr>
      </w:pPr>
      <w:r>
        <w:rPr>
          <w:rFonts w:ascii="Arial" w:cs="Arial" w:eastAsia="Arial" w:hAnsi="Arial"/>
          <w:sz w:val="20"/>
          <w:szCs w:val="20"/>
          <w:b w:val="1"/>
          <w:bCs w:val="1"/>
          <w:color w:val="auto"/>
        </w:rPr>
        <w:t xml:space="preserve">HAEMONETICS CORPORATION NON-QUALIFIED STOCK OPTION AGREEMENT </w:t>
      </w:r>
      <w:r>
        <w:rPr>
          <w:rFonts w:ascii="Arial" w:cs="Arial" w:eastAsia="Arial" w:hAnsi="Arial"/>
          <w:sz w:val="20"/>
          <w:szCs w:val="20"/>
          <w:b w:val="1"/>
          <w:bCs w:val="1"/>
          <w:u w:val="single" w:color="auto"/>
          <w:color w:val="auto"/>
        </w:rPr>
        <w:t>UNDER 2005 LONG-TERM INCENTIVE COMPENSATION PLAN</w:t>
      </w:r>
    </w:p>
    <w:p>
      <w:pPr>
        <w:spacing w:after="0" w:line="2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2"/>
          <w:szCs w:val="22"/>
          <w:color w:val="auto"/>
        </w:rPr>
        <w:t>THIS NON-QUALIFIED STOCK OPTION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dated as of </w:t>
      </w:r>
      <w:r>
        <w:rPr>
          <w:rFonts w:ascii="Arial" w:cs="Arial" w:eastAsia="Arial" w:hAnsi="Arial"/>
          <w:sz w:val="22"/>
          <w:szCs w:val="22"/>
          <w:b w:val="1"/>
          <w:bCs w:val="1"/>
          <w:color w:val="auto"/>
        </w:rPr>
        <w:t>&lt;&lt;Grant Date&gt;&gt;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Grant Date</w:t>
      </w:r>
      <w:r>
        <w:rPr>
          <w:rFonts w:ascii="Arial" w:cs="Arial" w:eastAsia="Arial" w:hAnsi="Arial"/>
          <w:sz w:val="22"/>
          <w:szCs w:val="22"/>
          <w:color w:val="auto"/>
        </w:rPr>
        <w:t>”), by and between Haemonetics Corporation, a Massachusetts corporation with a principal place of business in Braintree, Massachusetts,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herein named employee of the Company (or one of its subsidiaries) (the Company and its subsidiaries herein together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(the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227" w:lineRule="exact"/>
        <w:rPr>
          <w:sz w:val="20"/>
          <w:szCs w:val="20"/>
          <w:color w:val="auto"/>
        </w:rPr>
      </w:pPr>
    </w:p>
    <w:p>
      <w:pPr>
        <w:jc w:val="both"/>
        <w:ind w:firstLine="332"/>
        <w:spacing w:after="0" w:line="253" w:lineRule="auto"/>
        <w:tabs>
          <w:tab w:leader="none" w:pos="7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Company desires that the Employee be granted a non-qualified stock option under the Company's 2005 Long-Term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 to acquire shares of the Company's common stock, $0.01 par value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firstLine="332"/>
        <w:spacing w:after="0" w:line="263" w:lineRule="auto"/>
        <w:tabs>
          <w:tab w:leader="none" w:pos="801" w:val="left"/>
        </w:tabs>
        <w:numPr>
          <w:ilvl w:val="0"/>
          <w:numId w:val="12"/>
        </w:numPr>
        <w:rPr>
          <w:rFonts w:ascii="Arial" w:cs="Arial" w:eastAsia="Arial" w:hAnsi="Arial"/>
          <w:sz w:val="22"/>
          <w:szCs w:val="22"/>
          <w:color w:val="auto"/>
        </w:rPr>
      </w:pPr>
      <w:r>
        <w:rPr>
          <w:rFonts w:ascii="Arial" w:cs="Arial" w:eastAsia="Arial" w:hAnsi="Arial"/>
          <w:sz w:val="22"/>
          <w:szCs w:val="22"/>
          <w:color w:val="auto"/>
        </w:rPr>
        <w:t>Article 6 of the Plan provides that each option is to be evidenced by an award agreement, setting forth the terms and conditions of the option.</w:t>
      </w:r>
    </w:p>
    <w:p>
      <w:pPr>
        <w:spacing w:after="0" w:line="215"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ACCORDINGLY, in consideration of the premises and of the mutual covenants and agreements contained herein, the Company and the Employee hereby agree as follows:</w:t>
      </w:r>
    </w:p>
    <w:p>
      <w:pPr>
        <w:spacing w:after="0" w:line="215" w:lineRule="exact"/>
        <w:rPr>
          <w:sz w:val="20"/>
          <w:szCs w:val="20"/>
          <w:color w:val="auto"/>
        </w:rPr>
      </w:pPr>
    </w:p>
    <w:p>
      <w:pPr>
        <w:jc w:val="both"/>
        <w:ind w:firstLine="332"/>
        <w:spacing w:after="0" w:line="250" w:lineRule="auto"/>
        <w:tabs>
          <w:tab w:leader="none" w:pos="743"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The Company hereby irrevocably grants to the Employee a non-qualified stock option (the “</w:t>
      </w:r>
      <w:r>
        <w:rPr>
          <w:rFonts w:ascii="Arial" w:cs="Arial" w:eastAsia="Arial" w:hAnsi="Arial"/>
          <w:sz w:val="22"/>
          <w:szCs w:val="22"/>
          <w:u w:val="single" w:color="auto"/>
          <w:color w:val="auto"/>
        </w:rPr>
        <w:t>Option</w:t>
      </w:r>
      <w:r>
        <w:rPr>
          <w:rFonts w:ascii="Arial" w:cs="Arial" w:eastAsia="Arial" w:hAnsi="Arial"/>
          <w:sz w:val="22"/>
          <w:szCs w:val="22"/>
          <w:color w:val="auto"/>
        </w:rPr>
        <w:t xml:space="preserve">”) to purchase all or any part of an aggregate of </w:t>
      </w:r>
      <w:r>
        <w:rPr>
          <w:rFonts w:ascii="Arial" w:cs="Arial" w:eastAsia="Arial" w:hAnsi="Arial"/>
          <w:sz w:val="22"/>
          <w:szCs w:val="22"/>
          <w:b w:val="1"/>
          <w:bCs w:val="1"/>
          <w:color w:val="auto"/>
        </w:rPr>
        <w:t>&lt;&lt;Number of Awards Granted&gt;&gt;</w:t>
      </w:r>
      <w:r>
        <w:rPr>
          <w:rFonts w:ascii="Arial" w:cs="Arial" w:eastAsia="Arial" w:hAnsi="Arial"/>
          <w:sz w:val="22"/>
          <w:szCs w:val="22"/>
          <w:color w:val="auto"/>
        </w:rPr>
        <w:t xml:space="preserve"> shares of Common Stock (the “</w:t>
      </w:r>
      <w:r>
        <w:rPr>
          <w:rFonts w:ascii="Arial" w:cs="Arial" w:eastAsia="Arial" w:hAnsi="Arial"/>
          <w:sz w:val="22"/>
          <w:szCs w:val="22"/>
          <w:u w:val="single" w:color="auto"/>
          <w:color w:val="auto"/>
        </w:rPr>
        <w:t>Shares</w:t>
      </w:r>
      <w:r>
        <w:rPr>
          <w:rFonts w:ascii="Arial" w:cs="Arial" w:eastAsia="Arial" w:hAnsi="Arial"/>
          <w:sz w:val="22"/>
          <w:szCs w:val="22"/>
          <w:color w:val="auto"/>
        </w:rPr>
        <w:t>”) on the terms and conditions hereinafter set forth. This Option shall not be treated as an incentive stock option under Section 422A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w:t>
      </w:r>
    </w:p>
    <w:p>
      <w:pPr>
        <w:spacing w:after="0" w:line="222" w:lineRule="exact"/>
        <w:rPr>
          <w:rFonts w:ascii="Arial" w:cs="Arial" w:eastAsia="Arial" w:hAnsi="Arial"/>
          <w:sz w:val="22"/>
          <w:szCs w:val="22"/>
          <w:color w:val="auto"/>
        </w:rPr>
      </w:pPr>
    </w:p>
    <w:p>
      <w:pPr>
        <w:ind w:left="720" w:hanging="388"/>
        <w:spacing w:after="0"/>
        <w:tabs>
          <w:tab w:leader="none" w:pos="72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w:t>
      </w: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for the Shares covered by the Option shall be </w:t>
      </w:r>
      <w:r>
        <w:rPr>
          <w:rFonts w:ascii="Arial" w:cs="Arial" w:eastAsia="Arial" w:hAnsi="Arial"/>
          <w:sz w:val="19"/>
          <w:szCs w:val="19"/>
          <w:b w:val="1"/>
          <w:bCs w:val="1"/>
          <w:color w:val="auto"/>
        </w:rPr>
        <w:t>&lt;&lt;Grant Price&gt;&gt;</w:t>
      </w:r>
      <w:r>
        <w:rPr>
          <w:rFonts w:ascii="Arial" w:cs="Arial" w:eastAsia="Arial" w:hAnsi="Arial"/>
          <w:sz w:val="19"/>
          <w:szCs w:val="19"/>
          <w:color w:val="auto"/>
        </w:rPr>
        <w:t xml:space="preserve"> per</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w:t>
      </w:r>
    </w:p>
    <w:p>
      <w:pPr>
        <w:spacing w:after="0" w:line="242" w:lineRule="exact"/>
        <w:rPr>
          <w:rFonts w:ascii="Arial" w:cs="Arial" w:eastAsia="Arial" w:hAnsi="Arial"/>
          <w:sz w:val="19"/>
          <w:szCs w:val="19"/>
          <w:color w:val="auto"/>
        </w:rPr>
      </w:pPr>
    </w:p>
    <w:p>
      <w:pPr>
        <w:jc w:val="both"/>
        <w:ind w:firstLine="332"/>
        <w:spacing w:after="0" w:line="253" w:lineRule="auto"/>
        <w:tabs>
          <w:tab w:leader="none" w:pos="716"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Time of Exercise of Option; Exercisability</w:t>
      </w:r>
      <w:r>
        <w:rPr>
          <w:rFonts w:ascii="Arial" w:cs="Arial" w:eastAsia="Arial" w:hAnsi="Arial"/>
          <w:sz w:val="22"/>
          <w:szCs w:val="22"/>
          <w:color w:val="auto"/>
        </w:rPr>
        <w:t>. The Option shall vest and become exercisable as to 25% of such Option on the first anniversary of the Grant Date, and as to an additional 25% on each succeeding anniversary date, so as to be 100% vested on the fourth (4th) anniversary of the Grant Date.</w:t>
      </w:r>
    </w:p>
    <w:p>
      <w:pPr>
        <w:spacing w:after="0" w:line="226" w:lineRule="exact"/>
        <w:rPr>
          <w:rFonts w:ascii="Arial" w:cs="Arial" w:eastAsia="Arial" w:hAnsi="Arial"/>
          <w:sz w:val="22"/>
          <w:szCs w:val="22"/>
          <w:color w:val="auto"/>
        </w:rPr>
      </w:pPr>
    </w:p>
    <w:p>
      <w:pPr>
        <w:ind w:left="720" w:hanging="388"/>
        <w:spacing w:after="0"/>
        <w:tabs>
          <w:tab w:leader="none" w:pos="72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Term of Options; Exercisability and Acceleration of Vesting</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firstLine="1142"/>
        <w:spacing w:after="0" w:line="263" w:lineRule="auto"/>
        <w:tabs>
          <w:tab w:leader="none" w:pos="1628" w:val="left"/>
        </w:tabs>
        <w:numPr>
          <w:ilvl w:val="2"/>
          <w:numId w:val="13"/>
        </w:numPr>
        <w:rPr>
          <w:rFonts w:ascii="Arial" w:cs="Arial" w:eastAsia="Arial" w:hAnsi="Arial"/>
          <w:sz w:val="22"/>
          <w:szCs w:val="22"/>
          <w:color w:val="auto"/>
        </w:rPr>
      </w:pPr>
      <w:r>
        <w:rPr>
          <w:rFonts w:ascii="Arial" w:cs="Arial" w:eastAsia="Arial" w:hAnsi="Arial"/>
          <w:sz w:val="22"/>
          <w:szCs w:val="22"/>
          <w:color w:val="auto"/>
        </w:rPr>
        <w:t>The Option shall expire not more than seven (7) years from the date of the granting thereof, but shall be subject to earlier termination as herein provided.</w:t>
      </w:r>
    </w:p>
    <w:p>
      <w:pPr>
        <w:spacing w:after="0" w:line="215" w:lineRule="exact"/>
        <w:rPr>
          <w:rFonts w:ascii="Arial" w:cs="Arial" w:eastAsia="Arial" w:hAnsi="Arial"/>
          <w:sz w:val="22"/>
          <w:szCs w:val="22"/>
          <w:color w:val="auto"/>
        </w:rPr>
      </w:pPr>
    </w:p>
    <w:p>
      <w:pPr>
        <w:jc w:val="both"/>
        <w:ind w:firstLine="1142"/>
        <w:spacing w:after="0" w:line="312" w:lineRule="auto"/>
        <w:tabs>
          <w:tab w:leader="none" w:pos="1659" w:val="left"/>
        </w:tabs>
        <w:numPr>
          <w:ilvl w:val="2"/>
          <w:numId w:val="13"/>
        </w:numPr>
        <w:rPr>
          <w:rFonts w:ascii="Arial" w:cs="Arial" w:eastAsia="Arial" w:hAnsi="Arial"/>
          <w:sz w:val="19"/>
          <w:szCs w:val="19"/>
          <w:color w:val="auto"/>
        </w:rPr>
      </w:pPr>
      <w:r>
        <w:rPr>
          <w:rFonts w:ascii="Arial" w:cs="Arial" w:eastAsia="Arial" w:hAnsi="Arial"/>
          <w:sz w:val="19"/>
          <w:szCs w:val="19"/>
          <w:color w:val="auto"/>
        </w:rPr>
        <w:t>Except as otherwise provided in this Section 4 if the Employee ceases to be an employee of the Company, the Option shall stop vesting on the last date of employment and shall terminate three months after the date such Employee ceases to be an employee of the Company, or on the date on which the Option expires by its terms, whichever occurs first.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0" w:right="239" w:bottom="1440" w:gutter="0" w:footer="0" w:header="0"/>
        </w:sectPr>
      </w:pPr>
    </w:p>
    <w:bookmarkStart w:id="34" w:name="page35"/>
    <w:bookmarkEnd w:id="34"/>
    <w:p>
      <w:pPr>
        <w:ind w:firstLine="1142"/>
        <w:spacing w:after="0" w:line="263" w:lineRule="auto"/>
        <w:tabs>
          <w:tab w:leader="none" w:pos="1651" w:val="left"/>
        </w:tabs>
        <w:numPr>
          <w:ilvl w:val="1"/>
          <w:numId w:val="14"/>
        </w:numPr>
        <w:rPr>
          <w:rFonts w:ascii="Arial" w:cs="Arial" w:eastAsia="Arial" w:hAnsi="Arial"/>
          <w:sz w:val="22"/>
          <w:szCs w:val="22"/>
          <w:color w:val="auto"/>
        </w:rPr>
      </w:pPr>
      <w:r>
        <w:rPr>
          <w:rFonts w:ascii="Arial" w:cs="Arial" w:eastAsia="Arial" w:hAnsi="Arial"/>
          <w:sz w:val="22"/>
          <w:szCs w:val="22"/>
          <w:color w:val="auto"/>
        </w:rPr>
        <w:t>If such termination of employment is because of the Employee’s Disability, such Option shall continue to vest, and shall be exercisable until expiration by its terms.</w:t>
      </w:r>
    </w:p>
    <w:p>
      <w:pPr>
        <w:spacing w:after="0" w:line="215" w:lineRule="exact"/>
        <w:rPr>
          <w:rFonts w:ascii="Arial" w:cs="Arial" w:eastAsia="Arial" w:hAnsi="Arial"/>
          <w:sz w:val="22"/>
          <w:szCs w:val="22"/>
          <w:color w:val="auto"/>
        </w:rPr>
      </w:pPr>
    </w:p>
    <w:p>
      <w:pPr>
        <w:jc w:val="both"/>
        <w:ind w:firstLine="1142"/>
        <w:spacing w:after="0" w:line="294" w:lineRule="auto"/>
        <w:tabs>
          <w:tab w:leader="none" w:pos="1610" w:val="left"/>
        </w:tabs>
        <w:numPr>
          <w:ilvl w:val="1"/>
          <w:numId w:val="14"/>
        </w:numPr>
        <w:rPr>
          <w:rFonts w:ascii="Arial" w:cs="Arial" w:eastAsia="Arial" w:hAnsi="Arial"/>
          <w:sz w:val="19"/>
          <w:szCs w:val="19"/>
          <w:color w:val="auto"/>
        </w:rPr>
      </w:pPr>
      <w:r>
        <w:rPr>
          <w:rFonts w:ascii="Arial" w:cs="Arial" w:eastAsia="Arial" w:hAnsi="Arial"/>
          <w:sz w:val="19"/>
          <w:szCs w:val="19"/>
          <w:color w:val="auto"/>
        </w:rPr>
        <w:t>If such termination of employment is because the Employee has retired from the Company in good standing then such Option shall stop vesting on the last date of employment but may be exercised by the Employee (or her/his permitted transferee) at any time on or prior to the earlier of the expiration date of the Option or the expiration of five (5) years after the date of the Employee’s termination due to retirement. For purposes of this Option Agreement, retirement shall mean a termination of employment initiated by the Employee after reaching age fifty five, and completing at least five years of service with the Company. Years of service with any of the Company’s wholly owned subsidiaries shall be credited as years of service with the Company.</w:t>
      </w:r>
    </w:p>
    <w:p>
      <w:pPr>
        <w:spacing w:after="0" w:line="190" w:lineRule="exact"/>
        <w:rPr>
          <w:rFonts w:ascii="Arial" w:cs="Arial" w:eastAsia="Arial" w:hAnsi="Arial"/>
          <w:sz w:val="19"/>
          <w:szCs w:val="19"/>
          <w:color w:val="auto"/>
        </w:rPr>
      </w:pPr>
    </w:p>
    <w:p>
      <w:pPr>
        <w:ind w:firstLine="1142"/>
        <w:spacing w:after="0" w:line="263" w:lineRule="auto"/>
        <w:tabs>
          <w:tab w:leader="none" w:pos="1711" w:val="left"/>
        </w:tabs>
        <w:numPr>
          <w:ilvl w:val="1"/>
          <w:numId w:val="14"/>
        </w:numPr>
        <w:rPr>
          <w:rFonts w:ascii="Arial" w:cs="Arial" w:eastAsia="Arial" w:hAnsi="Arial"/>
          <w:sz w:val="22"/>
          <w:szCs w:val="22"/>
          <w:color w:val="auto"/>
        </w:rPr>
      </w:pPr>
      <w:r>
        <w:rPr>
          <w:rFonts w:ascii="Arial" w:cs="Arial" w:eastAsia="Arial" w:hAnsi="Arial"/>
          <w:sz w:val="22"/>
          <w:szCs w:val="22"/>
          <w:color w:val="auto"/>
        </w:rPr>
        <w:t>In the event of the death of the Employee while in the employ of the Company, any unvested options shall immediately become fully vested, and the Option shall be exercisable until expiration by its terms.</w:t>
      </w:r>
    </w:p>
    <w:p>
      <w:pPr>
        <w:spacing w:after="0" w:line="215" w:lineRule="exact"/>
        <w:rPr>
          <w:rFonts w:ascii="Arial" w:cs="Arial" w:eastAsia="Arial" w:hAnsi="Arial"/>
          <w:sz w:val="22"/>
          <w:szCs w:val="22"/>
          <w:color w:val="auto"/>
        </w:rPr>
      </w:pPr>
    </w:p>
    <w:p>
      <w:pPr>
        <w:jc w:val="both"/>
        <w:ind w:firstLine="1142"/>
        <w:spacing w:after="0" w:line="247" w:lineRule="auto"/>
        <w:tabs>
          <w:tab w:leader="none" w:pos="173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Option shall immediately become fully vested if (i) a Change in Control occurs and (ii) the surviving corporation or acquiring corporation following a Change in Control refuses to assume or continue the Option or to substitute a similar equity award. If the Option is so continued, assumed or substituted and at any time during the 24 months immediately following the Change in Control the Employee’s employment is terminated without Cause or is terminated by the Employee due to a Constructive Termination, then all unvested options shall immediately become fully vested and shall be exercisable until expiration by their terms.</w:t>
      </w:r>
    </w:p>
    <w:p>
      <w:pPr>
        <w:spacing w:after="0" w:line="234" w:lineRule="exact"/>
        <w:rPr>
          <w:rFonts w:ascii="Arial" w:cs="Arial" w:eastAsia="Arial" w:hAnsi="Arial"/>
          <w:sz w:val="22"/>
          <w:szCs w:val="22"/>
          <w:color w:val="auto"/>
        </w:rPr>
      </w:pPr>
    </w:p>
    <w:p>
      <w:pPr>
        <w:ind w:left="1120" w:hanging="464"/>
        <w:spacing w:after="0"/>
        <w:tabs>
          <w:tab w:leader="none" w:pos="112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71" w:lineRule="exact"/>
        <w:rPr>
          <w:rFonts w:ascii="Arial" w:cs="Arial" w:eastAsia="Arial" w:hAnsi="Arial"/>
          <w:sz w:val="21"/>
          <w:szCs w:val="21"/>
          <w:color w:val="auto"/>
        </w:rPr>
      </w:pPr>
    </w:p>
    <w:p>
      <w:pPr>
        <w:ind w:left="1540" w:hanging="398"/>
        <w:spacing w:after="0"/>
        <w:tabs>
          <w:tab w:leader="none" w:pos="15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60" w:lineRule="exact"/>
        <w:rPr>
          <w:rFonts w:ascii="Arial" w:cs="Arial" w:eastAsia="Arial" w:hAnsi="Arial"/>
          <w:sz w:val="22"/>
          <w:szCs w:val="22"/>
          <w:color w:val="auto"/>
        </w:rPr>
      </w:pPr>
    </w:p>
    <w:p>
      <w:pPr>
        <w:ind w:left="1620" w:firstLine="9"/>
        <w:spacing w:after="0" w:line="263" w:lineRule="auto"/>
        <w:tabs>
          <w:tab w:leader="none" w:pos="2020"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Employee’s conviction of (or a plea of guilty or nolo contendere to) a felony or any other crime involving moral turpitude, dishonesty, fraud, theft or financial impropriety; or</w:t>
      </w:r>
    </w:p>
    <w:p>
      <w:pPr>
        <w:spacing w:after="0" w:line="174" w:lineRule="exact"/>
        <w:rPr>
          <w:rFonts w:ascii="Arial" w:cs="Arial" w:eastAsia="Arial" w:hAnsi="Arial"/>
          <w:sz w:val="22"/>
          <w:szCs w:val="22"/>
          <w:color w:val="auto"/>
        </w:rPr>
      </w:pPr>
    </w:p>
    <w:p>
      <w:pPr>
        <w:jc w:val="both"/>
        <w:ind w:left="1620" w:firstLine="9"/>
        <w:spacing w:after="0" w:line="289" w:lineRule="auto"/>
        <w:tabs>
          <w:tab w:leader="none" w:pos="1995" w:val="left"/>
        </w:tabs>
        <w:numPr>
          <w:ilvl w:val="2"/>
          <w:numId w:val="15"/>
        </w:numPr>
        <w:rPr>
          <w:rFonts w:ascii="Arial" w:cs="Arial" w:eastAsia="Arial" w:hAnsi="Arial"/>
          <w:sz w:val="19"/>
          <w:szCs w:val="19"/>
          <w:color w:val="auto"/>
        </w:rPr>
      </w:pPr>
      <w:r>
        <w:rPr>
          <w:rFonts w:ascii="Arial" w:cs="Arial" w:eastAsia="Arial" w:hAnsi="Arial"/>
          <w:sz w:val="19"/>
          <w:szCs w:val="19"/>
          <w:color w:val="auto"/>
        </w:rPr>
        <w:t>a determination by the Company that the Employee has (i) willfully and continuously failed to perform substantially the Employee’s duties (other than any such failure resulting from the Employee’s CIC Disability) after a written demand for substantial performance is delivered to the Employee which specifically identifies the manner in which the Company believes that the Employee has not substantially performed the Employee’s duties, (ii) engaged in illegal conduct, an act of dishonesty or gross misconduct, or (iii) willfully violated a material requirement of the Company’s code of conduct or the Employee’s fiduciary duty to the Company. No act or failure to act on the part of the Employee shall be considered “willful” unless it is done, or omitted to be done, by the Employee in bad faith and without reasonable belief that the Employee’s action or omission was in, or not opposed to, the best interests of the Company or its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35" w:name="page36"/>
    <w:bookmarkEnd w:id="35"/>
    <w:p>
      <w:pPr>
        <w:ind w:left="1660" w:hanging="518"/>
        <w:spacing w:after="0"/>
        <w:tabs>
          <w:tab w:leader="none" w:pos="1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 the following events.</w:t>
      </w:r>
    </w:p>
    <w:p>
      <w:pPr>
        <w:spacing w:after="0" w:line="260" w:lineRule="exact"/>
        <w:rPr>
          <w:rFonts w:ascii="Arial" w:cs="Arial" w:eastAsia="Arial" w:hAnsi="Arial"/>
          <w:sz w:val="22"/>
          <w:szCs w:val="22"/>
          <w:color w:val="auto"/>
        </w:rPr>
      </w:pPr>
    </w:p>
    <w:p>
      <w:pPr>
        <w:jc w:val="both"/>
        <w:ind w:left="1620" w:firstLine="9"/>
        <w:spacing w:after="0" w:line="263" w:lineRule="auto"/>
        <w:tabs>
          <w:tab w:leader="none" w:pos="1996" w:val="left"/>
        </w:tabs>
        <w:numPr>
          <w:ilvl w:val="1"/>
          <w:numId w:val="16"/>
        </w:numPr>
        <w:rPr>
          <w:rFonts w:ascii="Arial" w:cs="Arial" w:eastAsia="Arial" w:hAnsi="Arial"/>
          <w:sz w:val="21"/>
          <w:szCs w:val="21"/>
          <w:color w:val="auto"/>
        </w:rPr>
      </w:pPr>
      <w:r>
        <w:rPr>
          <w:rFonts w:ascii="Arial" w:cs="Arial" w:eastAsia="Arial" w:hAnsi="Arial"/>
          <w:sz w:val="21"/>
          <w:szCs w:val="21"/>
          <w:color w:val="auto"/>
        </w:rPr>
        <w:t>a person, or any two or more persons acting as a group, and all affiliates of such person or persons, who prior to such time owned less than fifty percent (50%) of the Company’s then outstanding shares of Common Stock, shall acquire such additional shares of Common Stock in one or more transactions, or series of transactions, such that following such transaction or transactions such person or group and affiliates beneficially own fifty percent (50%) or more of the Common Stock outstanding,</w:t>
      </w:r>
    </w:p>
    <w:p>
      <w:pPr>
        <w:spacing w:after="0" w:line="216" w:lineRule="exact"/>
        <w:rPr>
          <w:rFonts w:ascii="Arial" w:cs="Arial" w:eastAsia="Arial" w:hAnsi="Arial"/>
          <w:sz w:val="21"/>
          <w:szCs w:val="21"/>
          <w:color w:val="auto"/>
        </w:rPr>
      </w:pPr>
    </w:p>
    <w:p>
      <w:pPr>
        <w:ind w:left="1620" w:firstLine="9"/>
        <w:spacing w:after="0" w:line="263" w:lineRule="auto"/>
        <w:tabs>
          <w:tab w:leader="none" w:pos="1992" w:val="left"/>
        </w:tabs>
        <w:numPr>
          <w:ilvl w:val="1"/>
          <w:numId w:val="16"/>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w:t>
      </w:r>
    </w:p>
    <w:p>
      <w:pPr>
        <w:spacing w:after="0" w:line="215" w:lineRule="exact"/>
        <w:rPr>
          <w:rFonts w:ascii="Arial" w:cs="Arial" w:eastAsia="Arial" w:hAnsi="Arial"/>
          <w:sz w:val="22"/>
          <w:szCs w:val="22"/>
          <w:color w:val="auto"/>
        </w:rPr>
      </w:pPr>
    </w:p>
    <w:p>
      <w:pPr>
        <w:jc w:val="both"/>
        <w:ind w:left="1620" w:firstLine="9"/>
        <w:spacing w:after="0" w:line="246" w:lineRule="auto"/>
        <w:tabs>
          <w:tab w:leader="none" w:pos="1973" w:val="left"/>
        </w:tabs>
        <w:numPr>
          <w:ilvl w:val="1"/>
          <w:numId w:val="16"/>
        </w:numPr>
        <w:rPr>
          <w:rFonts w:ascii="Arial" w:cs="Arial" w:eastAsia="Arial" w:hAnsi="Arial"/>
          <w:sz w:val="22"/>
          <w:szCs w:val="22"/>
          <w:color w:val="auto"/>
        </w:rPr>
      </w:pPr>
      <w:r>
        <w:rPr>
          <w:rFonts w:ascii="Arial" w:cs="Arial" w:eastAsia="Arial" w:hAnsi="Arial"/>
          <w:sz w:val="22"/>
          <w:szCs w:val="22"/>
          <w:color w:val="auto"/>
        </w:rPr>
        <w:t>individuals who constitute the Incumbent Board cease for any reason to constitute at least a majority of the Company’s Board of Directors (for this purpose, “Incumbent Board” means at any time those persons who are then members of the Company’s Board of Directors and who are either (i) members of the Company’s Board of Directors on the date of this Agreement, or (ii) have been elected, or have been nominated for election by the Company’s shareholders,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and</w:t>
      </w:r>
    </w:p>
    <w:p>
      <w:pPr>
        <w:spacing w:after="0" w:line="235" w:lineRule="exact"/>
        <w:rPr>
          <w:rFonts w:ascii="Arial" w:cs="Arial" w:eastAsia="Arial" w:hAnsi="Arial"/>
          <w:sz w:val="22"/>
          <w:szCs w:val="22"/>
          <w:color w:val="auto"/>
        </w:rPr>
      </w:pPr>
    </w:p>
    <w:p>
      <w:pPr>
        <w:jc w:val="both"/>
        <w:ind w:left="1620" w:firstLine="9"/>
        <w:spacing w:after="0" w:line="290" w:lineRule="auto"/>
        <w:tabs>
          <w:tab w:leader="none" w:pos="1995"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consummation of any merger, reorganization, consolidation or share exchange unless the persons who were the beneficial owners of the outstanding shares of Common Stock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197" w:lineRule="exact"/>
        <w:rPr>
          <w:rFonts w:ascii="Arial" w:cs="Arial" w:eastAsia="Arial" w:hAnsi="Arial"/>
          <w:sz w:val="19"/>
          <w:szCs w:val="19"/>
          <w:color w:val="auto"/>
        </w:rPr>
      </w:pPr>
    </w:p>
    <w:p>
      <w:pPr>
        <w:ind w:firstLine="1142"/>
        <w:spacing w:after="0" w:line="287" w:lineRule="auto"/>
        <w:tabs>
          <w:tab w:leader="none" w:pos="1697"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CIC Disability</w:t>
      </w:r>
      <w:r>
        <w:rPr>
          <w:rFonts w:ascii="Arial" w:cs="Arial" w:eastAsia="Arial" w:hAnsi="Arial"/>
          <w:sz w:val="21"/>
          <w:szCs w:val="21"/>
          <w:color w:val="auto"/>
        </w:rPr>
        <w:t>” means the Employee’s inability, due to physical or mental incapacity resulting from injury, sickness or disease, for one hundred and eighty days in any twelve month period to perform his duties hereunder.</w:t>
      </w:r>
    </w:p>
    <w:p>
      <w:pPr>
        <w:spacing w:after="0" w:line="192" w:lineRule="exact"/>
        <w:rPr>
          <w:rFonts w:ascii="Arial" w:cs="Arial" w:eastAsia="Arial" w:hAnsi="Arial"/>
          <w:sz w:val="21"/>
          <w:szCs w:val="21"/>
          <w:color w:val="auto"/>
        </w:rPr>
      </w:pPr>
    </w:p>
    <w:p>
      <w:pPr>
        <w:ind w:firstLine="1142"/>
        <w:spacing w:after="0" w:line="263" w:lineRule="auto"/>
        <w:tabs>
          <w:tab w:leader="none" w:pos="163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Constructive Termination</w:t>
      </w:r>
      <w:r>
        <w:rPr>
          <w:rFonts w:ascii="Arial" w:cs="Arial" w:eastAsia="Arial" w:hAnsi="Arial"/>
          <w:sz w:val="22"/>
          <w:szCs w:val="22"/>
          <w:color w:val="auto"/>
        </w:rPr>
        <w:t>” means, without the express written consent of the Employee, the occurrence of any of the following during the 24 months immediately after a Change in Control: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36" w:name="page37"/>
    <w:bookmarkEnd w:id="36"/>
    <w:p>
      <w:pPr>
        <w:jc w:val="both"/>
        <w:ind w:left="1540" w:firstLine="8"/>
        <w:spacing w:after="0" w:line="302" w:lineRule="auto"/>
        <w:tabs>
          <w:tab w:leader="none" w:pos="1929"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material reduction in the Employee’s annual base salary as in effect immediately prior to a Change in Control or as the same may be increased from time to time, or a material failure to provide the Employee with an opportunity to earn annual incentive compensation and long-term incentive compensation at least as favorable as in effect immediately prior to a Change of Control or as the same may be increased from time to time;</w:t>
      </w:r>
    </w:p>
    <w:p>
      <w:pPr>
        <w:spacing w:after="0" w:line="183" w:lineRule="exact"/>
        <w:rPr>
          <w:rFonts w:ascii="Arial" w:cs="Arial" w:eastAsia="Arial" w:hAnsi="Arial"/>
          <w:sz w:val="19"/>
          <w:szCs w:val="19"/>
          <w:color w:val="auto"/>
        </w:rPr>
      </w:pPr>
    </w:p>
    <w:p>
      <w:pPr>
        <w:ind w:left="1540" w:right="20" w:firstLine="8"/>
        <w:spacing w:after="0" w:line="263" w:lineRule="auto"/>
        <w:tabs>
          <w:tab w:leader="none" w:pos="1906" w:val="left"/>
        </w:tabs>
        <w:numPr>
          <w:ilvl w:val="0"/>
          <w:numId w:val="17"/>
        </w:numPr>
        <w:rPr>
          <w:rFonts w:ascii="Arial" w:cs="Arial" w:eastAsia="Arial" w:hAnsi="Arial"/>
          <w:sz w:val="22"/>
          <w:szCs w:val="22"/>
          <w:color w:val="auto"/>
        </w:rPr>
      </w:pPr>
      <w:r>
        <w:rPr>
          <w:rFonts w:ascii="Arial" w:cs="Arial" w:eastAsia="Arial" w:hAnsi="Arial"/>
          <w:sz w:val="22"/>
          <w:szCs w:val="22"/>
          <w:color w:val="auto"/>
        </w:rPr>
        <w:t>a material diminution in the Employee’s authority, duties, or responsibilities as in effect at the time of the Change in Control;</w:t>
      </w:r>
    </w:p>
    <w:p>
      <w:pPr>
        <w:spacing w:after="0" w:line="215" w:lineRule="exact"/>
        <w:rPr>
          <w:rFonts w:ascii="Arial" w:cs="Arial" w:eastAsia="Arial" w:hAnsi="Arial"/>
          <w:sz w:val="22"/>
          <w:szCs w:val="22"/>
          <w:color w:val="auto"/>
        </w:rPr>
      </w:pPr>
    </w:p>
    <w:p>
      <w:pPr>
        <w:jc w:val="both"/>
        <w:ind w:left="1540" w:firstLine="8"/>
        <w:spacing w:after="0" w:line="248" w:lineRule="auto"/>
        <w:tabs>
          <w:tab w:leader="none" w:pos="1897" w:val="left"/>
        </w:tabs>
        <w:numPr>
          <w:ilvl w:val="0"/>
          <w:numId w:val="17"/>
        </w:numPr>
        <w:rPr>
          <w:rFonts w:ascii="Arial" w:cs="Arial" w:eastAsia="Arial" w:hAnsi="Arial"/>
          <w:sz w:val="22"/>
          <w:szCs w:val="22"/>
          <w:color w:val="auto"/>
        </w:rPr>
      </w:pPr>
      <w:r>
        <w:rPr>
          <w:rFonts w:ascii="Arial" w:cs="Arial" w:eastAsia="Arial" w:hAnsi="Arial"/>
          <w:sz w:val="22"/>
          <w:szCs w:val="22"/>
          <w:color w:val="auto"/>
        </w:rPr>
        <w:t>a material diminution in the authority, duties, or responsibilities of the supervisor to whom the Employee is required to report (it being understood that if the Employee reports directly to the Company’s Board of Directors prior to the Change in Control, a requirement that the Employee report to any individual or body other than the Board of the Directors of the surviving or acquiring corporation will constitute “Constructive Termination” hereunder);</w:t>
      </w:r>
    </w:p>
    <w:p>
      <w:pPr>
        <w:spacing w:after="0" w:line="232" w:lineRule="exact"/>
        <w:rPr>
          <w:rFonts w:ascii="Arial" w:cs="Arial" w:eastAsia="Arial" w:hAnsi="Arial"/>
          <w:sz w:val="22"/>
          <w:szCs w:val="22"/>
          <w:color w:val="auto"/>
        </w:rPr>
      </w:pPr>
    </w:p>
    <w:p>
      <w:pPr>
        <w:ind w:left="1900" w:hanging="352"/>
        <w:spacing w:after="0"/>
        <w:tabs>
          <w:tab w:leader="none" w:pos="19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 material diminution in the budget over which the Employee retains authority;</w:t>
      </w:r>
    </w:p>
    <w:p>
      <w:pPr>
        <w:spacing w:after="0" w:line="260" w:lineRule="exact"/>
        <w:rPr>
          <w:rFonts w:ascii="Arial" w:cs="Arial" w:eastAsia="Arial" w:hAnsi="Arial"/>
          <w:sz w:val="22"/>
          <w:szCs w:val="22"/>
          <w:color w:val="auto"/>
        </w:rPr>
      </w:pPr>
    </w:p>
    <w:p>
      <w:pPr>
        <w:jc w:val="both"/>
        <w:ind w:left="1540" w:firstLine="8"/>
        <w:spacing w:after="0" w:line="297" w:lineRule="auto"/>
        <w:tabs>
          <w:tab w:leader="none" w:pos="1891"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Company’s requiring the Employee to be based anywhere outside a fifty mile radius of the Company’s offices at which the Employee is based as of immediately prior to a Change of Control (or any subsequent location at which the Employee has previously consented to be based) except for required travel on the Company’s business to an extent that is not substantially greater than the Employee’s business travel obligations as of immediately prior to a Change in Control or, if more favorable, as of any time thereafter; or</w:t>
      </w:r>
    </w:p>
    <w:p>
      <w:pPr>
        <w:spacing w:after="0" w:line="187" w:lineRule="exact"/>
        <w:rPr>
          <w:rFonts w:ascii="Arial" w:cs="Arial" w:eastAsia="Arial" w:hAnsi="Arial"/>
          <w:sz w:val="19"/>
          <w:szCs w:val="19"/>
          <w:color w:val="auto"/>
        </w:rPr>
      </w:pPr>
    </w:p>
    <w:p>
      <w:pPr>
        <w:ind w:left="1540" w:right="20" w:firstLine="8"/>
        <w:spacing w:after="0" w:line="263" w:lineRule="auto"/>
        <w:tabs>
          <w:tab w:leader="none" w:pos="1862"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other action or inaction that constitutes a material breach by the Company or any of its subsidiaries of the terms of this Agreement.</w:t>
      </w:r>
    </w:p>
    <w:p>
      <w:pPr>
        <w:spacing w:after="0" w:line="215" w:lineRule="exact"/>
        <w:rPr>
          <w:sz w:val="20"/>
          <w:szCs w:val="20"/>
          <w:color w:val="auto"/>
        </w:rPr>
      </w:pPr>
    </w:p>
    <w:p>
      <w:pPr>
        <w:jc w:val="both"/>
        <w:ind w:firstLine="1040"/>
        <w:spacing w:after="0" w:line="250" w:lineRule="auto"/>
        <w:rPr>
          <w:sz w:val="20"/>
          <w:szCs w:val="20"/>
          <w:color w:val="auto"/>
        </w:rPr>
      </w:pPr>
      <w:r>
        <w:rPr>
          <w:rFonts w:ascii="Arial" w:cs="Arial" w:eastAsia="Arial" w:hAnsi="Arial"/>
          <w:sz w:val="22"/>
          <w:szCs w:val="22"/>
          <w:color w:val="auto"/>
        </w:rPr>
        <w:t>In no event shall the Employee be entitled to terminate employment with the Company on account of “Constructive Termination” unless the Employee provides notice of the existence of the purported condition that constitutes “Constructive Termination” within a period not to exceed ninety (90) days of its initial existence, and the Company fails to cure such condition (if curable) within thirty (30) days after the receipt of such notice.</w:t>
      </w:r>
    </w:p>
    <w:p>
      <w:pPr>
        <w:spacing w:after="0" w:line="229" w:lineRule="exact"/>
        <w:rPr>
          <w:sz w:val="20"/>
          <w:szCs w:val="20"/>
          <w:color w:val="auto"/>
        </w:rPr>
      </w:pPr>
    </w:p>
    <w:p>
      <w:pPr>
        <w:ind w:left="1520" w:hanging="459"/>
        <w:spacing w:after="0"/>
        <w:tabs>
          <w:tab w:leader="none" w:pos="1520" w:val="left"/>
        </w:tabs>
        <w:numPr>
          <w:ilvl w:val="2"/>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given it in Article 2 of the Plan.</w:t>
      </w:r>
    </w:p>
    <w:p>
      <w:pPr>
        <w:spacing w:after="0" w:line="260" w:lineRule="exact"/>
        <w:rPr>
          <w:rFonts w:ascii="Arial" w:cs="Arial" w:eastAsia="Arial" w:hAnsi="Arial"/>
          <w:sz w:val="22"/>
          <w:szCs w:val="22"/>
          <w:color w:val="auto"/>
        </w:rPr>
      </w:pPr>
    </w:p>
    <w:p>
      <w:pPr>
        <w:ind w:left="720" w:hanging="388"/>
        <w:spacing w:after="0"/>
        <w:tabs>
          <w:tab w:leader="none" w:pos="72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Manner of Exercise of Option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65" w:lineRule="auto"/>
        <w:tabs>
          <w:tab w:leader="none" w:pos="942" w:val="left"/>
        </w:tabs>
        <w:numPr>
          <w:ilvl w:val="1"/>
          <w:numId w:val="19"/>
        </w:numPr>
        <w:rPr>
          <w:rFonts w:ascii="Arial" w:cs="Arial" w:eastAsia="Arial" w:hAnsi="Arial"/>
          <w:sz w:val="21"/>
          <w:szCs w:val="21"/>
          <w:color w:val="auto"/>
        </w:rPr>
      </w:pPr>
      <w:r>
        <w:rPr>
          <w:rFonts w:ascii="Arial" w:cs="Arial" w:eastAsia="Arial" w:hAnsi="Arial"/>
          <w:sz w:val="21"/>
          <w:szCs w:val="21"/>
          <w:color w:val="auto"/>
        </w:rPr>
        <w:t>To the extent that the right to exercise the Option has accrued and is in effect, the Option may be exercised in full or in part by giving written, electronic, or telephonic notice to the Company stating the number of Shares exercised and accompanied by payment in full for such Shares. Payment may be either wholly in cash or, with the consent of the Compensation Committee, in whole or in part in shares of Common Stock already owned by the person exercising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37" w:name="page38"/>
    <w:bookmarkEnd w:id="37"/>
    <w:p>
      <w:pPr>
        <w:jc w:val="both"/>
        <w:spacing w:after="0" w:line="312" w:lineRule="auto"/>
        <w:rPr>
          <w:sz w:val="20"/>
          <w:szCs w:val="20"/>
          <w:color w:val="auto"/>
        </w:rPr>
      </w:pPr>
      <w:r>
        <w:rPr>
          <w:rFonts w:ascii="Arial" w:cs="Arial" w:eastAsia="Arial" w:hAnsi="Arial"/>
          <w:sz w:val="19"/>
          <w:szCs w:val="19"/>
          <w:color w:val="auto"/>
        </w:rPr>
        <w:t>the Option, valued at fair market value, provided that the shares must have been held by the Participant for at least six (6) months prior to their delivery to satisfy the Option price. Upon such exercise, delivery of a certificate for paid-up, non-assessable Shares shall be made, as promptly as practicable, at the principal office of the Company to the person exercising the Option.</w:t>
      </w:r>
    </w:p>
    <w:p>
      <w:pPr>
        <w:spacing w:after="0" w:line="174" w:lineRule="exact"/>
        <w:rPr>
          <w:sz w:val="20"/>
          <w:szCs w:val="20"/>
          <w:color w:val="auto"/>
        </w:rPr>
      </w:pPr>
    </w:p>
    <w:p>
      <w:pPr>
        <w:jc w:val="both"/>
        <w:ind w:firstLine="656"/>
        <w:spacing w:after="0" w:line="250" w:lineRule="auto"/>
        <w:tabs>
          <w:tab w:leader="none" w:pos="1141"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Company shall at all times during the term of the Option reserve and keep available such number of shares of its Common Stock as will be sufficient to satisfy the requirements of the Option. The Employee shall not have any of the rights of a shareholder of the Company in respect of the Shares until one or more certificates for such Shares shall be delivered to him or her upon the due exercise of the Option.</w:t>
      </w:r>
    </w:p>
    <w:p>
      <w:pPr>
        <w:spacing w:after="0" w:line="228" w:lineRule="exact"/>
        <w:rPr>
          <w:rFonts w:ascii="Arial" w:cs="Arial" w:eastAsia="Arial" w:hAnsi="Arial"/>
          <w:sz w:val="22"/>
          <w:szCs w:val="22"/>
          <w:color w:val="auto"/>
        </w:rPr>
      </w:pPr>
    </w:p>
    <w:p>
      <w:pPr>
        <w:jc w:val="both"/>
        <w:ind w:firstLine="332"/>
        <w:spacing w:after="0" w:line="292" w:lineRule="auto"/>
        <w:tabs>
          <w:tab w:leader="none" w:pos="797"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Non-Transferability</w:t>
      </w:r>
      <w:r>
        <w:rPr>
          <w:rFonts w:ascii="Arial" w:cs="Arial" w:eastAsia="Arial" w:hAnsi="Arial"/>
          <w:sz w:val="19"/>
          <w:szCs w:val="19"/>
          <w:color w:val="auto"/>
        </w:rPr>
        <w:t>. The right of the Employee to exercise the Option shall not be assignable or transferable by the Employee otherwise than by will or the laws of descent and distribution, or pursuant to a qualified domestic relations order as defined by the Code or Title I of the Employee Retirement Income Security Act, or the rules thereunder, and the Option may be exercised during the lifetime of the Employee only by him or her. The Option shall be null and void and without effect upon any attempted assignment or transfer, except as hereinabove provided, including without limitation any purported assignment, whether voluntary or by operation of law, pledge, hypothecation or other disposition contrary to the provisions hereof, or levy of execution, attachment, trustee process or similar process, whether legal or equitable, upon the Option.</w:t>
      </w:r>
    </w:p>
    <w:p>
      <w:pPr>
        <w:spacing w:after="0" w:line="192" w:lineRule="exact"/>
        <w:rPr>
          <w:rFonts w:ascii="Arial" w:cs="Arial" w:eastAsia="Arial" w:hAnsi="Arial"/>
          <w:sz w:val="19"/>
          <w:szCs w:val="19"/>
          <w:color w:val="auto"/>
        </w:rPr>
      </w:pPr>
    </w:p>
    <w:p>
      <w:pPr>
        <w:ind w:left="720" w:hanging="388"/>
        <w:spacing w:after="0"/>
        <w:tabs>
          <w:tab w:leader="none" w:pos="72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Representation Letter and Investment Legend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302" w:lineRule="auto"/>
        <w:tabs>
          <w:tab w:leader="none" w:pos="1137"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the event that for any reason the Shares to be issued upon exercise of the Option shall not be effectively registered under the Securities Act of 1933 (the “1933 Act”), upon any date on which the Option is exercised in whole or in part, the person exercising the Option shall give a written representation to the Company in a form satisfactory to the Company and the Company shall place an “investment legend,” so-called upon any certificate for the Shares issued by reason of such exercise.</w:t>
      </w:r>
    </w:p>
    <w:p>
      <w:pPr>
        <w:spacing w:after="0" w:line="183" w:lineRule="exact"/>
        <w:rPr>
          <w:rFonts w:ascii="Arial" w:cs="Arial" w:eastAsia="Arial" w:hAnsi="Arial"/>
          <w:sz w:val="19"/>
          <w:szCs w:val="19"/>
          <w:color w:val="auto"/>
        </w:rPr>
      </w:pPr>
    </w:p>
    <w:p>
      <w:pPr>
        <w:ind w:right="20" w:firstLine="656"/>
        <w:spacing w:after="0" w:line="287" w:lineRule="auto"/>
        <w:tabs>
          <w:tab w:leader="none" w:pos="1184" w:val="left"/>
        </w:tabs>
        <w:numPr>
          <w:ilvl w:val="1"/>
          <w:numId w:val="21"/>
        </w:numPr>
        <w:rPr>
          <w:rFonts w:ascii="Arial" w:cs="Arial" w:eastAsia="Arial" w:hAnsi="Arial"/>
          <w:sz w:val="21"/>
          <w:szCs w:val="21"/>
          <w:color w:val="auto"/>
        </w:rPr>
      </w:pPr>
      <w:r>
        <w:rPr>
          <w:rFonts w:ascii="Arial" w:cs="Arial" w:eastAsia="Arial" w:hAnsi="Arial"/>
          <w:sz w:val="21"/>
          <w:szCs w:val="21"/>
          <w:color w:val="auto"/>
        </w:rPr>
        <w:t>The Company shall be under no obligation to qualify Shares or to cause a registration statement or a post-effective amendment to any registration statement to be prepared for the purposes of covering the issue of Shares.</w:t>
      </w:r>
    </w:p>
    <w:p>
      <w:pPr>
        <w:spacing w:after="0" w:line="192" w:lineRule="exact"/>
        <w:rPr>
          <w:rFonts w:ascii="Arial" w:cs="Arial" w:eastAsia="Arial" w:hAnsi="Arial"/>
          <w:sz w:val="21"/>
          <w:szCs w:val="21"/>
          <w:color w:val="auto"/>
        </w:rPr>
      </w:pPr>
    </w:p>
    <w:p>
      <w:pPr>
        <w:ind w:firstLine="332"/>
        <w:spacing w:after="0" w:line="263" w:lineRule="auto"/>
        <w:tabs>
          <w:tab w:leader="none" w:pos="851"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Adjustments on Changes in Capitalization</w:t>
      </w:r>
      <w:r>
        <w:rPr>
          <w:rFonts w:ascii="Arial" w:cs="Arial" w:eastAsia="Arial" w:hAnsi="Arial"/>
          <w:sz w:val="22"/>
          <w:szCs w:val="22"/>
          <w:color w:val="auto"/>
        </w:rPr>
        <w:t>. Adjustments on Changes in Capitalization and the like shall be made in accordance with Article 4 of the Plan, as in effect on the date of this Agreement.</w:t>
      </w:r>
    </w:p>
    <w:p>
      <w:pPr>
        <w:spacing w:after="0" w:line="215" w:lineRule="exact"/>
        <w:rPr>
          <w:rFonts w:ascii="Arial" w:cs="Arial" w:eastAsia="Arial" w:hAnsi="Arial"/>
          <w:sz w:val="22"/>
          <w:szCs w:val="22"/>
          <w:color w:val="auto"/>
        </w:rPr>
      </w:pPr>
    </w:p>
    <w:p>
      <w:pPr>
        <w:jc w:val="both"/>
        <w:ind w:firstLine="332"/>
        <w:spacing w:after="0" w:line="247" w:lineRule="auto"/>
        <w:tabs>
          <w:tab w:leader="none" w:pos="783"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No Special Employment Rights</w:t>
      </w:r>
      <w:r>
        <w:rPr>
          <w:rFonts w:ascii="Arial" w:cs="Arial" w:eastAsia="Arial" w:hAnsi="Arial"/>
          <w:sz w:val="22"/>
          <w:szCs w:val="22"/>
          <w:color w:val="auto"/>
        </w:rPr>
        <w:t>. Nothing contained in the Plan or this Agreement shall be construed or deemed by any person under any circumstances to bind the Company to continue the employment of the Employee for the period within which this Option may be exercised. However, during the period of the Employee's employment, the Employee shall render diligently and faithfully the services which are assigned to the Employee from time to time by the Board of Directors or by the executive officers of the Company and shall at no time take any action which directly or indirectly would be inconsistent with the best interests of the Company.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38" w:name="page39"/>
    <w:bookmarkEnd w:id="38"/>
    <w:p>
      <w:pPr>
        <w:jc w:val="both"/>
        <w:ind w:firstLine="332"/>
        <w:spacing w:after="0" w:line="265" w:lineRule="auto"/>
        <w:tabs>
          <w:tab w:leader="none" w:pos="878"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Rights as a Shareholder</w:t>
      </w:r>
      <w:r>
        <w:rPr>
          <w:rFonts w:ascii="Arial" w:cs="Arial" w:eastAsia="Arial" w:hAnsi="Arial"/>
          <w:sz w:val="21"/>
          <w:szCs w:val="21"/>
          <w:color w:val="auto"/>
        </w:rPr>
        <w:t>. The Employee shall have no rights as a shareholder with respect to any Shares which may be purchased by exercise of this Option unless and until a certificate or certificates representing such Shares are duly issued and delivered to the Employee. Except as otherwise expressly provided in the Plan, no adjustment shall be made for dividends or other rights for which the record date is prior to the date such stock certificate is issued.</w:t>
      </w:r>
    </w:p>
    <w:p>
      <w:pPr>
        <w:spacing w:after="0" w:line="216" w:lineRule="exact"/>
        <w:rPr>
          <w:rFonts w:ascii="Arial" w:cs="Arial" w:eastAsia="Arial" w:hAnsi="Arial"/>
          <w:sz w:val="21"/>
          <w:szCs w:val="21"/>
          <w:color w:val="auto"/>
        </w:rPr>
      </w:pPr>
    </w:p>
    <w:p>
      <w:pPr>
        <w:jc w:val="both"/>
        <w:ind w:firstLine="332"/>
        <w:spacing w:after="0" w:line="253" w:lineRule="auto"/>
        <w:tabs>
          <w:tab w:leader="none" w:pos="897"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Whenever Shares are to be issued upon exercise of this Option, the Company shall require the Employee to remit to the Company an amount sufficient to satisfy all Federal, state and local withholding tax requirements, domestic or foreign, prior to the delivery of any certificate or certificates for such Shares.</w:t>
      </w:r>
    </w:p>
    <w:p>
      <w:pPr>
        <w:spacing w:after="0" w:line="226" w:lineRule="exact"/>
        <w:rPr>
          <w:rFonts w:ascii="Arial" w:cs="Arial" w:eastAsia="Arial" w:hAnsi="Arial"/>
          <w:sz w:val="22"/>
          <w:szCs w:val="22"/>
          <w:color w:val="auto"/>
        </w:rPr>
      </w:pPr>
    </w:p>
    <w:p>
      <w:pPr>
        <w:ind w:left="820" w:hanging="488"/>
        <w:spacing w:after="0"/>
        <w:tabs>
          <w:tab w:leader="none" w:pos="82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Data Privacy Consent</w:t>
      </w:r>
      <w:r>
        <w:rPr>
          <w:rFonts w:ascii="Arial" w:cs="Arial" w:eastAsia="Arial" w:hAnsi="Arial"/>
          <w:sz w:val="22"/>
          <w:szCs w:val="22"/>
          <w:color w:val="auto"/>
        </w:rPr>
        <w:t>.</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As a condition of the Grant, you consent to the collection, use and transfer of your personal data as described in this paragraph. You understand that the Company and its subsidiaries hold certain personal information about you, including your name, home address and telephone number, date of birth, social insurance (or security) number or identification number, salary, nationality, job title, any shares of Common Stock or directorships held in the Company (or any of its subsidiaries), details of all options or any other entitlement to shares of Common Stock awarded, canceled, exercised, vested, unvested or outstanding in your favor, for the purpose of implementing, managing and administering the Plan (“Data”). You further understand that the Company and/or a subsidiary may transfer Data amongst themselves as necessary for the purpose of implementation, administration and management of your participation in the Plan, and that the Company and/or a subsidiary may each further transfer Data to any third parties assisting the Company in the implementation, administration and management of the Plan. You understand that these recipients may be located in the European Economic Area, or elsewhere, such as the United States or Canada, and that the recipient’s country may have different data privacy laws and protections than your country. You authorize them to receive, possess, use, retain and transfer the Data, in electronic or other form, for the purposes of implementing, administering and managing your participation in the Plan, including any requisite transfer of such Data to a broker or other third party with whom you may elect to deposit any shares of Common Stock acquired pursuant to the Plan as may be required for the administration of the Plan and/or the subsequent holding of shares of Common Stock on your behalf.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it or refuse or withdraw the consents herein, in any case without cost, by contacting in writing your local Human Resources representative. Refusal or withdrawal of consent may, however, affect your ability to exercise or realize benefits from the Grant or the Plan. For more information on the consequences of your refusal to consent or withdrawal of consent, you understand that you may contact your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39" w:name="page40"/>
    <w:bookmarkEnd w:id="39"/>
    <w:p>
      <w:pPr>
        <w:jc w:val="both"/>
        <w:ind w:firstLine="648"/>
        <w:spacing w:after="0" w:line="253" w:lineRule="auto"/>
        <w:rPr>
          <w:sz w:val="20"/>
          <w:szCs w:val="20"/>
          <w:color w:val="auto"/>
        </w:rPr>
      </w:pPr>
      <w:r>
        <w:rPr>
          <w:rFonts w:ascii="Arial" w:cs="Arial" w:eastAsia="Arial" w:hAnsi="Arial"/>
          <w:sz w:val="22"/>
          <w:szCs w:val="22"/>
          <w:color w:val="auto"/>
        </w:rPr>
        <w:t>IN WITNESS WHEREOF, the Company has caused this Agreement to be executed and its corporate seal to be hereto affixed by its officer thereunto duly authorized, and the Employee has accepted this agreement, all as of the day and year first above written.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RETAIN A COPY OF THIS AGREEMENT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24"/>
          <w:szCs w:val="24"/>
          <w:u w:val="single" w:color="auto"/>
          <w:color w:val="auto"/>
        </w:rPr>
        <w:t>2005 LONG-TERM INCENTIVE COMPENSATION PLAN</w:t>
      </w:r>
    </w:p>
    <w:p>
      <w:pPr>
        <w:spacing w:after="0" w:line="312" w:lineRule="exact"/>
        <w:rPr>
          <w:sz w:val="20"/>
          <w:szCs w:val="20"/>
          <w:color w:val="auto"/>
        </w:rPr>
      </w:pPr>
    </w:p>
    <w:p>
      <w:pPr>
        <w:ind w:left="1860"/>
        <w:spacing w:after="0"/>
        <w:rPr>
          <w:sz w:val="20"/>
          <w:szCs w:val="20"/>
          <w:color w:val="auto"/>
        </w:rPr>
      </w:pPr>
      <w:r>
        <w:rPr>
          <w:rFonts w:ascii="Arial" w:cs="Arial" w:eastAsia="Arial" w:hAnsi="Arial"/>
          <w:sz w:val="25"/>
          <w:szCs w:val="25"/>
          <w:b w:val="1"/>
          <w:bCs w:val="1"/>
          <w:u w:val="single" w:color="auto"/>
          <w:color w:val="auto"/>
        </w:rPr>
        <w:t>PERFORMANCE SHARE UNIT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4080"/>
        <w:spacing w:after="0"/>
        <w:rPr>
          <w:sz w:val="20"/>
          <w:szCs w:val="20"/>
          <w:color w:val="auto"/>
        </w:rPr>
      </w:pPr>
      <w:r>
        <w:rPr>
          <w:rFonts w:ascii="Arial" w:cs="Arial" w:eastAsia="Arial" w:hAnsi="Arial"/>
          <w:sz w:val="25"/>
          <w:szCs w:val="25"/>
          <w:b w:val="1"/>
          <w:bCs w:val="1"/>
          <w:u w:val="single" w:color="auto"/>
          <w:color w:val="auto"/>
        </w:rPr>
        <w:t>«Name»</w:t>
      </w:r>
    </w:p>
    <w:p>
      <w:pPr>
        <w:sectPr>
          <w:pgSz w:w="11900" w:h="16838" w:orient="portrait"/>
          <w:cols w:equalWidth="0" w:num="1">
            <w:col w:w="10220"/>
          </w:cols>
          <w:pgMar w:left="1440" w:top="364" w:right="23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PERFORMANCE SHARE UNIT AGREEMENT</w:t>
      </w:r>
    </w:p>
    <w:p>
      <w:pPr>
        <w:spacing w:after="0" w:line="25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THIS PERFORMANCE SHARE UNIT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dated as of </w:t>
      </w:r>
      <w:r>
        <w:rPr>
          <w:rFonts w:ascii="Arial" w:cs="Arial" w:eastAsia="Arial" w:hAnsi="Arial"/>
          <w:sz w:val="22"/>
          <w:szCs w:val="22"/>
          <w:b w:val="1"/>
          <w:bCs w:val="1"/>
          <w:color w:val="auto"/>
        </w:rPr>
        <w:t>«PSU Grant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 Date</w:t>
      </w:r>
      <w:r>
        <w:rPr>
          <w:rFonts w:ascii="Arial" w:cs="Arial" w:eastAsia="Arial" w:hAnsi="Arial"/>
          <w:sz w:val="22"/>
          <w:szCs w:val="22"/>
          <w:color w:val="auto"/>
        </w:rPr>
        <w:t>”) by and between Haemonetics Corporation, a Massachusetts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«Name»</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 is entered into as follows:</w:t>
      </w:r>
    </w:p>
    <w:p>
      <w:pPr>
        <w:spacing w:after="0" w:line="223" w:lineRule="exact"/>
        <w:rPr>
          <w:sz w:val="20"/>
          <w:szCs w:val="20"/>
          <w:color w:val="auto"/>
        </w:rPr>
      </w:pPr>
    </w:p>
    <w:p>
      <w:pPr>
        <w:ind w:right="140" w:firstLine="648"/>
        <w:spacing w:after="0" w:line="287" w:lineRule="auto"/>
        <w:rPr>
          <w:sz w:val="20"/>
          <w:szCs w:val="20"/>
          <w:color w:val="auto"/>
        </w:rPr>
      </w:pPr>
      <w:r>
        <w:rPr>
          <w:rFonts w:ascii="Arial" w:cs="Arial" w:eastAsia="Arial" w:hAnsi="Arial"/>
          <w:sz w:val="21"/>
          <w:szCs w:val="21"/>
          <w:color w:val="auto"/>
        </w:rPr>
        <w:t>WHEREAS, the Company has established the Haemonetics Corporation 2005 Incentive Compensation Plan, as amended, (“</w:t>
      </w:r>
      <w:r>
        <w:rPr>
          <w:rFonts w:ascii="Arial" w:cs="Arial" w:eastAsia="Arial" w:hAnsi="Arial"/>
          <w:sz w:val="21"/>
          <w:szCs w:val="21"/>
          <w:u w:val="single" w:color="auto"/>
          <w:color w:val="auto"/>
        </w:rPr>
        <w:t>Plan</w:t>
      </w:r>
      <w:r>
        <w:rPr>
          <w:rFonts w:ascii="Arial" w:cs="Arial" w:eastAsia="Arial" w:hAnsi="Arial"/>
          <w:sz w:val="21"/>
          <w:szCs w:val="21"/>
          <w:color w:val="auto"/>
        </w:rPr>
        <w:t>”), a copy of which has been provided to Employee, and which Plan is made a part hereof; and</w:t>
      </w:r>
    </w:p>
    <w:p>
      <w:pPr>
        <w:spacing w:after="0" w:line="192"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WHEREAS, the Company desires that the Employee be granted a Performance Share Unit award pursuant to Article 10 (Other Stock Unit Awards) of the Plan settled in Shares (as defined under the Plan), subject to the restrictions as hereinafter set forth.</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Grant of Performance Share Units.</w:t>
      </w:r>
    </w:p>
    <w:p>
      <w:pPr>
        <w:spacing w:after="0" w:line="26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Subject to the terms and conditions of this Agreement and of the Plan, the Company hereby grants to the Employee a target award (“</w:t>
      </w:r>
      <w:r>
        <w:rPr>
          <w:rFonts w:ascii="Arial" w:cs="Arial" w:eastAsia="Arial" w:hAnsi="Arial"/>
          <w:sz w:val="22"/>
          <w:szCs w:val="22"/>
          <w:u w:val="single" w:color="auto"/>
          <w:color w:val="auto"/>
        </w:rPr>
        <w:t>Target Award</w:t>
      </w:r>
      <w:r>
        <w:rPr>
          <w:rFonts w:ascii="Arial" w:cs="Arial" w:eastAsia="Arial" w:hAnsi="Arial"/>
          <w:sz w:val="22"/>
          <w:szCs w:val="22"/>
          <w:color w:val="auto"/>
        </w:rPr>
        <w:t xml:space="preserve">”) of </w:t>
      </w:r>
      <w:r>
        <w:rPr>
          <w:rFonts w:ascii="Arial" w:cs="Arial" w:eastAsia="Arial" w:hAnsi="Arial"/>
          <w:sz w:val="22"/>
          <w:szCs w:val="22"/>
          <w:b w:val="1"/>
          <w:bCs w:val="1"/>
          <w:color w:val="auto"/>
        </w:rPr>
        <w:t>«X Total PSUs»</w:t>
      </w:r>
      <w:r>
        <w:rPr>
          <w:rFonts w:ascii="Arial" w:cs="Arial" w:eastAsia="Arial" w:hAnsi="Arial"/>
          <w:sz w:val="22"/>
          <w:szCs w:val="22"/>
          <w:color w:val="auto"/>
        </w:rPr>
        <w:t xml:space="preserve"> Performance Share Units (“</w:t>
      </w:r>
      <w:r>
        <w:rPr>
          <w:rFonts w:ascii="Arial" w:cs="Arial" w:eastAsia="Arial" w:hAnsi="Arial"/>
          <w:sz w:val="22"/>
          <w:szCs w:val="22"/>
          <w:u w:val="single" w:color="auto"/>
          <w:color w:val="auto"/>
        </w:rPr>
        <w:t>PSUs</w:t>
      </w:r>
      <w:r>
        <w:rPr>
          <w:rFonts w:ascii="Arial" w:cs="Arial" w:eastAsia="Arial" w:hAnsi="Arial"/>
          <w:sz w:val="22"/>
          <w:szCs w:val="22"/>
          <w:color w:val="auto"/>
        </w:rPr>
        <w:t>”). Each unit represents the right to receive one Share. Subject to satisfaction of the terms and conditions of this Agreement and the Plan, the PSUs shall be settled in Shares. No dividend equivalent rights are payable with respect to the PSUs.</w:t>
      </w:r>
    </w:p>
    <w:p>
      <w:pPr>
        <w:spacing w:after="0" w:line="223"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66" w:lineRule="exact"/>
        <w:rPr>
          <w:rFonts w:ascii="Arial" w:cs="Arial" w:eastAsia="Arial" w:hAnsi="Arial"/>
          <w:sz w:val="22"/>
          <w:szCs w:val="22"/>
          <w:b w:val="1"/>
          <w:bCs w:val="1"/>
          <w:color w:val="auto"/>
        </w:rPr>
      </w:pPr>
    </w:p>
    <w:p>
      <w:pPr>
        <w:ind w:firstLine="656"/>
        <w:spacing w:after="0" w:line="292" w:lineRule="auto"/>
        <w:tabs>
          <w:tab w:leader="none" w:pos="942"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Performance Measure and Vesting Dates.</w:t>
      </w:r>
      <w:r>
        <w:rPr>
          <w:rFonts w:ascii="Arial" w:cs="Arial" w:eastAsia="Arial" w:hAnsi="Arial"/>
          <w:sz w:val="19"/>
          <w:szCs w:val="19"/>
          <w:color w:val="auto"/>
        </w:rPr>
        <w:t xml:space="preserve"> The performance measure for the PSUs under this Agreement shall be based on the Company’s TSR (as defined below) with respect to a Share as compared to the TSR of a share of stock of each of the companies listed in the combined indexes of the S&amp;P MidCap 400 and the S&amp;P SmallCap 600 (collectively, the “</w:t>
      </w:r>
      <w:r>
        <w:rPr>
          <w:rFonts w:ascii="Arial" w:cs="Arial" w:eastAsia="Arial" w:hAnsi="Arial"/>
          <w:sz w:val="19"/>
          <w:szCs w:val="19"/>
          <w:u w:val="single" w:color="auto"/>
          <w:color w:val="auto"/>
        </w:rPr>
        <w:t>Combined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Index</w:t>
      </w:r>
      <w:r>
        <w:rPr>
          <w:rFonts w:ascii="Arial" w:cs="Arial" w:eastAsia="Arial" w:hAnsi="Arial"/>
          <w:sz w:val="19"/>
          <w:szCs w:val="19"/>
          <w:color w:val="auto"/>
        </w:rPr>
        <w:t xml:space="preserve">”), as adjusted as set forth below, in each case over the three (3) year period beginning on </w:t>
      </w:r>
      <w:r>
        <w:rPr>
          <w:rFonts w:ascii="Arial" w:cs="Arial" w:eastAsia="Arial" w:hAnsi="Arial"/>
          <w:sz w:val="19"/>
          <w:szCs w:val="19"/>
          <w:b w:val="1"/>
          <w:bCs w:val="1"/>
          <w:color w:val="auto"/>
        </w:rPr>
        <w:t>«Start Date»</w:t>
      </w:r>
      <w:r>
        <w:rPr>
          <w:rFonts w:ascii="Arial" w:cs="Arial" w:eastAsia="Arial" w:hAnsi="Arial"/>
          <w:sz w:val="19"/>
          <w:szCs w:val="19"/>
          <w:color w:val="auto"/>
        </w:rPr>
        <w:t xml:space="preserve"> and ending on </w:t>
      </w:r>
      <w:r>
        <w:rPr>
          <w:rFonts w:ascii="Arial" w:cs="Arial" w:eastAsia="Arial" w:hAnsi="Arial"/>
          <w:sz w:val="19"/>
          <w:szCs w:val="19"/>
          <w:b w:val="1"/>
          <w:bCs w:val="1"/>
          <w:color w:val="auto"/>
        </w:rPr>
        <w:t>«End</w:t>
      </w:r>
      <w:r>
        <w:rPr>
          <w:rFonts w:ascii="Arial" w:cs="Arial" w:eastAsia="Arial" w:hAnsi="Arial"/>
          <w:sz w:val="19"/>
          <w:szCs w:val="19"/>
          <w:color w:val="auto"/>
        </w:rPr>
        <w:t xml:space="preserve"> </w:t>
      </w:r>
      <w:r>
        <w:rPr>
          <w:rFonts w:ascii="Arial" w:cs="Arial" w:eastAsia="Arial" w:hAnsi="Arial"/>
          <w:sz w:val="19"/>
          <w:szCs w:val="19"/>
          <w:b w:val="1"/>
          <w:bCs w:val="1"/>
          <w:color w:val="auto"/>
        </w:rPr>
        <w:t>Date» (</w:t>
      </w:r>
      <w:r>
        <w:rPr>
          <w:rFonts w:ascii="Arial" w:cs="Arial" w:eastAsia="Arial" w:hAnsi="Arial"/>
          <w:sz w:val="19"/>
          <w:szCs w:val="19"/>
          <w:color w:val="auto"/>
        </w:rPr>
        <w:t>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The interest of the Employee in the PSUs shall vest, if at all, on the last day of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(the “</w:t>
      </w:r>
      <w:r>
        <w:rPr>
          <w:rFonts w:ascii="Arial" w:cs="Arial" w:eastAsia="Arial" w:hAnsi="Arial"/>
          <w:sz w:val="19"/>
          <w:szCs w:val="19"/>
          <w:u w:val="single" w:color="auto"/>
          <w:color w:val="auto"/>
        </w:rPr>
        <w:t>Maturity Date</w:t>
      </w:r>
      <w:r>
        <w:rPr>
          <w:rFonts w:ascii="Arial" w:cs="Arial" w:eastAsia="Arial" w:hAnsi="Arial"/>
          <w:sz w:val="19"/>
          <w:szCs w:val="19"/>
          <w:color w:val="auto"/>
        </w:rPr>
        <w:t>”) according to the vesting schedule set forth on the following page (“</w:t>
      </w:r>
      <w:r>
        <w:rPr>
          <w:rFonts w:ascii="Arial" w:cs="Arial" w:eastAsia="Arial" w:hAnsi="Arial"/>
          <w:sz w:val="19"/>
          <w:szCs w:val="19"/>
          <w:u w:val="single" w:color="auto"/>
          <w:color w:val="auto"/>
        </w:rPr>
        <w:t>Vesting Schedule</w:t>
      </w:r>
      <w:r>
        <w:rPr>
          <w:rFonts w:ascii="Arial" w:cs="Arial" w:eastAsia="Arial" w:hAnsi="Arial"/>
          <w:sz w:val="19"/>
          <w:szCs w:val="19"/>
          <w:color w:val="auto"/>
        </w:rPr>
        <w:t>”), and also conditioned upon the Employee’s continued employment with the Company through the Maturity Date:</w:t>
      </w:r>
    </w:p>
    <w:p>
      <w:pPr>
        <w:spacing w:after="0" w:line="368"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4760" w:type="dxa"/>
            <w:vAlign w:val="bottom"/>
          </w:tcPr>
          <w:p>
            <w:pPr>
              <w:jc w:val="center"/>
              <w:ind w:left="912"/>
              <w:spacing w:after="0"/>
              <w:rPr>
                <w:sz w:val="20"/>
                <w:szCs w:val="20"/>
                <w:color w:val="auto"/>
              </w:rPr>
            </w:pPr>
            <w:r>
              <w:rPr>
                <w:rFonts w:ascii="Arial" w:cs="Arial" w:eastAsia="Arial" w:hAnsi="Arial"/>
                <w:sz w:val="22"/>
                <w:szCs w:val="22"/>
                <w:color w:val="auto"/>
                <w:w w:val="89"/>
              </w:rPr>
              <w:t>Company Relative TSR Percentile Rank</w:t>
            </w:r>
          </w:p>
        </w:tc>
        <w:tc>
          <w:tcPr>
            <w:tcW w:w="5160" w:type="dxa"/>
            <w:vAlign w:val="bottom"/>
          </w:tcPr>
          <w:p>
            <w:pPr>
              <w:spacing w:after="0"/>
              <w:rPr>
                <w:sz w:val="23"/>
                <w:szCs w:val="23"/>
                <w:color w:val="auto"/>
              </w:rPr>
            </w:pPr>
          </w:p>
        </w:tc>
      </w:tr>
      <w:tr>
        <w:trPr>
          <w:trHeight w:val="285"/>
        </w:trPr>
        <w:tc>
          <w:tcPr>
            <w:tcW w:w="4760" w:type="dxa"/>
            <w:vAlign w:val="bottom"/>
            <w:tcBorders>
              <w:bottom w:val="single" w:sz="8" w:color="auto"/>
            </w:tcBorders>
          </w:tcPr>
          <w:p>
            <w:pPr>
              <w:jc w:val="center"/>
              <w:ind w:left="912"/>
              <w:spacing w:after="0"/>
              <w:rPr>
                <w:sz w:val="20"/>
                <w:szCs w:val="20"/>
                <w:color w:val="auto"/>
              </w:rPr>
            </w:pPr>
            <w:r>
              <w:rPr>
                <w:rFonts w:ascii="Arial" w:cs="Arial" w:eastAsia="Arial" w:hAnsi="Arial"/>
                <w:sz w:val="22"/>
                <w:szCs w:val="22"/>
                <w:color w:val="auto"/>
                <w:w w:val="91"/>
              </w:rPr>
              <w:t>at Maturity Date</w:t>
            </w:r>
          </w:p>
        </w:tc>
        <w:tc>
          <w:tcPr>
            <w:tcW w:w="5160" w:type="dxa"/>
            <w:vAlign w:val="bottom"/>
            <w:tcBorders>
              <w:bottom w:val="single" w:sz="8" w:color="auto"/>
            </w:tcBorders>
          </w:tcPr>
          <w:p>
            <w:pPr>
              <w:jc w:val="center"/>
              <w:ind w:left="912"/>
              <w:spacing w:after="0"/>
              <w:rPr>
                <w:sz w:val="20"/>
                <w:szCs w:val="20"/>
                <w:color w:val="auto"/>
              </w:rPr>
            </w:pPr>
            <w:r>
              <w:rPr>
                <w:rFonts w:ascii="Arial" w:cs="Arial" w:eastAsia="Arial" w:hAnsi="Arial"/>
                <w:sz w:val="22"/>
                <w:szCs w:val="22"/>
                <w:color w:val="auto"/>
                <w:w w:val="86"/>
              </w:rPr>
              <w:t>Share Payout as a Percentage of Target Award</w:t>
            </w:r>
          </w:p>
        </w:tc>
      </w:tr>
      <w:tr>
        <w:trPr>
          <w:trHeight w:val="357"/>
        </w:trPr>
        <w:tc>
          <w:tcPr>
            <w:tcW w:w="4760" w:type="dxa"/>
            <w:vAlign w:val="bottom"/>
          </w:tcPr>
          <w:p>
            <w:pPr>
              <w:jc w:val="center"/>
              <w:ind w:left="912"/>
              <w:spacing w:after="0"/>
              <w:rPr>
                <w:sz w:val="20"/>
                <w:szCs w:val="20"/>
                <w:color w:val="auto"/>
              </w:rPr>
            </w:pPr>
            <w:r>
              <w:rPr>
                <w:rFonts w:ascii="Arial" w:cs="Arial" w:eastAsia="Arial" w:hAnsi="Arial"/>
                <w:sz w:val="22"/>
                <w:szCs w:val="22"/>
                <w:color w:val="auto"/>
                <w:w w:val="90"/>
              </w:rPr>
              <w:t>40</w:t>
            </w:r>
            <w:r>
              <w:rPr>
                <w:rFonts w:ascii="Arial" w:cs="Arial" w:eastAsia="Arial" w:hAnsi="Arial"/>
                <w:sz w:val="28"/>
                <w:szCs w:val="28"/>
                <w:color w:val="auto"/>
                <w:w w:val="90"/>
                <w:vertAlign w:val="superscript"/>
              </w:rPr>
              <w:t>th</w:t>
            </w:r>
            <w:r>
              <w:rPr>
                <w:rFonts w:ascii="Arial" w:cs="Arial" w:eastAsia="Arial" w:hAnsi="Arial"/>
                <w:sz w:val="22"/>
                <w:szCs w:val="22"/>
                <w:color w:val="auto"/>
                <w:w w:val="90"/>
              </w:rPr>
              <w:t xml:space="preserve"> Percentile or lower</w:t>
            </w:r>
          </w:p>
        </w:tc>
        <w:tc>
          <w:tcPr>
            <w:tcW w:w="5160" w:type="dxa"/>
            <w:vAlign w:val="bottom"/>
          </w:tcPr>
          <w:p>
            <w:pPr>
              <w:jc w:val="right"/>
              <w:ind w:right="1832"/>
              <w:spacing w:after="0"/>
              <w:rPr>
                <w:sz w:val="20"/>
                <w:szCs w:val="20"/>
                <w:color w:val="auto"/>
              </w:rPr>
            </w:pPr>
            <w:r>
              <w:rPr>
                <w:rFonts w:ascii="Arial" w:cs="Arial" w:eastAsia="Arial" w:hAnsi="Arial"/>
                <w:sz w:val="22"/>
                <w:szCs w:val="22"/>
                <w:color w:val="auto"/>
              </w:rPr>
              <w:t>0%</w:t>
            </w:r>
          </w:p>
        </w:tc>
      </w:tr>
      <w:tr>
        <w:trPr>
          <w:trHeight w:val="324"/>
        </w:trPr>
        <w:tc>
          <w:tcPr>
            <w:tcW w:w="4760" w:type="dxa"/>
            <w:vAlign w:val="bottom"/>
          </w:tcPr>
          <w:p>
            <w:pPr>
              <w:jc w:val="center"/>
              <w:ind w:left="912"/>
              <w:spacing w:after="0"/>
              <w:rPr>
                <w:sz w:val="20"/>
                <w:szCs w:val="20"/>
                <w:color w:val="auto"/>
              </w:rPr>
            </w:pPr>
            <w:r>
              <w:rPr>
                <w:rFonts w:ascii="Arial" w:cs="Arial" w:eastAsia="Arial" w:hAnsi="Arial"/>
                <w:sz w:val="22"/>
                <w:szCs w:val="22"/>
                <w:color w:val="auto"/>
                <w:w w:val="86"/>
              </w:rPr>
              <w:t>41</w:t>
            </w:r>
            <w:r>
              <w:rPr>
                <w:rFonts w:ascii="Arial" w:cs="Arial" w:eastAsia="Arial" w:hAnsi="Arial"/>
                <w:sz w:val="28"/>
                <w:szCs w:val="28"/>
                <w:color w:val="auto"/>
                <w:w w:val="86"/>
                <w:vertAlign w:val="superscript"/>
              </w:rPr>
              <w:t>st</w:t>
            </w:r>
            <w:r>
              <w:rPr>
                <w:rFonts w:ascii="Arial" w:cs="Arial" w:eastAsia="Arial" w:hAnsi="Arial"/>
                <w:sz w:val="22"/>
                <w:szCs w:val="22"/>
                <w:color w:val="auto"/>
                <w:w w:val="86"/>
              </w:rPr>
              <w:t xml:space="preserve"> to 60</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5160" w:type="dxa"/>
            <w:vAlign w:val="bottom"/>
          </w:tcPr>
          <w:p>
            <w:pPr>
              <w:jc w:val="center"/>
              <w:ind w:left="912"/>
              <w:spacing w:after="0"/>
              <w:rPr>
                <w:sz w:val="20"/>
                <w:szCs w:val="20"/>
                <w:color w:val="auto"/>
              </w:rPr>
            </w:pPr>
            <w:r>
              <w:rPr>
                <w:rFonts w:ascii="Arial" w:cs="Arial" w:eastAsia="Arial" w:hAnsi="Arial"/>
                <w:sz w:val="22"/>
                <w:szCs w:val="22"/>
                <w:color w:val="auto"/>
                <w:w w:val="89"/>
              </w:rPr>
              <w:t>50% to 99%</w:t>
            </w:r>
          </w:p>
        </w:tc>
      </w:tr>
      <w:tr>
        <w:trPr>
          <w:trHeight w:val="324"/>
        </w:trPr>
        <w:tc>
          <w:tcPr>
            <w:tcW w:w="4760" w:type="dxa"/>
            <w:vAlign w:val="bottom"/>
          </w:tcPr>
          <w:p>
            <w:pPr>
              <w:jc w:val="center"/>
              <w:ind w:left="912"/>
              <w:spacing w:after="0"/>
              <w:rPr>
                <w:sz w:val="20"/>
                <w:szCs w:val="20"/>
                <w:color w:val="auto"/>
              </w:rPr>
            </w:pPr>
            <w:r>
              <w:rPr>
                <w:rFonts w:ascii="Arial" w:cs="Arial" w:eastAsia="Arial" w:hAnsi="Arial"/>
                <w:sz w:val="22"/>
                <w:szCs w:val="22"/>
                <w:color w:val="auto"/>
                <w:w w:val="85"/>
              </w:rPr>
              <w:t>61</w:t>
            </w:r>
            <w:r>
              <w:rPr>
                <w:rFonts w:ascii="Arial" w:cs="Arial" w:eastAsia="Arial" w:hAnsi="Arial"/>
                <w:sz w:val="28"/>
                <w:szCs w:val="28"/>
                <w:color w:val="auto"/>
                <w:w w:val="85"/>
                <w:vertAlign w:val="superscript"/>
              </w:rPr>
              <w:t>st</w:t>
            </w:r>
            <w:r>
              <w:rPr>
                <w:rFonts w:ascii="Arial" w:cs="Arial" w:eastAsia="Arial" w:hAnsi="Arial"/>
                <w:sz w:val="22"/>
                <w:szCs w:val="22"/>
                <w:color w:val="auto"/>
                <w:w w:val="85"/>
              </w:rPr>
              <w:t xml:space="preserve"> to 80</w:t>
            </w:r>
            <w:r>
              <w:rPr>
                <w:rFonts w:ascii="Arial" w:cs="Arial" w:eastAsia="Arial" w:hAnsi="Arial"/>
                <w:sz w:val="28"/>
                <w:szCs w:val="28"/>
                <w:color w:val="auto"/>
                <w:w w:val="85"/>
                <w:vertAlign w:val="superscript"/>
              </w:rPr>
              <w:t>th</w:t>
            </w:r>
            <w:r>
              <w:rPr>
                <w:rFonts w:ascii="Arial" w:cs="Arial" w:eastAsia="Arial" w:hAnsi="Arial"/>
                <w:sz w:val="22"/>
                <w:szCs w:val="22"/>
                <w:color w:val="auto"/>
                <w:w w:val="85"/>
              </w:rPr>
              <w:t xml:space="preserve"> Percentile</w:t>
            </w:r>
          </w:p>
        </w:tc>
        <w:tc>
          <w:tcPr>
            <w:tcW w:w="5160" w:type="dxa"/>
            <w:vAlign w:val="bottom"/>
          </w:tcPr>
          <w:p>
            <w:pPr>
              <w:jc w:val="center"/>
              <w:ind w:left="892"/>
              <w:spacing w:after="0"/>
              <w:rPr>
                <w:sz w:val="20"/>
                <w:szCs w:val="20"/>
                <w:color w:val="auto"/>
              </w:rPr>
            </w:pPr>
            <w:r>
              <w:rPr>
                <w:rFonts w:ascii="Arial" w:cs="Arial" w:eastAsia="Arial" w:hAnsi="Arial"/>
                <w:sz w:val="22"/>
                <w:szCs w:val="22"/>
                <w:color w:val="auto"/>
                <w:w w:val="89"/>
              </w:rPr>
              <w:t>100% to 200%</w:t>
            </w:r>
          </w:p>
        </w:tc>
      </w:tr>
      <w:tr>
        <w:trPr>
          <w:trHeight w:val="377"/>
        </w:trPr>
        <w:tc>
          <w:tcPr>
            <w:tcW w:w="4760" w:type="dxa"/>
            <w:vAlign w:val="bottom"/>
          </w:tcPr>
          <w:p>
            <w:pPr>
              <w:jc w:val="center"/>
              <w:ind w:left="912"/>
              <w:spacing w:after="0"/>
              <w:rPr>
                <w:sz w:val="20"/>
                <w:szCs w:val="20"/>
                <w:color w:val="auto"/>
              </w:rPr>
            </w:pPr>
            <w:r>
              <w:rPr>
                <w:rFonts w:ascii="Arial" w:cs="Arial" w:eastAsia="Arial" w:hAnsi="Arial"/>
                <w:sz w:val="22"/>
                <w:szCs w:val="22"/>
                <w:color w:val="auto"/>
                <w:w w:val="87"/>
              </w:rPr>
              <w:t>81</w:t>
            </w:r>
            <w:r>
              <w:rPr>
                <w:rFonts w:ascii="Arial" w:cs="Arial" w:eastAsia="Arial" w:hAnsi="Arial"/>
                <w:sz w:val="28"/>
                <w:szCs w:val="28"/>
                <w:color w:val="auto"/>
                <w:w w:val="87"/>
                <w:vertAlign w:val="superscript"/>
              </w:rPr>
              <w:t>st</w:t>
            </w:r>
            <w:r>
              <w:rPr>
                <w:rFonts w:ascii="Arial" w:cs="Arial" w:eastAsia="Arial" w:hAnsi="Arial"/>
                <w:sz w:val="22"/>
                <w:szCs w:val="22"/>
                <w:color w:val="auto"/>
                <w:w w:val="87"/>
              </w:rPr>
              <w:t xml:space="preserve"> Percentile or higher</w:t>
            </w:r>
          </w:p>
        </w:tc>
        <w:tc>
          <w:tcPr>
            <w:tcW w:w="5160" w:type="dxa"/>
            <w:vAlign w:val="bottom"/>
          </w:tcPr>
          <w:p>
            <w:pPr>
              <w:jc w:val="right"/>
              <w:ind w:right="1712"/>
              <w:spacing w:after="0"/>
              <w:rPr>
                <w:sz w:val="20"/>
                <w:szCs w:val="20"/>
                <w:color w:val="auto"/>
              </w:rPr>
            </w:pPr>
            <w:r>
              <w:rPr>
                <w:rFonts w:ascii="Arial" w:cs="Arial" w:eastAsia="Arial" w:hAnsi="Arial"/>
                <w:sz w:val="22"/>
                <w:szCs w:val="22"/>
                <w:color w:val="auto"/>
              </w:rPr>
              <w:t>200%</w:t>
            </w:r>
          </w:p>
        </w:tc>
      </w:tr>
      <w:tr>
        <w:trPr>
          <w:trHeight w:val="680"/>
        </w:trPr>
        <w:tc>
          <w:tcPr>
            <w:tcW w:w="4760" w:type="dxa"/>
            <w:vAlign w:val="bottom"/>
          </w:tcPr>
          <w:p>
            <w:pPr>
              <w:spacing w:after="0"/>
              <w:rPr>
                <w:sz w:val="24"/>
                <w:szCs w:val="24"/>
                <w:color w:val="auto"/>
              </w:rPr>
            </w:pPr>
          </w:p>
        </w:tc>
        <w:tc>
          <w:tcPr>
            <w:tcW w:w="5160" w:type="dxa"/>
            <w:vAlign w:val="bottom"/>
          </w:tcPr>
          <w:p>
            <w:pPr>
              <w:jc w:val="right"/>
              <w:ind w:right="4812"/>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320"/>
          </w:cols>
          <w:pgMar w:left="240" w:top="369" w:right="339" w:bottom="1440" w:gutter="0" w:footer="0" w:header="0"/>
        </w:sectPr>
      </w:pPr>
    </w:p>
    <w:bookmarkStart w:id="42" w:name="page43"/>
    <w:bookmarkEnd w:id="42"/>
    <w:p>
      <w:pPr>
        <w:ind w:right="20"/>
        <w:spacing w:after="0" w:line="302" w:lineRule="auto"/>
        <w:rPr>
          <w:sz w:val="20"/>
          <w:szCs w:val="20"/>
          <w:color w:val="auto"/>
        </w:rPr>
      </w:pPr>
      <w:r>
        <w:rPr>
          <w:rFonts w:ascii="Arial" w:cs="Arial" w:eastAsia="Arial" w:hAnsi="Arial"/>
          <w:sz w:val="19"/>
          <w:szCs w:val="19"/>
          <w:color w:val="auto"/>
        </w:rPr>
        <w:t>Company Relative TSR Percentile Rank performance that is in between any two Company Relative TSR Percentile Ranks adjacent to each other in the above Vesting Schedule will be interpolated linearly and rounded to the nearest whole percentage (i.e., below 0.5 round down, at or above 0.5 round up). Notwithstanding the Vesting Schedule above, if the Company’s Total Shareholder Return for the Performance Period is negative, then any Share Payout shall be capped at 100% of the Target Award.</w:t>
      </w:r>
    </w:p>
    <w:p>
      <w:pPr>
        <w:spacing w:after="0" w:line="183"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For purposes of calculating the Company Relative TSR Percentile Rank, the Company and each other company in the Index Population (as defined below) at the end of the Performance Period will be ranked in order of their TSR. The Company’s Relative TSR Percentile Rank will be equal to the percentage of companies in the Index Population at the end of the Performance Period that ranked equal to or lower than the Company, as calculated according to the following formula: N - R + 1, where “N” equals the total number of companies in the Index Population at the end of the Performance Period (including the Company) and “R” equals the Company’s rank against the other companies in the Index Population at the end of the Performance Period. For avoidance of doubt, in no event shall a company that is included in both the S&amp;P MidCap 400 and the S&amp;P SmallCap 600 be counted twice in determining the total number of companies in the Index Population at the end of the Performance Period.</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The companies constituting the Combined Index for purposes of calculating TSR for the Performance Period will be the population of companies in the S&amp;P MidCap 400 and the S&amp;P SmallCap 600 as of the first day of the Performance Period (the “</w:t>
      </w:r>
      <w:r>
        <w:rPr>
          <w:rFonts w:ascii="Arial" w:cs="Arial" w:eastAsia="Arial" w:hAnsi="Arial"/>
          <w:sz w:val="19"/>
          <w:szCs w:val="19"/>
          <w:u w:val="single" w:color="auto"/>
          <w:color w:val="auto"/>
        </w:rPr>
        <w:t>Index</w:t>
      </w:r>
      <w:r>
        <w:rPr>
          <w:rFonts w:ascii="Arial" w:cs="Arial" w:eastAsia="Arial" w:hAnsi="Arial"/>
          <w:sz w:val="19"/>
          <w:szCs w:val="19"/>
          <w:color w:val="auto"/>
        </w:rPr>
        <w:t xml:space="preserve"> </w:t>
      </w:r>
      <w:r>
        <w:rPr>
          <w:rFonts w:ascii="Arial" w:cs="Arial" w:eastAsia="Arial" w:hAnsi="Arial"/>
          <w:sz w:val="19"/>
          <w:szCs w:val="19"/>
          <w:u w:val="single" w:color="auto"/>
          <w:color w:val="auto"/>
        </w:rPr>
        <w:t>Population</w:t>
      </w:r>
      <w:r>
        <w:rPr>
          <w:rFonts w:ascii="Arial" w:cs="Arial" w:eastAsia="Arial" w:hAnsi="Arial"/>
          <w:sz w:val="19"/>
          <w:szCs w:val="19"/>
          <w:color w:val="auto"/>
        </w:rPr>
        <w:t>”), adjusted as follows: (i) companies that are removed from the Combined Index during the Performance Period but whose stock continued to be publicly traded on a major U.S. stock exchange during the entire Performance Period shall be included in the Index Population, (ii) companies that are added to the Combined Index during the Performance Period that were not part of the Index Population on the first day of the Performance Period shall be excluded from the Index Population, (iii) companies that have been acquired or gone private during the Performance Period such that their stock is no longer included in the Combined Index and failed to be publicly traded on a major U.S. stock exchange during the entire Performance Period shall be excluded from the Index Population; and (iv) companies that are no longer in existence or declare bankruptcy or whose stock ceases to be publicly traded on a major U.S. stock exchange as a result of a business failure shall be included in the Index Population but will be ranked at negative 100% (-100%) TSR for the Performance Period.</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TSR</w:t>
      </w:r>
      <w:r>
        <w:rPr>
          <w:rFonts w:ascii="Arial" w:cs="Arial" w:eastAsia="Arial" w:hAnsi="Arial"/>
          <w:sz w:val="22"/>
          <w:szCs w:val="22"/>
          <w:color w:val="auto"/>
        </w:rPr>
        <w:t>” for the Company and each member of the Index Population shall be calculated according to the following formula: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(Ending Average Price - Beginning Average Price) + Dividends Paid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Beginning Average Price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60" w:lineRule="exact"/>
        <w:rPr>
          <w:sz w:val="20"/>
          <w:szCs w:val="20"/>
          <w:color w:val="auto"/>
        </w:rPr>
      </w:pPr>
    </w:p>
    <w:p>
      <w:pPr>
        <w:ind w:left="660" w:right="3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Ending Average Price</w:t>
      </w:r>
      <w:r>
        <w:rPr>
          <w:rFonts w:ascii="Arial" w:cs="Arial" w:eastAsia="Arial" w:hAnsi="Arial"/>
          <w:sz w:val="22"/>
          <w:szCs w:val="22"/>
          <w:color w:val="auto"/>
        </w:rPr>
        <w:t>” shall mean the average Closing Price of the stock of the company being measured for the thirty (30) trading days at the end of the Performance Period,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375" w:right="279" w:bottom="1440" w:gutter="0" w:footer="0" w:header="0"/>
        </w:sectPr>
      </w:pPr>
    </w:p>
    <w:bookmarkStart w:id="43" w:name="page44"/>
    <w:bookmarkEnd w:id="43"/>
    <w:p>
      <w:pPr>
        <w:ind w:left="660" w:right="4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Price</w:t>
      </w:r>
      <w:r>
        <w:rPr>
          <w:rFonts w:ascii="Arial" w:cs="Arial" w:eastAsia="Arial" w:hAnsi="Arial"/>
          <w:sz w:val="21"/>
          <w:szCs w:val="21"/>
          <w:color w:val="auto"/>
        </w:rPr>
        <w:t>” means, for a given trading day, the closing price of the stock of the company being measured on its primary U.S. stock exchange (or, if not traded on a U.S. exchange, its primary foreign securities exchange),</w:t>
      </w:r>
    </w:p>
    <w:p>
      <w:pPr>
        <w:spacing w:after="0" w:line="192" w:lineRule="exact"/>
        <w:rPr>
          <w:sz w:val="20"/>
          <w:szCs w:val="20"/>
          <w:color w:val="auto"/>
        </w:rPr>
      </w:pPr>
    </w:p>
    <w:p>
      <w:pPr>
        <w:ind w:left="660" w:right="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Average Price</w:t>
      </w:r>
      <w:r>
        <w:rPr>
          <w:rFonts w:ascii="Arial" w:cs="Arial" w:eastAsia="Arial" w:hAnsi="Arial"/>
          <w:sz w:val="22"/>
          <w:szCs w:val="22"/>
          <w:color w:val="auto"/>
        </w:rPr>
        <w:t>” means the average Adjusted Closing Price of the stock of the company being measured over the Beginning Average Period,</w:t>
      </w:r>
    </w:p>
    <w:p>
      <w:pPr>
        <w:spacing w:after="0" w:line="215" w:lineRule="exact"/>
        <w:rPr>
          <w:sz w:val="20"/>
          <w:szCs w:val="20"/>
          <w:color w:val="auto"/>
        </w:rPr>
      </w:pPr>
    </w:p>
    <w:p>
      <w:pPr>
        <w:ind w:left="660" w:right="4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Average Period</w:t>
      </w:r>
      <w:r>
        <w:rPr>
          <w:rFonts w:ascii="Arial" w:cs="Arial" w:eastAsia="Arial" w:hAnsi="Arial"/>
          <w:sz w:val="22"/>
          <w:szCs w:val="22"/>
          <w:color w:val="auto"/>
        </w:rPr>
        <w:t>” means the thirty (30) trading days immediately preceding the first day of the Performance Period,</w:t>
      </w:r>
    </w:p>
    <w:p>
      <w:pPr>
        <w:spacing w:after="0" w:line="215" w:lineRule="exact"/>
        <w:rPr>
          <w:sz w:val="20"/>
          <w:szCs w:val="20"/>
          <w:color w:val="auto"/>
        </w:rPr>
      </w:pPr>
    </w:p>
    <w:p>
      <w:pPr>
        <w:jc w:val="both"/>
        <w:ind w:left="660" w:right="14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Closing Price</w:t>
      </w:r>
      <w:r>
        <w:rPr>
          <w:rFonts w:ascii="Arial" w:cs="Arial" w:eastAsia="Arial" w:hAnsi="Arial"/>
          <w:sz w:val="19"/>
          <w:szCs w:val="19"/>
          <w:color w:val="auto"/>
        </w:rPr>
        <w:t>” means, for a given trading day, the Closing Price of the stock of the company being measured on such trading day, as adjusted as follows: if the company being measured has declared a dividend with respect to which the ex-dividend date is during the Beginning Average Period, the amount of such dividend shall be added to the Closing Price for each trading day during the Beginning Average Period that is on or after such ex-dividend date, and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Dividends Paid</w:t>
      </w:r>
      <w:r>
        <w:rPr>
          <w:rFonts w:ascii="Arial" w:cs="Arial" w:eastAsia="Arial" w:hAnsi="Arial"/>
          <w:sz w:val="19"/>
          <w:szCs w:val="19"/>
          <w:color w:val="auto"/>
        </w:rPr>
        <w:t>” means the sum of all dividends paid by the company being measured during the Performance Period.</w:t>
      </w:r>
    </w:p>
    <w:p>
      <w:pPr>
        <w:spacing w:after="0" w:line="295" w:lineRule="exact"/>
        <w:rPr>
          <w:sz w:val="20"/>
          <w:szCs w:val="20"/>
          <w:color w:val="auto"/>
        </w:rPr>
      </w:pPr>
    </w:p>
    <w:p>
      <w:pPr>
        <w:ind w:left="660" w:right="180"/>
        <w:spacing w:after="0" w:line="250" w:lineRule="auto"/>
        <w:rPr>
          <w:sz w:val="20"/>
          <w:szCs w:val="20"/>
          <w:color w:val="auto"/>
        </w:rPr>
      </w:pPr>
      <w:r>
        <w:rPr>
          <w:rFonts w:ascii="Arial" w:cs="Arial" w:eastAsia="Arial" w:hAnsi="Arial"/>
          <w:sz w:val="22"/>
          <w:szCs w:val="22"/>
          <w:color w:val="auto"/>
        </w:rPr>
        <w:t>Stock prices and dividends denominated in non-U.S. dollars for any member of the Index Population shall be converted to U.S. dollars using the currency exchange rates in effect on each relevant trading day and/or date of dividend payment, as applicable. Calculations shall be adjusted by the Compensation Committee of the Company’s Board of Directors (the “</w:t>
      </w:r>
      <w:r>
        <w:rPr>
          <w:rFonts w:ascii="Arial" w:cs="Arial" w:eastAsia="Arial" w:hAnsi="Arial"/>
          <w:sz w:val="22"/>
          <w:szCs w:val="22"/>
          <w:u w:val="single" w:color="auto"/>
          <w:color w:val="auto"/>
        </w:rPr>
        <w:t>Committee</w:t>
      </w:r>
      <w:r>
        <w:rPr>
          <w:rFonts w:ascii="Arial" w:cs="Arial" w:eastAsia="Arial" w:hAnsi="Arial"/>
          <w:sz w:val="22"/>
          <w:szCs w:val="22"/>
          <w:color w:val="auto"/>
        </w:rPr>
        <w:t>”) as provided under Section 6 below.</w:t>
      </w:r>
    </w:p>
    <w:p>
      <w:pPr>
        <w:spacing w:after="0" w:line="229"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Subject to any earlier payment made under Section 2(f) below, the vested number of PSUs determined under this Section 2(a) shall be settled by the Company in a single payment of Shares (subject to applicable tax withholding) as soon as reasonably practicable after the Maturity Date following certification by the Committee of the Company’s Relative TSR Percentile Rank, but in no event later than two and one-half months after the end of the Performance Period except as specifically permitted under IRS regulations without resulting in a violation of Section 409A of the Code (as defined under the Plan).</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In situations where there is not continued employment through the Maturity Date, notwithstanding the foregoing, the interest of the Employee in the Shares subject to this award shall be determined as specified below.</w:t>
      </w:r>
    </w:p>
    <w:p>
      <w:pPr>
        <w:spacing w:after="0" w:line="215" w:lineRule="exact"/>
        <w:rPr>
          <w:sz w:val="20"/>
          <w:szCs w:val="20"/>
          <w:color w:val="auto"/>
        </w:rPr>
      </w:pPr>
    </w:p>
    <w:p>
      <w:pPr>
        <w:ind w:firstLine="656"/>
        <w:spacing w:after="0" w:line="248" w:lineRule="auto"/>
        <w:tabs>
          <w:tab w:leader="none" w:pos="95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Employment Required.</w:t>
      </w:r>
      <w:r>
        <w:rPr>
          <w:rFonts w:ascii="Arial" w:cs="Arial" w:eastAsia="Arial" w:hAnsi="Arial"/>
          <w:sz w:val="22"/>
          <w:szCs w:val="22"/>
          <w:color w:val="auto"/>
        </w:rPr>
        <w:t xml:space="preserve"> Except as otherwise provided in this Section 2, if the Employee ceases to be an employee of the Company or one of its Subsidiaries (as defined in the Plan) prior to the Maturity Date, the PSUs granted to the Employee hereunder shall not vest and instead shall be forfeited. In such event, vesting shall not be pro-rated between the Grant Date and the Maturity Date. For avoidance of doubt, employment with an entity that is a Subsidiary shall be deemed to terminate once the Company no longer has a majority interest in such entity.</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31" w:right="259" w:bottom="1440" w:gutter="0" w:footer="0" w:header="0"/>
        </w:sectPr>
      </w:pPr>
    </w:p>
    <w:bookmarkStart w:id="44" w:name="page45"/>
    <w:bookmarkEnd w:id="44"/>
    <w:p>
      <w:pPr>
        <w:ind w:left="-20" w:firstLine="656"/>
        <w:spacing w:after="0" w:line="247" w:lineRule="auto"/>
        <w:tabs>
          <w:tab w:leader="none" w:pos="922"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If such termination of employment is because of the Employee’s Disability (as defined in Section 2(g) below) while in the employ of the Company or its Subsidiaries, then the continued employment requirement for the Employee shall cease to apply and the Share Payout as a Percentage of Target Award for the PSUs shall be determined as of the Maturity Date and paid in accordance with Section 2(a) above; provided, however, that number of Shares paid to the Employee shall be multiplied by a fraction, the numerator of which is the number of days elapsed from the Grant Date to the date of the Employee’s Disability, and denominator of which is 1095.</w:t>
      </w:r>
    </w:p>
    <w:p>
      <w:pPr>
        <w:spacing w:after="0" w:line="234" w:lineRule="exact"/>
        <w:rPr>
          <w:rFonts w:ascii="Arial" w:cs="Arial" w:eastAsia="Arial" w:hAnsi="Arial"/>
          <w:sz w:val="22"/>
          <w:szCs w:val="22"/>
          <w:color w:val="auto"/>
        </w:rPr>
      </w:pPr>
    </w:p>
    <w:p>
      <w:pPr>
        <w:ind w:left="-20" w:firstLine="656"/>
        <w:spacing w:after="0" w:line="247" w:lineRule="auto"/>
        <w:tabs>
          <w:tab w:leader="none" w:pos="93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the termination of employment is because of the death of the Employee while in the employ of the Company or its Subsidiaries, then the continued employment requirement for the Employee shall cease to apply and the Share Payout as a Percentage of Target Award for the PSUs shall be determined as of the Maturity Date and paid in accordance with Section 2(a) above; provided, however, that the number of Shares to be paid to the Employee’s estate shall be multiplied by a fraction, the numerator of which is the number of days elapsed from the Grant Date to the date of the Employee’s death, and the denominator of which is 1095.</w:t>
      </w:r>
    </w:p>
    <w:p>
      <w:pPr>
        <w:spacing w:after="0" w:line="234" w:lineRule="exact"/>
        <w:rPr>
          <w:rFonts w:ascii="Arial" w:cs="Arial" w:eastAsia="Arial" w:hAnsi="Arial"/>
          <w:sz w:val="22"/>
          <w:szCs w:val="22"/>
          <w:color w:val="auto"/>
        </w:rPr>
      </w:pPr>
    </w:p>
    <w:p>
      <w:pPr>
        <w:ind w:left="-20" w:firstLine="656"/>
        <w:spacing w:after="0" w:line="294" w:lineRule="auto"/>
        <w:tabs>
          <w:tab w:leader="none" w:pos="922"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Qualifying Retirement</w:t>
      </w:r>
      <w:r>
        <w:rPr>
          <w:rFonts w:ascii="Arial" w:cs="Arial" w:eastAsia="Arial" w:hAnsi="Arial"/>
          <w:sz w:val="19"/>
          <w:szCs w:val="19"/>
          <w:color w:val="auto"/>
        </w:rPr>
        <w:t>. If such termination of employment is because of the Employee’s Qualifying Retirement (as defined in Section 2(g) below) while in the employ of the Company or its Subsidiaries, then the continued employment requirement for the Employee shall cease to apply and the Share Payout as a Percentage of Target Award for the PSUs shall be determined as of the Maturity Date and paid in accordance with Section 2(a) above; provided, however, that the number of Shares to be paid to the Employee shall be multiplied by a fraction, the numerator of which is the number of days elapsed from the Grant Date to the date of the Employee’s Qualifying Retirement, and the denominator of which is 1095.</w:t>
      </w:r>
    </w:p>
    <w:p>
      <w:pPr>
        <w:spacing w:after="0" w:line="190" w:lineRule="exact"/>
        <w:rPr>
          <w:rFonts w:ascii="Arial" w:cs="Arial" w:eastAsia="Arial" w:hAnsi="Arial"/>
          <w:sz w:val="19"/>
          <w:szCs w:val="19"/>
          <w:color w:val="auto"/>
        </w:rPr>
      </w:pPr>
    </w:p>
    <w:p>
      <w:pPr>
        <w:ind w:left="900" w:hanging="264"/>
        <w:spacing w:after="0"/>
        <w:tabs>
          <w:tab w:leader="none" w:pos="9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Qualifying Change in Control.</w:t>
      </w:r>
    </w:p>
    <w:p>
      <w:pPr>
        <w:spacing w:after="0" w:line="260" w:lineRule="exact"/>
        <w:rPr>
          <w:rFonts w:ascii="Arial" w:cs="Arial" w:eastAsia="Arial" w:hAnsi="Arial"/>
          <w:sz w:val="22"/>
          <w:szCs w:val="22"/>
          <w:color w:val="auto"/>
        </w:rPr>
      </w:pPr>
    </w:p>
    <w:p>
      <w:pPr>
        <w:jc w:val="both"/>
        <w:ind w:left="640" w:right="40" w:firstLine="645"/>
        <w:spacing w:after="0" w:line="250" w:lineRule="auto"/>
        <w:tabs>
          <w:tab w:leader="none" w:pos="1594" w:val="left"/>
        </w:tabs>
        <w:numPr>
          <w:ilvl w:val="1"/>
          <w:numId w:val="25"/>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any employment agreement, severance agreement, change in control agreement or other agreement with the Employee, this Section 2(f) shall apply if a Change in Control (as defined in Section 2(g) below) occurs prior to the Maturity Date (a “</w:t>
      </w:r>
      <w:r>
        <w:rPr>
          <w:rFonts w:ascii="Arial" w:cs="Arial" w:eastAsia="Arial" w:hAnsi="Arial"/>
          <w:sz w:val="22"/>
          <w:szCs w:val="22"/>
          <w:u w:val="single" w:color="auto"/>
          <w:color w:val="auto"/>
        </w:rPr>
        <w:t>Qualifying Change in Control</w:t>
      </w:r>
      <w:r>
        <w:rPr>
          <w:rFonts w:ascii="Arial" w:cs="Arial" w:eastAsia="Arial" w:hAnsi="Arial"/>
          <w:sz w:val="22"/>
          <w:szCs w:val="22"/>
          <w:color w:val="auto"/>
        </w:rPr>
        <w:t>”) and while the Employee is in the employ of the Company or a Subsidiary.</w:t>
      </w:r>
    </w:p>
    <w:p>
      <w:pPr>
        <w:spacing w:after="0" w:line="228" w:lineRule="exact"/>
        <w:rPr>
          <w:rFonts w:ascii="Arial" w:cs="Arial" w:eastAsia="Arial" w:hAnsi="Arial"/>
          <w:sz w:val="22"/>
          <w:szCs w:val="22"/>
          <w:color w:val="auto"/>
        </w:rPr>
      </w:pPr>
    </w:p>
    <w:p>
      <w:pPr>
        <w:ind w:left="640" w:right="20" w:firstLine="645"/>
        <w:spacing w:after="0" w:line="246" w:lineRule="auto"/>
        <w:tabs>
          <w:tab w:leader="none" w:pos="1594" w:val="left"/>
        </w:tabs>
        <w:numPr>
          <w:ilvl w:val="1"/>
          <w:numId w:val="25"/>
        </w:numPr>
        <w:rPr>
          <w:rFonts w:ascii="Arial" w:cs="Arial" w:eastAsia="Arial" w:hAnsi="Arial"/>
          <w:sz w:val="22"/>
          <w:szCs w:val="22"/>
          <w:color w:val="auto"/>
        </w:rPr>
      </w:pPr>
      <w:r>
        <w:rPr>
          <w:rFonts w:ascii="Arial" w:cs="Arial" w:eastAsia="Arial" w:hAnsi="Arial"/>
          <w:sz w:val="22"/>
          <w:szCs w:val="22"/>
          <w:color w:val="auto"/>
        </w:rPr>
        <w:t>Effective as of immediately prior to a Qualifying Change in Control, but subject to the occurrence of such Change in Control, the number of PSUs eligible to be vested shall be equal to the greater of the number of Shares under (i) the Target Award multiplied by a fraction, the numerator of which is the number of days elapsed from the Grant Date to the date of the Qualifying Change in Control, and denominator of which is 1095, or (ii) the Share Payout as determined by the Committee under Section 2(a) above through the latest practicable date prior to such Change in Control. For purposes of this Section 2(f)(2), the Company Relative TSR Percentile Rank shall be determined by reference to the Company’s average relative TSR rank on the thirty (30) consecutive trading days immediately preceding the Qualifying Change in Control. The number 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375"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PSUs determined in accordance with this Section 2(f)(2) is referred to as the “</w:t>
      </w:r>
      <w:r>
        <w:rPr>
          <w:rFonts w:ascii="Arial" w:cs="Arial" w:eastAsia="Arial" w:hAnsi="Arial"/>
          <w:sz w:val="22"/>
          <w:szCs w:val="22"/>
          <w:u w:val="single" w:color="auto"/>
          <w:color w:val="auto"/>
        </w:rPr>
        <w:t>CIC Adjusted PSUs</w:t>
      </w:r>
      <w:r>
        <w:rPr>
          <w:rFonts w:ascii="Arial" w:cs="Arial" w:eastAsia="Arial" w:hAnsi="Arial"/>
          <w:sz w:val="22"/>
          <w:szCs w:val="22"/>
          <w:color w:val="auto"/>
        </w:rPr>
        <w:t>.”</w:t>
      </w:r>
    </w:p>
    <w:p>
      <w:pPr>
        <w:spacing w:after="0" w:line="260" w:lineRule="exact"/>
        <w:rPr>
          <w:sz w:val="20"/>
          <w:szCs w:val="20"/>
          <w:color w:val="auto"/>
        </w:rPr>
      </w:pPr>
    </w:p>
    <w:p>
      <w:pPr>
        <w:ind w:right="20" w:firstLine="645"/>
        <w:spacing w:after="0" w:line="288" w:lineRule="auto"/>
        <w:tabs>
          <w:tab w:leader="none" w:pos="95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CIC Adjusted PSUs shall become vested on a Qualifying Change in Control and settled within five days following the occurrence of such Change in Control if a replacement or substitute award meeting the requirements of this Section 2(f)(3) is not provided to the Employee in respect of such PSUs. An award meeting the requirements of this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2(f)(3) is referred to below as a “</w:t>
      </w:r>
      <w:r>
        <w:rPr>
          <w:rFonts w:ascii="Arial" w:cs="Arial" w:eastAsia="Arial" w:hAnsi="Arial"/>
          <w:sz w:val="22"/>
          <w:szCs w:val="22"/>
          <w:u w:val="single" w:color="auto"/>
          <w:color w:val="auto"/>
        </w:rPr>
        <w:t>Replacement Award</w:t>
      </w:r>
      <w:r>
        <w:rPr>
          <w:rFonts w:ascii="Arial" w:cs="Arial" w:eastAsia="Arial" w:hAnsi="Arial"/>
          <w:sz w:val="22"/>
          <w:szCs w:val="22"/>
          <w:color w:val="auto"/>
        </w:rPr>
        <w:t>”. An award shall qualify as a Replacement Award if:</w:t>
      </w:r>
    </w:p>
    <w:p>
      <w:pPr>
        <w:spacing w:after="0" w:line="242" w:lineRule="exact"/>
        <w:rPr>
          <w:rFonts w:ascii="Arial" w:cs="Arial" w:eastAsia="Arial" w:hAnsi="Arial"/>
          <w:sz w:val="19"/>
          <w:szCs w:val="19"/>
          <w:color w:val="auto"/>
        </w:rPr>
      </w:pPr>
    </w:p>
    <w:p>
      <w:pPr>
        <w:ind w:left="640" w:right="120" w:firstLine="653"/>
        <w:spacing w:after="0" w:line="253" w:lineRule="auto"/>
        <w:tabs>
          <w:tab w:leader="none" w:pos="16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it is comprised of restricted stock units with respect to a publicly traded equity security of the Company or the surviving corporation or the ultimate parent of the applicable entity following the Qualifying Change in Control,</w:t>
      </w:r>
    </w:p>
    <w:p>
      <w:pPr>
        <w:spacing w:after="0" w:line="226" w:lineRule="exact"/>
        <w:rPr>
          <w:rFonts w:ascii="Arial" w:cs="Arial" w:eastAsia="Arial" w:hAnsi="Arial"/>
          <w:sz w:val="22"/>
          <w:szCs w:val="22"/>
          <w:color w:val="auto"/>
        </w:rPr>
      </w:pPr>
    </w:p>
    <w:p>
      <w:pPr>
        <w:ind w:left="640" w:right="340" w:firstLine="653"/>
        <w:spacing w:after="0" w:line="263" w:lineRule="auto"/>
        <w:tabs>
          <w:tab w:leader="none" w:pos="1630" w:val="left"/>
        </w:tabs>
        <w:numPr>
          <w:ilvl w:val="1"/>
          <w:numId w:val="26"/>
        </w:numPr>
        <w:rPr>
          <w:rFonts w:ascii="Arial" w:cs="Arial" w:eastAsia="Arial" w:hAnsi="Arial"/>
          <w:sz w:val="22"/>
          <w:szCs w:val="22"/>
          <w:color w:val="auto"/>
        </w:rPr>
      </w:pPr>
      <w:r>
        <w:rPr>
          <w:rFonts w:ascii="Arial" w:cs="Arial" w:eastAsia="Arial" w:hAnsi="Arial"/>
          <w:sz w:val="22"/>
          <w:szCs w:val="22"/>
          <w:color w:val="auto"/>
        </w:rPr>
        <w:t>it has a fair market value at least equal to the fair market value of the CIC Adjusted PSUs established pursuant to Section 2(f)(2) as of the date of the Qualifying Change in Control,</w:t>
      </w:r>
    </w:p>
    <w:p>
      <w:pPr>
        <w:spacing w:after="0" w:line="215" w:lineRule="exact"/>
        <w:rPr>
          <w:rFonts w:ascii="Arial" w:cs="Arial" w:eastAsia="Arial" w:hAnsi="Arial"/>
          <w:sz w:val="22"/>
          <w:szCs w:val="22"/>
          <w:color w:val="auto"/>
        </w:rPr>
      </w:pPr>
    </w:p>
    <w:p>
      <w:pPr>
        <w:ind w:left="640" w:right="60" w:firstLine="653"/>
        <w:spacing w:after="0" w:line="253" w:lineRule="auto"/>
        <w:tabs>
          <w:tab w:leader="none" w:pos="1630" w:val="left"/>
        </w:tabs>
        <w:numPr>
          <w:ilvl w:val="1"/>
          <w:numId w:val="26"/>
        </w:numPr>
        <w:rPr>
          <w:rFonts w:ascii="Arial" w:cs="Arial" w:eastAsia="Arial" w:hAnsi="Arial"/>
          <w:sz w:val="22"/>
          <w:szCs w:val="22"/>
          <w:color w:val="auto"/>
        </w:rPr>
      </w:pPr>
      <w:r>
        <w:rPr>
          <w:rFonts w:ascii="Arial" w:cs="Arial" w:eastAsia="Arial" w:hAnsi="Arial"/>
          <w:sz w:val="22"/>
          <w:szCs w:val="22"/>
          <w:color w:val="auto"/>
        </w:rPr>
        <w:t>it contains terms relating to service-based vesting (including with respect to termination of employment) that are substantially identical to the terms set forth in this Agreement and does not contain any terms related to performance-based vesting, and</w:t>
      </w:r>
    </w:p>
    <w:p>
      <w:pPr>
        <w:spacing w:after="0" w:line="226" w:lineRule="exact"/>
        <w:rPr>
          <w:rFonts w:ascii="Arial" w:cs="Arial" w:eastAsia="Arial" w:hAnsi="Arial"/>
          <w:sz w:val="22"/>
          <w:szCs w:val="22"/>
          <w:color w:val="auto"/>
        </w:rPr>
      </w:pPr>
    </w:p>
    <w:p>
      <w:pPr>
        <w:ind w:left="640" w:right="260" w:firstLine="653"/>
        <w:spacing w:after="0" w:line="253" w:lineRule="auto"/>
        <w:tabs>
          <w:tab w:leader="none" w:pos="16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its other terms and conditions are not less favorable to the Employee than the terms and conditions set forth in this Agreement or in the Plan (including provisions that apply in the event of a subsequent Change in Control) as of the date of the Qualifying Change in Control.</w:t>
      </w:r>
    </w:p>
    <w:p>
      <w:pPr>
        <w:spacing w:after="0" w:line="22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determination of whether the conditions of this Section 2(f)(3) are satisfied shall be made by the Committee, as constituted immediately prior to a Qualifying Change in Control, in its sole discretion, prior to such Change in Control. If a Replacement Award is provided, the CIC Adjusted PSUs shall not be settled upon a Qualifying Change in Control, but instead as provided under Section 2(f)(4) below.</w:t>
      </w:r>
    </w:p>
    <w:p>
      <w:pPr>
        <w:spacing w:after="0" w:line="229" w:lineRule="exact"/>
        <w:rPr>
          <w:sz w:val="20"/>
          <w:szCs w:val="20"/>
          <w:color w:val="auto"/>
        </w:rPr>
      </w:pPr>
    </w:p>
    <w:p>
      <w:pPr>
        <w:ind w:firstLine="645"/>
        <w:spacing w:after="0" w:line="290" w:lineRule="auto"/>
        <w:tabs>
          <w:tab w:leader="none" w:pos="954" w:val="left"/>
        </w:tabs>
        <w:numPr>
          <w:ilvl w:val="0"/>
          <w:numId w:val="27"/>
        </w:numPr>
        <w:rPr>
          <w:rFonts w:ascii="Arial" w:cs="Arial" w:eastAsia="Arial" w:hAnsi="Arial"/>
          <w:sz w:val="19"/>
          <w:szCs w:val="19"/>
          <w:color w:val="auto"/>
        </w:rPr>
      </w:pPr>
      <w:r>
        <w:rPr>
          <w:rFonts w:ascii="Arial" w:cs="Arial" w:eastAsia="Arial" w:hAnsi="Arial"/>
          <w:sz w:val="19"/>
          <w:szCs w:val="19"/>
          <w:color w:val="auto"/>
        </w:rPr>
        <w:t>If, in connection with a Qualifying Change in Control, the Employee is provided with a Replacement Award, such Replacement Award shall vest on the Maturity Date and be settled at the time as set forth in Section 2(a), subject to the Employee having not incurred a termination of employment with the Company and its Subsidiaries prior to the Maturity Date; provided that, if, within two years following such Change in Control, the Employee incurs a termination of employment due to being a Good Leaver (as defined in Section 2(g) below), then the Replacement Award shall become fully vested effective as of such termination of employment, and the Company shall issue one share to the Employee for each share under the Replacement Award as soon as reasonably practicable, and in no event more than 10 days, following such termination of employment. For purposes of determining the time of an accelerated payout under this</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20"/>
          </w:cols>
          <w:pgMar w:left="900" w:top="375" w:right="279" w:bottom="1440" w:gutter="0" w:footer="0" w:header="0"/>
        </w:sectPr>
      </w:pPr>
    </w:p>
    <w:bookmarkStart w:id="46" w:name="page47"/>
    <w:bookmarkEnd w:id="46"/>
    <w:p>
      <w:pPr>
        <w:ind w:left="4" w:right="240"/>
        <w:spacing w:after="0" w:line="263" w:lineRule="auto"/>
        <w:rPr>
          <w:sz w:val="20"/>
          <w:szCs w:val="20"/>
          <w:color w:val="auto"/>
        </w:rPr>
      </w:pPr>
      <w:r>
        <w:rPr>
          <w:rFonts w:ascii="Arial" w:cs="Arial" w:eastAsia="Arial" w:hAnsi="Arial"/>
          <w:sz w:val="22"/>
          <w:szCs w:val="22"/>
          <w:color w:val="auto"/>
        </w:rPr>
        <w:t>Section 2(f)(4), a termination of employment shall mean a “separation of service” within the meaning of Section 409A of the Code.</w:t>
      </w:r>
    </w:p>
    <w:p>
      <w:pPr>
        <w:spacing w:after="0" w:line="215" w:lineRule="exact"/>
        <w:rPr>
          <w:sz w:val="20"/>
          <w:szCs w:val="20"/>
          <w:color w:val="auto"/>
        </w:rPr>
      </w:pPr>
    </w:p>
    <w:p>
      <w:pPr>
        <w:ind w:left="304" w:hanging="304"/>
        <w:spacing w:after="0"/>
        <w:tabs>
          <w:tab w:leader="none" w:pos="304"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71" w:lineRule="exact"/>
        <w:rPr>
          <w:rFonts w:ascii="Arial" w:cs="Arial" w:eastAsia="Arial" w:hAnsi="Arial"/>
          <w:sz w:val="21"/>
          <w:szCs w:val="21"/>
          <w:color w:val="auto"/>
        </w:rPr>
      </w:pPr>
    </w:p>
    <w:p>
      <w:pPr>
        <w:ind w:left="964" w:hanging="315"/>
        <w:spacing w:after="0"/>
        <w:tabs>
          <w:tab w:leader="none" w:pos="964"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 the following events.</w:t>
      </w:r>
    </w:p>
    <w:p>
      <w:pPr>
        <w:spacing w:after="0" w:line="260" w:lineRule="exact"/>
        <w:rPr>
          <w:rFonts w:ascii="Arial" w:cs="Arial" w:eastAsia="Arial" w:hAnsi="Arial"/>
          <w:sz w:val="22"/>
          <w:szCs w:val="22"/>
          <w:color w:val="auto"/>
        </w:rPr>
      </w:pPr>
    </w:p>
    <w:p>
      <w:pPr>
        <w:ind w:left="644" w:right="60" w:firstLine="653"/>
        <w:spacing w:after="0" w:line="248" w:lineRule="auto"/>
        <w:tabs>
          <w:tab w:leader="none" w:pos="1646" w:val="left"/>
        </w:tabs>
        <w:numPr>
          <w:ilvl w:val="2"/>
          <w:numId w:val="28"/>
        </w:numPr>
        <w:rPr>
          <w:rFonts w:ascii="Arial" w:cs="Arial" w:eastAsia="Arial" w:hAnsi="Arial"/>
          <w:sz w:val="22"/>
          <w:szCs w:val="22"/>
          <w:color w:val="auto"/>
        </w:rPr>
      </w:pPr>
      <w:r>
        <w:rPr>
          <w:rFonts w:ascii="Arial" w:cs="Arial" w:eastAsia="Arial" w:hAnsi="Arial"/>
          <w:sz w:val="22"/>
          <w:szCs w:val="22"/>
          <w:color w:val="auto"/>
        </w:rPr>
        <w:t>a person, or any two or more persons acting as a group, and all affiliates of such person or persons, who prior to such time owned less than fifty percent (50%) of the Company’s then outstanding Shares, shall acquire such additional Shares in one or more transactions, or series of transactions, such that following such transaction or transactions such person or group and affiliates beneficially own fifty percent (50%) or more of the Shares outstanding,</w:t>
      </w:r>
    </w:p>
    <w:p>
      <w:pPr>
        <w:spacing w:after="0" w:line="232" w:lineRule="exact"/>
        <w:rPr>
          <w:rFonts w:ascii="Arial" w:cs="Arial" w:eastAsia="Arial" w:hAnsi="Arial"/>
          <w:sz w:val="22"/>
          <w:szCs w:val="22"/>
          <w:color w:val="auto"/>
        </w:rPr>
      </w:pPr>
    </w:p>
    <w:p>
      <w:pPr>
        <w:ind w:left="644" w:right="300" w:firstLine="653"/>
        <w:spacing w:after="0" w:line="263" w:lineRule="auto"/>
        <w:tabs>
          <w:tab w:leader="none" w:pos="1634" w:val="left"/>
        </w:tabs>
        <w:numPr>
          <w:ilvl w:val="2"/>
          <w:numId w:val="28"/>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w:t>
      </w:r>
    </w:p>
    <w:p>
      <w:pPr>
        <w:spacing w:after="0" w:line="215" w:lineRule="exact"/>
        <w:rPr>
          <w:rFonts w:ascii="Arial" w:cs="Arial" w:eastAsia="Arial" w:hAnsi="Arial"/>
          <w:sz w:val="22"/>
          <w:szCs w:val="22"/>
          <w:color w:val="auto"/>
        </w:rPr>
      </w:pPr>
    </w:p>
    <w:p>
      <w:pPr>
        <w:ind w:left="644" w:right="180" w:firstLine="653"/>
        <w:spacing w:after="0" w:line="292" w:lineRule="auto"/>
        <w:tabs>
          <w:tab w:leader="none" w:pos="1634" w:val="left"/>
        </w:tabs>
        <w:numPr>
          <w:ilvl w:val="2"/>
          <w:numId w:val="28"/>
        </w:numPr>
        <w:rPr>
          <w:rFonts w:ascii="Arial" w:cs="Arial" w:eastAsia="Arial" w:hAnsi="Arial"/>
          <w:sz w:val="19"/>
          <w:szCs w:val="19"/>
          <w:color w:val="auto"/>
        </w:rPr>
      </w:pPr>
      <w:r>
        <w:rPr>
          <w:rFonts w:ascii="Arial" w:cs="Arial" w:eastAsia="Arial" w:hAnsi="Arial"/>
          <w:sz w:val="19"/>
          <w:szCs w:val="19"/>
          <w:color w:val="auto"/>
        </w:rPr>
        <w:t>individuals who constitute the Incumbent Board cease for any reason to constitute at least a majority of the Company’s Board of Directors (for this purpose, “Incumbent Board” means at any time those persons who are then members of the Company’s Board of Directors and who are either (i) members of the Company’s Board of Directors on the date of this Agreement, or (ii) have been elected, or have been nominated for election by the Company’s shareholders,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and</w:t>
      </w:r>
    </w:p>
    <w:p>
      <w:pPr>
        <w:spacing w:after="0" w:line="192" w:lineRule="exact"/>
        <w:rPr>
          <w:rFonts w:ascii="Arial" w:cs="Arial" w:eastAsia="Arial" w:hAnsi="Arial"/>
          <w:sz w:val="19"/>
          <w:szCs w:val="19"/>
          <w:color w:val="auto"/>
        </w:rPr>
      </w:pPr>
    </w:p>
    <w:p>
      <w:pPr>
        <w:ind w:left="644" w:firstLine="653"/>
        <w:spacing w:after="0" w:line="246" w:lineRule="auto"/>
        <w:tabs>
          <w:tab w:leader="none" w:pos="1646"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consummation of any merger, reorganization, consolidation or share exchange unless the persons who were the beneficial owners of the Company’s outstanding Shares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by the persons described above immediately before the consummation of such transaction.</w:t>
      </w:r>
    </w:p>
    <w:p>
      <w:pPr>
        <w:spacing w:after="0" w:line="235" w:lineRule="exact"/>
        <w:rPr>
          <w:sz w:val="20"/>
          <w:szCs w:val="20"/>
          <w:color w:val="auto"/>
        </w:rPr>
      </w:pPr>
    </w:p>
    <w:p>
      <w:pPr>
        <w:jc w:val="both"/>
        <w:ind w:left="4" w:right="120"/>
        <w:spacing w:after="0" w:line="253" w:lineRule="auto"/>
        <w:rPr>
          <w:sz w:val="20"/>
          <w:szCs w:val="20"/>
          <w:color w:val="auto"/>
        </w:rPr>
      </w:pPr>
      <w:r>
        <w:rPr>
          <w:rFonts w:ascii="Arial" w:cs="Arial" w:eastAsia="Arial" w:hAnsi="Arial"/>
          <w:sz w:val="22"/>
          <w:szCs w:val="22"/>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200" w:lineRule="exact"/>
        <w:rPr>
          <w:sz w:val="20"/>
          <w:szCs w:val="20"/>
          <w:color w:val="auto"/>
        </w:rPr>
      </w:pPr>
    </w:p>
    <w:p>
      <w:pPr>
        <w:spacing w:after="0" w:line="26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4"/>
          </w:cols>
          <w:pgMar w:left="896" w:top="375" w:right="259" w:bottom="1440" w:gutter="0" w:footer="0" w:header="0"/>
        </w:sectPr>
      </w:pPr>
    </w:p>
    <w:bookmarkStart w:id="47" w:name="page48"/>
    <w:bookmarkEnd w:id="47"/>
    <w:p>
      <w:pPr>
        <w:ind w:right="20" w:firstLine="645"/>
        <w:spacing w:after="0" w:line="263" w:lineRule="auto"/>
        <w:tabs>
          <w:tab w:leader="none" w:pos="954"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given it in Article 2 of the Plan; provided, however, that the Employee must also be considered to be “disabled” for purposes of Treas. Reg. §1.409A-3(i)(4).</w:t>
      </w:r>
    </w:p>
    <w:p>
      <w:pPr>
        <w:spacing w:after="0" w:line="215" w:lineRule="exact"/>
        <w:rPr>
          <w:rFonts w:ascii="Arial" w:cs="Arial" w:eastAsia="Arial" w:hAnsi="Arial"/>
          <w:sz w:val="22"/>
          <w:szCs w:val="22"/>
          <w:color w:val="auto"/>
        </w:rPr>
      </w:pPr>
    </w:p>
    <w:p>
      <w:pPr>
        <w:jc w:val="both"/>
        <w:ind w:right="120" w:firstLine="645"/>
        <w:spacing w:after="0" w:line="253" w:lineRule="auto"/>
        <w:tabs>
          <w:tab w:leader="none" w:pos="954"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Leaver</w:t>
      </w:r>
      <w:r>
        <w:rPr>
          <w:rFonts w:ascii="Arial" w:cs="Arial" w:eastAsia="Arial" w:hAnsi="Arial"/>
          <w:sz w:val="22"/>
          <w:szCs w:val="22"/>
          <w:color w:val="auto"/>
        </w:rPr>
        <w:t>” means the involuntary termination of the Employee’s employment by the Company other than a Termination for Cause, the Employee’s resignation for Good Reason, or the Employee’s termination of employment due to death, Disability or a Qualifying Retirement.</w:t>
      </w:r>
    </w:p>
    <w:p>
      <w:pPr>
        <w:spacing w:after="0" w:line="226" w:lineRule="exact"/>
        <w:rPr>
          <w:rFonts w:ascii="Arial" w:cs="Arial" w:eastAsia="Arial" w:hAnsi="Arial"/>
          <w:sz w:val="22"/>
          <w:szCs w:val="22"/>
          <w:color w:val="auto"/>
        </w:rPr>
      </w:pPr>
    </w:p>
    <w:p>
      <w:pPr>
        <w:jc w:val="both"/>
        <w:ind w:right="80" w:firstLine="645"/>
        <w:spacing w:after="0" w:line="271" w:lineRule="auto"/>
        <w:tabs>
          <w:tab w:leader="none" w:pos="954" w:val="left"/>
        </w:tabs>
        <w:numPr>
          <w:ilvl w:val="0"/>
          <w:numId w:val="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have the meaning given to such term in an employment agreement, severance or change in control agreement or, if there is no such agreement or if it does not define Good Reason, then Good Reason shall mean the occurrence of any one of the following, in the absence of Employee’s written consent:</w:t>
      </w:r>
    </w:p>
    <w:p>
      <w:pPr>
        <w:spacing w:after="0" w:line="208" w:lineRule="exact"/>
        <w:rPr>
          <w:rFonts w:ascii="Arial" w:cs="Arial" w:eastAsia="Arial" w:hAnsi="Arial"/>
          <w:sz w:val="21"/>
          <w:szCs w:val="21"/>
          <w:color w:val="auto"/>
        </w:rPr>
      </w:pPr>
    </w:p>
    <w:p>
      <w:pPr>
        <w:ind w:left="640" w:firstLine="653"/>
        <w:spacing w:after="0" w:line="263" w:lineRule="auto"/>
        <w:tabs>
          <w:tab w:leader="none" w:pos="1642"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material diminution in the Employee’s annual base salary or target annual incentive compensation from that in effect immediately prior to a Qualifying Change in Control,</w:t>
      </w:r>
    </w:p>
    <w:p>
      <w:pPr>
        <w:spacing w:after="0" w:line="215" w:lineRule="exact"/>
        <w:rPr>
          <w:rFonts w:ascii="Arial" w:cs="Arial" w:eastAsia="Arial" w:hAnsi="Arial"/>
          <w:sz w:val="22"/>
          <w:szCs w:val="22"/>
          <w:color w:val="auto"/>
        </w:rPr>
      </w:pPr>
    </w:p>
    <w:p>
      <w:pPr>
        <w:ind w:left="640" w:right="40" w:firstLine="653"/>
        <w:spacing w:after="0" w:line="265" w:lineRule="auto"/>
        <w:tabs>
          <w:tab w:leader="none" w:pos="1630" w:val="left"/>
        </w:tabs>
        <w:numPr>
          <w:ilvl w:val="1"/>
          <w:numId w:val="29"/>
        </w:numPr>
        <w:rPr>
          <w:rFonts w:ascii="Arial" w:cs="Arial" w:eastAsia="Arial" w:hAnsi="Arial"/>
          <w:sz w:val="21"/>
          <w:szCs w:val="21"/>
          <w:color w:val="auto"/>
        </w:rPr>
      </w:pPr>
      <w:r>
        <w:rPr>
          <w:rFonts w:ascii="Arial" w:cs="Arial" w:eastAsia="Arial" w:hAnsi="Arial"/>
          <w:sz w:val="21"/>
          <w:szCs w:val="21"/>
          <w:color w:val="auto"/>
        </w:rPr>
        <w:t>the assignment to the Employee of any duties materially inconsistent with Employee’s positions (including status, offices, titles, and reporting requirements), authority, duties, or responsibilities, or any other action by the Company that results in a material diminution in such positions, authority, duties, or responsibilities, in each case, from those in effect immediately prior to a Qualifying Change in Control or</w:t>
      </w:r>
    </w:p>
    <w:p>
      <w:pPr>
        <w:spacing w:after="0" w:line="216" w:lineRule="exact"/>
        <w:rPr>
          <w:rFonts w:ascii="Arial" w:cs="Arial" w:eastAsia="Arial" w:hAnsi="Arial"/>
          <w:sz w:val="21"/>
          <w:szCs w:val="21"/>
          <w:color w:val="auto"/>
        </w:rPr>
      </w:pPr>
    </w:p>
    <w:p>
      <w:pPr>
        <w:ind w:left="640" w:right="80" w:firstLine="653"/>
        <w:spacing w:after="0" w:line="253" w:lineRule="auto"/>
        <w:tabs>
          <w:tab w:leader="none" w:pos="163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relocation of the Employee to a work location more than 50 miles from the Employee’s current work location (unless, as a result of such relocation, the Employee’s work location is closer to his or her place of residence);</w:t>
      </w:r>
    </w:p>
    <w:p>
      <w:pPr>
        <w:spacing w:after="0" w:line="22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provided that, in each case, (i) the Employee provides written notice to the Company of the existence of one or more of the conditions described in clauses described above within 30 days following the Employee’s knowledge of the initial existence of such condition or conditions, specifying in reasonable detail the conditions constituting Good Reason, (ii) the Company and its Subsidiaries fail to cure such event or condition within 30 days following the receipt of such notice and (iii) the Employee incurs a termination of Employment within 30 days following the expiration of such cure period.</w:t>
      </w:r>
    </w:p>
    <w:p>
      <w:pPr>
        <w:spacing w:after="0" w:line="188" w:lineRule="exact"/>
        <w:rPr>
          <w:sz w:val="20"/>
          <w:szCs w:val="20"/>
          <w:color w:val="auto"/>
        </w:rPr>
      </w:pPr>
    </w:p>
    <w:p>
      <w:pPr>
        <w:ind w:firstLine="645"/>
        <w:spacing w:after="0" w:line="294" w:lineRule="auto"/>
        <w:tabs>
          <w:tab w:leader="none" w:pos="954"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Retirement</w:t>
      </w:r>
      <w:r>
        <w:rPr>
          <w:rFonts w:ascii="Arial" w:cs="Arial" w:eastAsia="Arial" w:hAnsi="Arial"/>
          <w:sz w:val="19"/>
          <w:szCs w:val="19"/>
          <w:color w:val="auto"/>
        </w:rPr>
        <w:t>” shall mean that the Employee voluntarily retires from the employ of the Company or its Subsidiaries at or after both attaining age fifty-five (55) and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 For the avoidance of doubt, termination of the Employee’s employment by the Company, either with or without Cause, shall not be treated as a Qualifying Retirement.</w:t>
      </w:r>
    </w:p>
    <w:p>
      <w:pPr>
        <w:spacing w:after="0" w:line="17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40"/>
          </w:cols>
          <w:pgMar w:left="900" w:top="375" w:right="259" w:bottom="1440" w:gutter="0" w:footer="0" w:header="0"/>
        </w:sectPr>
      </w:pPr>
    </w:p>
    <w:bookmarkStart w:id="48" w:name="page49"/>
    <w:bookmarkEnd w:id="48"/>
    <w:p>
      <w:pPr>
        <w:ind w:left="652" w:firstLine="645"/>
        <w:spacing w:after="0" w:line="259" w:lineRule="auto"/>
        <w:tabs>
          <w:tab w:leader="none" w:pos="1606" w:val="left"/>
        </w:tabs>
        <w:numPr>
          <w:ilvl w:val="2"/>
          <w:numId w:val="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for Cause</w:t>
      </w:r>
      <w:r>
        <w:rPr>
          <w:rFonts w:ascii="Arial" w:cs="Arial" w:eastAsia="Arial" w:hAnsi="Arial"/>
          <w:sz w:val="21"/>
          <w:szCs w:val="21"/>
          <w:color w:val="auto"/>
        </w:rPr>
        <w:t>” Unless otherwise provided under the termination with cause provisions of an individual employment agreement or change in control agreement, to invoke a Termination with Cause, the Company must provide written notice to the Employee of the existence of one or more grounds for termination as set forth below within 30 days following the Company’s knowledge of the existence of such grounds, specifying in reasonable detail the grounds constituting cause, and, with respect to the grounds enumerated in clauses (B), (C) and (D) below, the Employee shall have 30 days following receipt of such written notice during which to remedy any such ground if it is reasonably subject to cure. “Cause” shall have the meaning given to such term in an employment agreement or change in control agreement covering the Employee or, if there is no such agreement or if it does not define Cause, then Cause shall mean the occurrence of any one of the following:</w:t>
      </w:r>
    </w:p>
    <w:p>
      <w:pPr>
        <w:spacing w:after="0" w:line="220" w:lineRule="exact"/>
        <w:rPr>
          <w:rFonts w:ascii="Arial" w:cs="Arial" w:eastAsia="Arial" w:hAnsi="Arial"/>
          <w:sz w:val="21"/>
          <w:szCs w:val="21"/>
          <w:color w:val="auto"/>
        </w:rPr>
      </w:pPr>
    </w:p>
    <w:p>
      <w:pPr>
        <w:ind w:left="1292" w:right="800" w:firstLine="653"/>
        <w:spacing w:after="0" w:line="263" w:lineRule="auto"/>
        <w:tabs>
          <w:tab w:leader="none" w:pos="2294" w:val="left"/>
        </w:tabs>
        <w:numPr>
          <w:ilvl w:val="3"/>
          <w:numId w:val="31"/>
        </w:numPr>
        <w:rPr>
          <w:rFonts w:ascii="Arial" w:cs="Arial" w:eastAsia="Arial" w:hAnsi="Arial"/>
          <w:sz w:val="22"/>
          <w:szCs w:val="22"/>
          <w:color w:val="auto"/>
        </w:rPr>
      </w:pPr>
      <w:r>
        <w:rPr>
          <w:rFonts w:ascii="Arial" w:cs="Arial" w:eastAsia="Arial" w:hAnsi="Arial"/>
          <w:sz w:val="22"/>
          <w:szCs w:val="22"/>
          <w:color w:val="auto"/>
        </w:rPr>
        <w:t>Employee’s conviction of (or a plea of guilty or nolo contendere to) a felony or any other crime involving moral turpitude, dishonesty, fraud, theft or financial impropriety,</w:t>
      </w:r>
    </w:p>
    <w:p>
      <w:pPr>
        <w:spacing w:after="0" w:line="215" w:lineRule="exact"/>
        <w:rPr>
          <w:rFonts w:ascii="Arial" w:cs="Arial" w:eastAsia="Arial" w:hAnsi="Arial"/>
          <w:sz w:val="22"/>
          <w:szCs w:val="22"/>
          <w:color w:val="auto"/>
        </w:rPr>
      </w:pPr>
    </w:p>
    <w:p>
      <w:pPr>
        <w:ind w:left="1292" w:right="600" w:firstLine="653"/>
        <w:spacing w:after="0" w:line="263" w:lineRule="auto"/>
        <w:tabs>
          <w:tab w:leader="none" w:pos="2282" w:val="left"/>
        </w:tabs>
        <w:numPr>
          <w:ilvl w:val="3"/>
          <w:numId w:val="31"/>
        </w:numPr>
        <w:rPr>
          <w:rFonts w:ascii="Arial" w:cs="Arial" w:eastAsia="Arial" w:hAnsi="Arial"/>
          <w:sz w:val="22"/>
          <w:szCs w:val="22"/>
          <w:color w:val="auto"/>
        </w:rPr>
      </w:pPr>
      <w:r>
        <w:rPr>
          <w:rFonts w:ascii="Arial" w:cs="Arial" w:eastAsia="Arial" w:hAnsi="Arial"/>
          <w:sz w:val="22"/>
          <w:szCs w:val="22"/>
          <w:color w:val="auto"/>
        </w:rPr>
        <w:t>the Employee’s failure to perform substantially the Employee’s duties (other than any such failure resulting from Disability),</w:t>
      </w:r>
    </w:p>
    <w:p>
      <w:pPr>
        <w:spacing w:after="0" w:line="215" w:lineRule="exact"/>
        <w:rPr>
          <w:rFonts w:ascii="Arial" w:cs="Arial" w:eastAsia="Arial" w:hAnsi="Arial"/>
          <w:sz w:val="22"/>
          <w:szCs w:val="22"/>
          <w:color w:val="auto"/>
        </w:rPr>
      </w:pPr>
    </w:p>
    <w:p>
      <w:pPr>
        <w:ind w:left="2292" w:hanging="347"/>
        <w:spacing w:after="0"/>
        <w:tabs>
          <w:tab w:leader="none" w:pos="2292" w:val="left"/>
        </w:tabs>
        <w:numPr>
          <w:ilvl w:val="3"/>
          <w:numId w:val="31"/>
        </w:numPr>
        <w:rPr>
          <w:rFonts w:ascii="Arial" w:cs="Arial" w:eastAsia="Arial" w:hAnsi="Arial"/>
          <w:sz w:val="22"/>
          <w:szCs w:val="22"/>
          <w:color w:val="auto"/>
        </w:rPr>
      </w:pPr>
      <w:r>
        <w:rPr>
          <w:rFonts w:ascii="Arial" w:cs="Arial" w:eastAsia="Arial" w:hAnsi="Arial"/>
          <w:sz w:val="22"/>
          <w:szCs w:val="22"/>
          <w:color w:val="auto"/>
        </w:rPr>
        <w:t>the Employee engaging in gross misconduct, or</w:t>
      </w:r>
    </w:p>
    <w:p>
      <w:pPr>
        <w:spacing w:after="0" w:line="260" w:lineRule="exact"/>
        <w:rPr>
          <w:rFonts w:ascii="Arial" w:cs="Arial" w:eastAsia="Arial" w:hAnsi="Arial"/>
          <w:sz w:val="22"/>
          <w:szCs w:val="22"/>
          <w:color w:val="auto"/>
        </w:rPr>
      </w:pPr>
    </w:p>
    <w:p>
      <w:pPr>
        <w:ind w:left="2292" w:hanging="347"/>
        <w:spacing w:after="0"/>
        <w:tabs>
          <w:tab w:leader="none" w:pos="2292" w:val="left"/>
        </w:tabs>
        <w:numPr>
          <w:ilvl w:val="3"/>
          <w:numId w:val="31"/>
        </w:numPr>
        <w:rPr>
          <w:rFonts w:ascii="Arial" w:cs="Arial" w:eastAsia="Arial" w:hAnsi="Arial"/>
          <w:sz w:val="22"/>
          <w:szCs w:val="22"/>
          <w:color w:val="auto"/>
        </w:rPr>
      </w:pPr>
      <w:r>
        <w:rPr>
          <w:rFonts w:ascii="Arial" w:cs="Arial" w:eastAsia="Arial" w:hAnsi="Arial"/>
          <w:sz w:val="22"/>
          <w:szCs w:val="22"/>
          <w:color w:val="auto"/>
        </w:rPr>
        <w:t>the Employee willfully violating a material Company policy.</w:t>
      </w:r>
    </w:p>
    <w:p>
      <w:pPr>
        <w:spacing w:after="0" w:line="254" w:lineRule="exact"/>
        <w:rPr>
          <w:rFonts w:ascii="Arial" w:cs="Arial" w:eastAsia="Arial" w:hAnsi="Arial"/>
          <w:sz w:val="22"/>
          <w:szCs w:val="22"/>
          <w:color w:val="auto"/>
        </w:rPr>
      </w:pPr>
    </w:p>
    <w:p>
      <w:pPr>
        <w:ind w:left="212" w:hanging="212"/>
        <w:spacing w:after="0"/>
        <w:tabs>
          <w:tab w:leader="none" w:pos="212"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w:t>
      </w:r>
    </w:p>
    <w:p>
      <w:pPr>
        <w:spacing w:after="0" w:line="266" w:lineRule="exact"/>
        <w:rPr>
          <w:rFonts w:ascii="Arial" w:cs="Arial" w:eastAsia="Arial" w:hAnsi="Arial"/>
          <w:sz w:val="22"/>
          <w:szCs w:val="22"/>
          <w:b w:val="1"/>
          <w:bCs w:val="1"/>
          <w:color w:val="auto"/>
        </w:rPr>
      </w:pPr>
    </w:p>
    <w:p>
      <w:pPr>
        <w:jc w:val="both"/>
        <w:ind w:left="-8" w:right="280" w:firstLine="656"/>
        <w:spacing w:after="0" w:line="250" w:lineRule="auto"/>
        <w:tabs>
          <w:tab w:leader="none" w:pos="934"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The PSUs granted hereunder may not be sold, transferred, pledged, assigned, encumbered, or otherwise alienated or hypothecated by the Employee other than by will or by the laws of descent and distribution, and any such purported sale, transfer, pledge, assignment or encumbrance, alienation or hypothecation shall be void and unenforceable against the Company and its Subsidiaries.</w:t>
      </w:r>
    </w:p>
    <w:p>
      <w:pPr>
        <w:spacing w:after="0" w:line="228" w:lineRule="exact"/>
        <w:rPr>
          <w:rFonts w:ascii="Arial" w:cs="Arial" w:eastAsia="Arial" w:hAnsi="Arial"/>
          <w:sz w:val="22"/>
          <w:szCs w:val="22"/>
          <w:color w:val="auto"/>
        </w:rPr>
      </w:pPr>
    </w:p>
    <w:p>
      <w:pPr>
        <w:jc w:val="both"/>
        <w:ind w:left="-8" w:right="260" w:firstLine="656"/>
        <w:spacing w:after="0" w:line="250" w:lineRule="auto"/>
        <w:tabs>
          <w:tab w:leader="none" w:pos="946"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Except as provided for in Section 2, if the Employee’s employment with the Company terminates for any reason</w:t>
      </w:r>
      <w:r>
        <w:rPr>
          <w:rFonts w:ascii="Arial" w:cs="Arial" w:eastAsia="Arial" w:hAnsi="Arial"/>
          <w:sz w:val="22"/>
          <w:szCs w:val="22"/>
          <w:b w:val="1"/>
          <w:bCs w:val="1"/>
          <w:color w:val="auto"/>
        </w:rPr>
        <w:t>,</w:t>
      </w:r>
      <w:r>
        <w:rPr>
          <w:rFonts w:ascii="Arial" w:cs="Arial" w:eastAsia="Arial" w:hAnsi="Arial"/>
          <w:sz w:val="22"/>
          <w:szCs w:val="22"/>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228" w:lineRule="exact"/>
        <w:rPr>
          <w:rFonts w:ascii="Arial" w:cs="Arial" w:eastAsia="Arial" w:hAnsi="Arial"/>
          <w:sz w:val="22"/>
          <w:szCs w:val="22"/>
          <w:color w:val="auto"/>
        </w:rPr>
      </w:pPr>
    </w:p>
    <w:p>
      <w:pPr>
        <w:ind w:left="-8" w:right="120" w:firstLine="656"/>
        <w:spacing w:after="0" w:line="263" w:lineRule="auto"/>
        <w:tabs>
          <w:tab w:leader="none" w:pos="934"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Clawback.</w:t>
      </w:r>
      <w:r>
        <w:rPr>
          <w:rFonts w:ascii="Arial" w:cs="Arial" w:eastAsia="Arial" w:hAnsi="Arial"/>
          <w:sz w:val="21"/>
          <w:szCs w:val="21"/>
          <w:color w:val="auto"/>
        </w:rPr>
        <w:t xml:space="preserve"> This award and any resulting settlement of this award in Shares is subject to set-off, recoupment, or other recovery or “clawback” policy as required by applicable law, including any national exchange listing standards, or by any other future Company policy on the clawback of compensation for other reasons, as may be in place from time to time. The foregoing provisions of this Section 3(c) shall cease to apply following a Change in Control, except as otherwise required by applicable law, including any national exchange listing standards.</w:t>
      </w:r>
    </w:p>
    <w:p>
      <w:pPr>
        <w:spacing w:after="0" w:line="203"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52"/>
          </w:cols>
          <w:pgMar w:left="248" w:top="631" w:right="29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4. Delivery of Shares.</w:t>
      </w:r>
    </w:p>
    <w:p>
      <w:pPr>
        <w:spacing w:after="0" w:line="266"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The means of settlement of vested PSUs is that the Company shall deliver to the Employee a certificate or certificates, or at the election of the Company make an appropriate book entry, for the number of Shares equal to the number of the Employee’s PSUs that vest and are payable as specified in Section 2. An Employee shall have no further rights with regard to PSUs once the underlying Shares has been so delivered.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Employee Shareholder Rights.</w:t>
      </w:r>
    </w:p>
    <w:p>
      <w:pPr>
        <w:spacing w:after="0" w:line="266"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Neither the Employee nor any person claiming through the Employee, will have any of the rights or privileges of a shareholder of Haemonetics with respect to the PSUs unless and until Shares have been issued, recorded on the records of the Company or its transfer agent, and delivered to the Employee. No dividend equivalents shall be paid on PSUs with respect to any cash dividends declared during any periods of time prior delivery of the Shares.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Adjustments or Changes in Capitalization.</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Adjustments as a result of an event referenced in Section 4.5 of the Plan (including a change in corporate capitalization or a corporate transaction) shall be made under Section 4.5 of the Plan in a manner consistent with meeting the performance goal requirements under Section 162(m) of the Code.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Disability or Death of Employee.</w:t>
      </w:r>
    </w:p>
    <w:p>
      <w:pPr>
        <w:spacing w:after="0" w:line="226"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Any Shares delivered pursuant to Section 4 shall be delivered to the Employee if legally competent or to a legally designated guardian or representative if the Employee is legally incompetent. If the Employee is not then living, the Shares shall be delivered to the representative of the Employee’s estate.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Taxes.</w:t>
      </w:r>
    </w:p>
    <w:p>
      <w:pPr>
        <w:spacing w:after="0" w:line="266"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The Company’s obligation to deliver any certificates evidencing the Shares provided upon settlement of the vested PSUs (or to make a book-entry or other electronic notation indicating ownership of such Shares) is subject to the condition precedent that the Employee either pay or provide for the amount of any such withholding obligations in such manner as may be authorized by the Committee or as may otherwise be permitted under Article 17 of the Plan. 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 income taxes that may be owed on account of payment of the PSUs, shall be the Employee’s responsibility. By accepting this Grant, the Employee agrees and acknowledges that the Company promptly may withhold from the Employee’s compensation, including but not limited to Shares delivered pursuant to Section 4, the amount of taxes the Company is required to withhold pursuant to this Agreement, unless the Employee shall satisfy such withholding obligation to the Company as provided in Article 17 of the Plan. The Employee acknowledges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9" w:right="239" w:bottom="1440" w:gutter="0" w:footer="0" w:header="0"/>
        </w:sectPr>
      </w:pPr>
    </w:p>
    <w:bookmarkStart w:id="50" w:name="page51"/>
    <w:bookmarkEnd w:id="50"/>
    <w:p>
      <w:pPr>
        <w:jc w:val="both"/>
        <w:ind w:right="260"/>
        <w:spacing w:after="0" w:line="253" w:lineRule="auto"/>
        <w:rPr>
          <w:sz w:val="20"/>
          <w:szCs w:val="20"/>
          <w:color w:val="auto"/>
        </w:rPr>
      </w:pPr>
      <w:r>
        <w:rPr>
          <w:rFonts w:ascii="Arial" w:cs="Arial" w:eastAsia="Arial" w:hAnsi="Arial"/>
          <w:sz w:val="22"/>
          <w:szCs w:val="22"/>
          <w:color w:val="auto"/>
        </w:rPr>
        <w:t>that the tax laws and regulations applicable to the PSUs and the disposition of the Shares provided upon settlement of the vested PSUs are complex and subject to change, and it is the Employee’s sole responsibility to obtain his or her own advice as to the tax treatment of the terms of this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Section 409A.</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It is intended that the rights to receive Shares granted under this Agreement and the provisions of this Agreement be exempt from or comply with Section 409A of the Code, and all provisions of this Agreement shall be construed and interpreted in a manner consistent with Section 19.10 of the Plan and the requirements for avoiding taxes or penalties under Section 409A of the Code. Notwithstanding the foregoing, in no event whatsoever shall the Company or its Subsidiaries be liable for any additional tax, interest, or penalties that may be imposed on the Employee as a result of Section 409A of the Code or any damages for failing to comply with Section 409A of the Code.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Data Privacy Consent.</w:t>
      </w:r>
    </w:p>
    <w:p>
      <w:pPr>
        <w:spacing w:after="0" w:line="266"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As a condition of the Grant, the Employee consents to the collection, use and transfer of the Employee’s personal data as described in this Section 10.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or directorships held in the Company (or any of its Subsidiaries), details of all options or any other entitlement to Shares awarded, canceled, exercised, vested, unvested or outstanding in the Employee’s favor, for the purpose of implementing,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Employee further understands that the Company and/or a Subsidiary may transfer Data amongst themselves as necessary for the purpose of implementation, 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 States or Canada, and that the recipient’s country may have different data privacy laws and 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acquired pursuant to the Plan as may be required for the administration of the Plan and/or the subsequent holding of Shares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 case without cost, by contacting in writing the Employee’s local Human Resources representative. Refusal or withdrawal of consent may, however, affect the Employee’s ability to exercise or realize benefits from this award or the Plan. For more information on the consequences of the Employee’s refusal to consent or withdrawal of consent, the Employee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understands that the Employee may contact the Employee’s local Human Resources representative.</w:t>
      </w:r>
    </w:p>
    <w:p>
      <w:pPr>
        <w:spacing w:after="0" w:line="254"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ind w:right="680" w:firstLine="656"/>
        <w:spacing w:after="0" w:line="343" w:lineRule="auto"/>
        <w:tabs>
          <w:tab w:leader="none" w:pos="942"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The provisions of the Plan are incorporated herein by reference. Except as otherwise expressly set forth herein, this Agreement shall be construed in accordance with the provisions of the Plan.</w:t>
      </w:r>
    </w:p>
    <w:p>
      <w:pPr>
        <w:spacing w:after="0" w:line="145" w:lineRule="exact"/>
        <w:rPr>
          <w:rFonts w:ascii="Arial" w:cs="Arial" w:eastAsia="Arial" w:hAnsi="Arial"/>
          <w:sz w:val="19"/>
          <w:szCs w:val="19"/>
          <w:color w:val="auto"/>
        </w:rPr>
      </w:pPr>
    </w:p>
    <w:p>
      <w:pPr>
        <w:ind w:right="180" w:firstLine="656"/>
        <w:spacing w:after="0" w:line="312" w:lineRule="auto"/>
        <w:tabs>
          <w:tab w:leader="none" w:pos="954"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xml:space="preserve"> The Company shall not be required (i) to transfer on its books any Shares that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174" w:lineRule="exact"/>
        <w:rPr>
          <w:sz w:val="20"/>
          <w:szCs w:val="20"/>
          <w:color w:val="auto"/>
        </w:rPr>
      </w:pPr>
    </w:p>
    <w:p>
      <w:pPr>
        <w:ind w:right="740" w:firstLine="656"/>
        <w:spacing w:after="0" w:line="263" w:lineRule="auto"/>
        <w:tabs>
          <w:tab w:leader="none" w:pos="95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Further Acts.</w:t>
      </w:r>
      <w:r>
        <w:rPr>
          <w:rFonts w:ascii="Arial" w:cs="Arial" w:eastAsia="Arial" w:hAnsi="Arial"/>
          <w:sz w:val="22"/>
          <w:szCs w:val="22"/>
          <w:color w:val="auto"/>
        </w:rPr>
        <w:t xml:space="preserve"> The parties agree to execute such further instruments and to take such action as may reasonably be necessary to carry out the intent of this Agreement.</w:t>
      </w:r>
    </w:p>
    <w:p>
      <w:pPr>
        <w:spacing w:after="0" w:line="215" w:lineRule="exact"/>
        <w:rPr>
          <w:rFonts w:ascii="Arial" w:cs="Arial" w:eastAsia="Arial" w:hAnsi="Arial"/>
          <w:sz w:val="22"/>
          <w:szCs w:val="22"/>
          <w:color w:val="auto"/>
        </w:rPr>
      </w:pPr>
    </w:p>
    <w:p>
      <w:pPr>
        <w:ind w:right="60" w:firstLine="656"/>
        <w:spacing w:after="0" w:line="263" w:lineRule="auto"/>
        <w:tabs>
          <w:tab w:leader="none" w:pos="94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or permitted hereunder shall be given in writing and shall be deemed effectively given upon delivery to the Employee at her/his address then on file with the Company.</w:t>
      </w:r>
    </w:p>
    <w:p>
      <w:pPr>
        <w:spacing w:after="0" w:line="215" w:lineRule="exact"/>
        <w:rPr>
          <w:rFonts w:ascii="Arial" w:cs="Arial" w:eastAsia="Arial" w:hAnsi="Arial"/>
          <w:sz w:val="22"/>
          <w:szCs w:val="22"/>
          <w:color w:val="auto"/>
        </w:rPr>
      </w:pPr>
    </w:p>
    <w:p>
      <w:pPr>
        <w:ind w:right="300" w:firstLine="656"/>
        <w:spacing w:after="0" w:line="302" w:lineRule="auto"/>
        <w:tabs>
          <w:tab w:leader="none" w:pos="95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 Guarantee of Employment.</w:t>
      </w:r>
      <w:r>
        <w:rPr>
          <w:rFonts w:ascii="Arial" w:cs="Arial" w:eastAsia="Arial" w:hAnsi="Arial"/>
          <w:sz w:val="19"/>
          <w:szCs w:val="19"/>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 or shall interfere with or restrict in any way the right of the Company and its Subsidiaries, which is hereby expressly reserved, to remove, terminate, or discharge Employee at any time for any reason whatsoever.</w:t>
      </w:r>
    </w:p>
    <w:p>
      <w:pPr>
        <w:spacing w:after="0" w:line="183" w:lineRule="exact"/>
        <w:rPr>
          <w:rFonts w:ascii="Arial" w:cs="Arial" w:eastAsia="Arial" w:hAnsi="Arial"/>
          <w:sz w:val="19"/>
          <w:szCs w:val="19"/>
          <w:color w:val="auto"/>
        </w:rPr>
      </w:pPr>
    </w:p>
    <w:p>
      <w:pPr>
        <w:ind w:right="100" w:firstLine="656"/>
        <w:spacing w:after="0" w:line="312" w:lineRule="auto"/>
        <w:tabs>
          <w:tab w:leader="none" w:pos="94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174" w:lineRule="exact"/>
        <w:rPr>
          <w:rFonts w:ascii="Arial" w:cs="Arial" w:eastAsia="Arial" w:hAnsi="Arial"/>
          <w:sz w:val="19"/>
          <w:szCs w:val="19"/>
          <w:color w:val="auto"/>
        </w:rPr>
      </w:pPr>
    </w:p>
    <w:p>
      <w:pPr>
        <w:ind w:right="260" w:firstLine="656"/>
        <w:spacing w:after="0" w:line="287" w:lineRule="auto"/>
        <w:tabs>
          <w:tab w:leader="none" w:pos="918"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The terms of this Agreement shall be binding upon and inure to the benefit of the Company, its successors and assigns, and of the Employee and the Employee’s executors, administrators, heirs and successors.</w:t>
      </w:r>
    </w:p>
    <w:p>
      <w:pPr>
        <w:spacing w:after="0" w:line="192" w:lineRule="exact"/>
        <w:rPr>
          <w:rFonts w:ascii="Arial" w:cs="Arial" w:eastAsia="Arial" w:hAnsi="Arial"/>
          <w:sz w:val="21"/>
          <w:szCs w:val="21"/>
          <w:color w:val="auto"/>
        </w:rPr>
      </w:pPr>
    </w:p>
    <w:p>
      <w:pPr>
        <w:jc w:val="both"/>
        <w:ind w:firstLine="656"/>
        <w:spacing w:after="0" w:line="248" w:lineRule="auto"/>
        <w:tabs>
          <w:tab w:leader="none" w:pos="954"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Commonwealth of Massachusetts and applicable federal law, without regard to applicable conflicts of laws thereof, or principles of conflicts of laws of any other jurisdiction that could cause the application of the laws of any jurisdiction other than the Commonwealth of Massachusetts. The parties agree that all disputes with respect to this agreement shall be resolved through courts of competent jurisdiction located in the Commonwealth of Massachusetts.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21"/>
          <w:szCs w:val="21"/>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Its:</w:t>
      </w:r>
    </w:p>
    <w:p>
      <w:pPr>
        <w:spacing w:after="0" w:line="200" w:lineRule="exact"/>
        <w:rPr>
          <w:sz w:val="20"/>
          <w:szCs w:val="20"/>
          <w:color w:val="auto"/>
        </w:rPr>
      </w:pPr>
    </w:p>
    <w:p>
      <w:pPr>
        <w:spacing w:after="0" w:line="265"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By signing this Agreement, Employee acknowledges that he or she has received a copy of the Plan and has had an opportunity to review the Plan and agrees to be bound by all the terms and provisions of the Plan and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[Employee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60"/>
          </w:cols>
          <w:pgMar w:left="240" w:top="375" w:right="4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ind w:left="1420"/>
        <w:spacing w:after="0"/>
        <w:rPr>
          <w:sz w:val="20"/>
          <w:szCs w:val="20"/>
          <w:color w:val="auto"/>
        </w:rPr>
      </w:pPr>
      <w:r>
        <w:rPr>
          <w:rFonts w:ascii="Arial" w:cs="Arial" w:eastAsia="Arial" w:hAnsi="Arial"/>
          <w:sz w:val="25"/>
          <w:szCs w:val="25"/>
          <w:u w:val="single" w:color="auto"/>
          <w:color w:val="auto"/>
        </w:rPr>
        <w:t>2005 LONG-TERM INCENTIVE COMPENSATION PLAN</w:t>
      </w:r>
    </w:p>
    <w:p>
      <w:pPr>
        <w:spacing w:after="0" w:line="301" w:lineRule="exact"/>
        <w:rPr>
          <w:sz w:val="20"/>
          <w:szCs w:val="20"/>
          <w:color w:val="auto"/>
        </w:rPr>
      </w:pPr>
    </w:p>
    <w:p>
      <w:pPr>
        <w:ind w:left="2020"/>
        <w:spacing w:after="0"/>
        <w:rPr>
          <w:sz w:val="20"/>
          <w:szCs w:val="20"/>
          <w:color w:val="auto"/>
        </w:rPr>
      </w:pPr>
      <w:r>
        <w:rPr>
          <w:rFonts w:ascii="Arial" w:cs="Arial" w:eastAsia="Arial" w:hAnsi="Arial"/>
          <w:sz w:val="25"/>
          <w:szCs w:val="25"/>
          <w:b w:val="1"/>
          <w:bCs w:val="1"/>
          <w:u w:val="single" w:color="auto"/>
          <w:color w:val="auto"/>
        </w:rPr>
        <w:t>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3280"/>
        <w:spacing w:after="0"/>
        <w:rPr>
          <w:sz w:val="20"/>
          <w:szCs w:val="20"/>
          <w:color w:val="auto"/>
        </w:rPr>
      </w:pPr>
      <w:r>
        <w:rPr>
          <w:rFonts w:ascii="Arial" w:cs="Arial" w:eastAsia="Arial" w:hAnsi="Arial"/>
          <w:sz w:val="25"/>
          <w:szCs w:val="25"/>
          <w:b w:val="1"/>
          <w:bCs w:val="1"/>
          <w:u w:val="single" w:color="auto"/>
          <w:color w:val="auto"/>
        </w:rPr>
        <w:t>&lt;&lt;Participant Name&gt;&gt;</w:t>
      </w:r>
    </w:p>
    <w:p>
      <w:pPr>
        <w:sectPr>
          <w:pgSz w:w="11900" w:h="16838" w:orient="portrait"/>
          <w:cols w:equalWidth="0" w:num="1">
            <w:col w:w="10220"/>
          </w:cols>
          <w:pgMar w:left="1440" w:top="364" w:right="239" w:bottom="1440" w:gutter="0" w:footer="0" w:header="0"/>
        </w:sectPr>
      </w:pPr>
    </w:p>
    <w:bookmarkStart w:id="54" w:name="page55"/>
    <w:bookmarkEnd w:id="54"/>
    <w:p>
      <w:pPr>
        <w:jc w:val="center"/>
        <w:ind w:left="260" w:right="1960"/>
        <w:spacing w:after="0" w:line="265" w:lineRule="auto"/>
        <w:rPr>
          <w:sz w:val="20"/>
          <w:szCs w:val="20"/>
          <w:color w:val="auto"/>
        </w:rPr>
      </w:pPr>
      <w:r>
        <w:rPr>
          <w:rFonts w:ascii="Arial" w:cs="Arial" w:eastAsia="Arial" w:hAnsi="Arial"/>
          <w:sz w:val="25"/>
          <w:szCs w:val="25"/>
          <w:b w:val="1"/>
          <w:bCs w:val="1"/>
          <w:color w:val="auto"/>
        </w:rPr>
        <w:t xml:space="preserve">HAEMONETICS CORPORATION RESTRICTED STOCK UNIT AGREEMENT </w:t>
      </w:r>
      <w:r>
        <w:rPr>
          <w:rFonts w:ascii="Arial" w:cs="Arial" w:eastAsia="Arial" w:hAnsi="Arial"/>
          <w:sz w:val="25"/>
          <w:szCs w:val="25"/>
          <w:b w:val="1"/>
          <w:bCs w:val="1"/>
          <w:u w:val="single" w:color="auto"/>
          <w:color w:val="auto"/>
        </w:rPr>
        <w:t>UNDER 2005 LONG-TERM INCENTIVE COMPENSATION PLAN</w:t>
      </w:r>
    </w:p>
    <w:p>
      <w:pPr>
        <w:spacing w:after="0" w:line="205" w:lineRule="exact"/>
        <w:rPr>
          <w:sz w:val="20"/>
          <w:szCs w:val="20"/>
          <w:color w:val="auto"/>
        </w:rPr>
      </w:pPr>
    </w:p>
    <w:p>
      <w:pPr>
        <w:ind w:right="80" w:firstLine="810"/>
        <w:spacing w:after="0" w:line="256" w:lineRule="auto"/>
        <w:rPr>
          <w:sz w:val="20"/>
          <w:szCs w:val="20"/>
          <w:color w:val="auto"/>
        </w:rPr>
      </w:pPr>
      <w:r>
        <w:rPr>
          <w:rFonts w:ascii="Arial" w:cs="Arial" w:eastAsia="Arial" w:hAnsi="Arial"/>
          <w:sz w:val="22"/>
          <w:szCs w:val="22"/>
          <w:color w:val="auto"/>
        </w:rPr>
        <w:t>THIS RESTRICTED STOCK UNIT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dated as of </w:t>
      </w:r>
      <w:r>
        <w:rPr>
          <w:rFonts w:ascii="Arial" w:cs="Arial" w:eastAsia="Arial" w:hAnsi="Arial"/>
          <w:sz w:val="22"/>
          <w:szCs w:val="22"/>
          <w:b w:val="1"/>
          <w:bCs w:val="1"/>
          <w:color w:val="auto"/>
        </w:rPr>
        <w:t>&lt;&lt;Grant Date&gt;&gt;</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 Date</w:t>
      </w:r>
      <w:r>
        <w:rPr>
          <w:rFonts w:ascii="Arial" w:cs="Arial" w:eastAsia="Arial" w:hAnsi="Arial"/>
          <w:sz w:val="22"/>
          <w:szCs w:val="22"/>
          <w:color w:val="auto"/>
        </w:rPr>
        <w:t>") by and between Haemonetics Corporation, a Massachusetts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&lt;&lt;Participant Name&gt;&gt;</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 is entered into as follows:</w:t>
      </w:r>
    </w:p>
    <w:p>
      <w:pPr>
        <w:spacing w:after="0" w:line="223" w:lineRule="exact"/>
        <w:rPr>
          <w:sz w:val="20"/>
          <w:szCs w:val="20"/>
          <w:color w:val="auto"/>
        </w:rPr>
      </w:pPr>
    </w:p>
    <w:p>
      <w:pPr>
        <w:ind w:right="280" w:firstLine="810"/>
        <w:spacing w:after="0" w:line="263" w:lineRule="auto"/>
        <w:rPr>
          <w:sz w:val="20"/>
          <w:szCs w:val="20"/>
          <w:color w:val="auto"/>
        </w:rPr>
      </w:pPr>
      <w:r>
        <w:rPr>
          <w:rFonts w:ascii="Arial" w:cs="Arial" w:eastAsia="Arial" w:hAnsi="Arial"/>
          <w:sz w:val="22"/>
          <w:szCs w:val="22"/>
          <w:color w:val="auto"/>
        </w:rPr>
        <w:t>WHEREAS, the Company has established the Haemonetics Corporation 2005 Incentive Compensation Plan ("</w:t>
      </w:r>
      <w:r>
        <w:rPr>
          <w:rFonts w:ascii="Arial" w:cs="Arial" w:eastAsia="Arial" w:hAnsi="Arial"/>
          <w:sz w:val="22"/>
          <w:szCs w:val="22"/>
          <w:u w:val="single" w:color="auto"/>
          <w:color w:val="auto"/>
        </w:rPr>
        <w:t>Plan</w:t>
      </w:r>
      <w:r>
        <w:rPr>
          <w:rFonts w:ascii="Arial" w:cs="Arial" w:eastAsia="Arial" w:hAnsi="Arial"/>
          <w:sz w:val="22"/>
          <w:szCs w:val="22"/>
          <w:color w:val="auto"/>
        </w:rPr>
        <w:t>"), a copy of which has been provided to Employee, and which Plan is made a part hereof; and</w:t>
      </w:r>
    </w:p>
    <w:p>
      <w:pPr>
        <w:spacing w:after="0" w:line="215" w:lineRule="exact"/>
        <w:rPr>
          <w:sz w:val="20"/>
          <w:szCs w:val="20"/>
          <w:color w:val="auto"/>
        </w:rPr>
      </w:pPr>
    </w:p>
    <w:p>
      <w:pPr>
        <w:ind w:right="760" w:firstLine="810"/>
        <w:spacing w:after="0" w:line="343" w:lineRule="auto"/>
        <w:rPr>
          <w:sz w:val="20"/>
          <w:szCs w:val="20"/>
          <w:color w:val="auto"/>
        </w:rPr>
      </w:pPr>
      <w:r>
        <w:rPr>
          <w:rFonts w:ascii="Arial" w:cs="Arial" w:eastAsia="Arial" w:hAnsi="Arial"/>
          <w:sz w:val="19"/>
          <w:szCs w:val="19"/>
          <w:color w:val="auto"/>
        </w:rPr>
        <w:t>WHEREAS, the Company desires that the Employee be granted restricted stock units in respect of the Company's common stock, $0.01 par value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subject to the restrictions as hereinafter set forth;</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NOW, THEREFORE, the parties hereby agree as follows:</w:t>
      </w:r>
    </w:p>
    <w:p>
      <w:pPr>
        <w:spacing w:after="0" w:line="254"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Restricted Stock Units.</w:t>
      </w:r>
    </w:p>
    <w:p>
      <w:pPr>
        <w:spacing w:after="0" w:line="266" w:lineRule="exact"/>
        <w:rPr>
          <w:sz w:val="20"/>
          <w:szCs w:val="20"/>
          <w:color w:val="auto"/>
        </w:rPr>
      </w:pPr>
    </w:p>
    <w:p>
      <w:pPr>
        <w:ind w:right="620" w:firstLine="810"/>
        <w:spacing w:after="0" w:line="263" w:lineRule="auto"/>
        <w:rPr>
          <w:sz w:val="20"/>
          <w:szCs w:val="20"/>
          <w:color w:val="auto"/>
        </w:rPr>
      </w:pPr>
      <w:r>
        <w:rPr>
          <w:rFonts w:ascii="Arial" w:cs="Arial" w:eastAsia="Arial" w:hAnsi="Arial"/>
          <w:sz w:val="22"/>
          <w:szCs w:val="22"/>
          <w:color w:val="auto"/>
        </w:rPr>
        <w:t>Subject to the terms and conditions of this Agreement and of the Plan, the Company hereby grants to the Employee &lt;&lt;</w:t>
      </w:r>
      <w:r>
        <w:rPr>
          <w:rFonts w:ascii="Arial" w:cs="Arial" w:eastAsia="Arial" w:hAnsi="Arial"/>
          <w:sz w:val="22"/>
          <w:szCs w:val="22"/>
          <w:b w:val="1"/>
          <w:bCs w:val="1"/>
          <w:color w:val="auto"/>
        </w:rPr>
        <w:t>Number of Awards Granted</w:t>
      </w:r>
      <w:r>
        <w:rPr>
          <w:rFonts w:ascii="Arial" w:cs="Arial" w:eastAsia="Arial" w:hAnsi="Arial"/>
          <w:sz w:val="22"/>
          <w:szCs w:val="22"/>
          <w:color w:val="auto"/>
        </w:rPr>
        <w:t>&gt;&gt;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w:t>
      </w:r>
    </w:p>
    <w:p>
      <w:pPr>
        <w:spacing w:after="0" w:line="209"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Vesting Schedule.</w:t>
      </w:r>
    </w:p>
    <w:p>
      <w:pPr>
        <w:spacing w:after="0" w:line="266" w:lineRule="exact"/>
        <w:rPr>
          <w:rFonts w:ascii="Arial" w:cs="Arial" w:eastAsia="Arial" w:hAnsi="Arial"/>
          <w:sz w:val="22"/>
          <w:szCs w:val="22"/>
          <w:b w:val="1"/>
          <w:bCs w:val="1"/>
          <w:color w:val="auto"/>
        </w:rPr>
      </w:pPr>
    </w:p>
    <w:p>
      <w:pPr>
        <w:ind w:right="100" w:firstLine="818"/>
        <w:spacing w:after="0" w:line="234" w:lineRule="auto"/>
        <w:tabs>
          <w:tab w:leader="none" w:pos="1104"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Vesting Dates.</w:t>
      </w:r>
      <w:r>
        <w:rPr>
          <w:rFonts w:ascii="Arial" w:cs="Arial" w:eastAsia="Arial" w:hAnsi="Arial"/>
          <w:sz w:val="22"/>
          <w:szCs w:val="22"/>
          <w:color w:val="auto"/>
        </w:rPr>
        <w:t xml:space="preserve"> The interest of the Employee in the RSUs shall vest as to 25% of such RSUs on the first anniversary of the Grant Date, and as to an additional 25% on each succeeding anniversary date, so as to be 100% vested on the fourth (4</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Grant Date, conditioned upon the Employee's continued employment with the Company as of each vesting date. In situations where there is not continued employment, notwithstanding the foregoing, the interest of the Employee in the RSUs shall vest as specified below.</w:t>
      </w:r>
    </w:p>
    <w:p>
      <w:pPr>
        <w:spacing w:after="0" w:line="239" w:lineRule="exact"/>
        <w:rPr>
          <w:rFonts w:ascii="Arial" w:cs="Arial" w:eastAsia="Arial" w:hAnsi="Arial"/>
          <w:sz w:val="22"/>
          <w:szCs w:val="22"/>
          <w:color w:val="auto"/>
        </w:rPr>
      </w:pPr>
    </w:p>
    <w:p>
      <w:pPr>
        <w:ind w:right="40" w:firstLine="818"/>
        <w:spacing w:after="0" w:line="231" w:lineRule="auto"/>
        <w:tabs>
          <w:tab w:leader="none" w:pos="111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Employment Required.</w:t>
      </w:r>
      <w:r>
        <w:rPr>
          <w:rFonts w:ascii="Arial" w:cs="Arial" w:eastAsia="Arial" w:hAnsi="Arial"/>
          <w:sz w:val="22"/>
          <w:szCs w:val="22"/>
          <w:color w:val="auto"/>
        </w:rPr>
        <w:t xml:space="preserve"> Except as otherwise provided in this Section 2, if the Employee ceases to be an employee of the Company prior to the fourth (4</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Grant Date, the RSUs granted to the Employee hereunder shall stop vesting on the last date of employment. In such event, vesting shall not be pro-rated between anniversary dates and the vested amount shall be determined as of the most recent anniversary of the Grant Date.</w:t>
      </w:r>
    </w:p>
    <w:p>
      <w:pPr>
        <w:spacing w:after="0" w:line="242" w:lineRule="exact"/>
        <w:rPr>
          <w:rFonts w:ascii="Arial" w:cs="Arial" w:eastAsia="Arial" w:hAnsi="Arial"/>
          <w:sz w:val="22"/>
          <w:szCs w:val="22"/>
          <w:color w:val="auto"/>
        </w:rPr>
      </w:pPr>
    </w:p>
    <w:p>
      <w:pPr>
        <w:ind w:firstLine="818"/>
        <w:spacing w:after="0" w:line="263" w:lineRule="auto"/>
        <w:tabs>
          <w:tab w:leader="none" w:pos="1131"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In the event of the death of the Employee while in the employ of the Company, any unvested RSUs shall immediately become fully vested.</w:t>
      </w:r>
    </w:p>
    <w:p>
      <w:pPr>
        <w:spacing w:after="0" w:line="215" w:lineRule="exact"/>
        <w:rPr>
          <w:rFonts w:ascii="Arial" w:cs="Arial" w:eastAsia="Arial" w:hAnsi="Arial"/>
          <w:sz w:val="22"/>
          <w:szCs w:val="22"/>
          <w:color w:val="auto"/>
        </w:rPr>
      </w:pPr>
    </w:p>
    <w:p>
      <w:pPr>
        <w:jc w:val="both"/>
        <w:ind w:firstLine="818"/>
        <w:spacing w:after="0" w:line="253" w:lineRule="auto"/>
        <w:tabs>
          <w:tab w:leader="none" w:pos="1116"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Any unvested RSUs shall immediately become fully vested if (i) a Change in Control occurs and (ii) the surviving corporation or acquiring corporation following a Change in Control refuses to assume or continue the RSUs or to substitute a similar equity award.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16" w:right="239" w:bottom="1440" w:gutter="0" w:footer="0" w:header="0"/>
        </w:sectPr>
      </w:pPr>
    </w:p>
    <w:bookmarkStart w:id="55" w:name="page56"/>
    <w:bookmarkEnd w:id="55"/>
    <w:p>
      <w:pPr>
        <w:jc w:val="both"/>
        <w:spacing w:after="0" w:line="248" w:lineRule="auto"/>
        <w:rPr>
          <w:sz w:val="20"/>
          <w:szCs w:val="20"/>
          <w:color w:val="auto"/>
        </w:rPr>
      </w:pPr>
      <w:r>
        <w:rPr>
          <w:rFonts w:ascii="Arial" w:cs="Arial" w:eastAsia="Arial" w:hAnsi="Arial"/>
          <w:sz w:val="22"/>
          <w:szCs w:val="22"/>
          <w:color w:val="auto"/>
        </w:rPr>
        <w:t>If the RSUs are so continued, assumed or substituted and at any time during the 24 months immediately following the Change in Control the Employee’s employment is terminated without Cause or is terminated by the Employee due to a Constructive Termination, then all unvested RSUs shall immediately become fully vested. For purposes of determining the time of an accelerated payout under this Section 2(d), a termination of employment shall mean a “separation of service” within the meaning of Section 409A of the Code.</w:t>
      </w:r>
    </w:p>
    <w:p>
      <w:pPr>
        <w:spacing w:after="0" w:line="233" w:lineRule="exact"/>
        <w:rPr>
          <w:sz w:val="20"/>
          <w:szCs w:val="20"/>
          <w:color w:val="auto"/>
        </w:rPr>
      </w:pPr>
    </w:p>
    <w:p>
      <w:pPr>
        <w:ind w:left="1120" w:hanging="302"/>
        <w:spacing w:after="0"/>
        <w:tabs>
          <w:tab w:leader="none" w:pos="112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71" w:lineRule="exact"/>
        <w:rPr>
          <w:rFonts w:ascii="Arial" w:cs="Arial" w:eastAsia="Arial" w:hAnsi="Arial"/>
          <w:sz w:val="21"/>
          <w:szCs w:val="21"/>
          <w:color w:val="auto"/>
        </w:rPr>
      </w:pPr>
    </w:p>
    <w:p>
      <w:pPr>
        <w:ind w:left="1620" w:hanging="315"/>
        <w:spacing w:after="0"/>
        <w:tabs>
          <w:tab w:leader="none" w:pos="1620"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w:t>
      </w:r>
    </w:p>
    <w:p>
      <w:pPr>
        <w:spacing w:after="0" w:line="260" w:lineRule="exact"/>
        <w:rPr>
          <w:rFonts w:ascii="Arial" w:cs="Arial" w:eastAsia="Arial" w:hAnsi="Arial"/>
          <w:sz w:val="22"/>
          <w:szCs w:val="22"/>
          <w:color w:val="auto"/>
        </w:rPr>
      </w:pPr>
    </w:p>
    <w:p>
      <w:pPr>
        <w:ind w:left="1620" w:right="860" w:firstLine="9"/>
        <w:spacing w:after="0" w:line="263" w:lineRule="auto"/>
        <w:tabs>
          <w:tab w:leader="none" w:pos="1974" w:val="left"/>
        </w:tabs>
        <w:numPr>
          <w:ilvl w:val="2"/>
          <w:numId w:val="37"/>
        </w:numPr>
        <w:rPr>
          <w:rFonts w:ascii="Arial" w:cs="Arial" w:eastAsia="Arial" w:hAnsi="Arial"/>
          <w:sz w:val="22"/>
          <w:szCs w:val="22"/>
          <w:color w:val="auto"/>
        </w:rPr>
      </w:pPr>
      <w:r>
        <w:rPr>
          <w:rFonts w:ascii="Arial" w:cs="Arial" w:eastAsia="Arial" w:hAnsi="Arial"/>
          <w:sz w:val="22"/>
          <w:szCs w:val="22"/>
          <w:color w:val="auto"/>
        </w:rPr>
        <w:t>the Employee’s conviction of (or a plea of guilty or nolo contendere to) a felony or any other crime involving moral turpitude, dishonesty, fraud, theft or financial impropriety; or</w:t>
      </w:r>
    </w:p>
    <w:p>
      <w:pPr>
        <w:spacing w:after="0" w:line="66" w:lineRule="exact"/>
        <w:rPr>
          <w:rFonts w:ascii="Arial" w:cs="Arial" w:eastAsia="Arial" w:hAnsi="Arial"/>
          <w:sz w:val="22"/>
          <w:szCs w:val="22"/>
          <w:color w:val="auto"/>
        </w:rPr>
      </w:pPr>
    </w:p>
    <w:p>
      <w:pPr>
        <w:ind w:left="1620" w:right="60" w:firstLine="9"/>
        <w:spacing w:after="0" w:line="289" w:lineRule="auto"/>
        <w:tabs>
          <w:tab w:leader="none" w:pos="1962" w:val="left"/>
        </w:tabs>
        <w:numPr>
          <w:ilvl w:val="2"/>
          <w:numId w:val="37"/>
        </w:numPr>
        <w:rPr>
          <w:rFonts w:ascii="Arial" w:cs="Arial" w:eastAsia="Arial" w:hAnsi="Arial"/>
          <w:sz w:val="19"/>
          <w:szCs w:val="19"/>
          <w:color w:val="auto"/>
        </w:rPr>
      </w:pPr>
      <w:r>
        <w:rPr>
          <w:rFonts w:ascii="Arial" w:cs="Arial" w:eastAsia="Arial" w:hAnsi="Arial"/>
          <w:sz w:val="19"/>
          <w:szCs w:val="19"/>
          <w:color w:val="auto"/>
        </w:rPr>
        <w:t>a determination by the Company that the Employee has (i) willfully and continuously failed to perform substantially the Employee’s duties (other than any such failure resulting from the Employee’s CIC Disability) after a written demand for substantial performance is delivered to the Employee which specifically identifies the manner in which the Company believes that the Employee has not substantially performed the Employee’s duties, (ii) engaged in illegal conduct, an act of dishonesty or gross misconduct, or (iii) willfully violated a material requirement of the Company’s code of conduct or the Employee’s fiduciary duty to the Company. No act or failure to act on the part of the Employee shall be considered “willful” unless it is done, or omitted to be done, by the Employee in bad faith and without reasonable belief that the Employee’s action or omission was in, or not opposed to, the best interests of the Company or its subsidiaries.</w:t>
      </w:r>
    </w:p>
    <w:p>
      <w:pPr>
        <w:spacing w:after="0" w:line="198" w:lineRule="exact"/>
        <w:rPr>
          <w:rFonts w:ascii="Arial" w:cs="Arial" w:eastAsia="Arial" w:hAnsi="Arial"/>
          <w:sz w:val="19"/>
          <w:szCs w:val="19"/>
          <w:color w:val="auto"/>
        </w:rPr>
      </w:pPr>
    </w:p>
    <w:p>
      <w:pPr>
        <w:ind w:left="1820" w:hanging="515"/>
        <w:spacing w:after="0"/>
        <w:tabs>
          <w:tab w:leader="none" w:pos="1820"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to occur of the following events.</w:t>
      </w:r>
    </w:p>
    <w:p>
      <w:pPr>
        <w:spacing w:after="0" w:line="260" w:lineRule="exact"/>
        <w:rPr>
          <w:rFonts w:ascii="Arial" w:cs="Arial" w:eastAsia="Arial" w:hAnsi="Arial"/>
          <w:sz w:val="22"/>
          <w:szCs w:val="22"/>
          <w:color w:val="auto"/>
        </w:rPr>
      </w:pPr>
    </w:p>
    <w:p>
      <w:pPr>
        <w:jc w:val="both"/>
        <w:ind w:left="1620" w:firstLine="9"/>
        <w:spacing w:after="0" w:line="263" w:lineRule="auto"/>
        <w:tabs>
          <w:tab w:leader="none" w:pos="1996" w:val="left"/>
        </w:tabs>
        <w:numPr>
          <w:ilvl w:val="2"/>
          <w:numId w:val="37"/>
        </w:numPr>
        <w:rPr>
          <w:rFonts w:ascii="Arial" w:cs="Arial" w:eastAsia="Arial" w:hAnsi="Arial"/>
          <w:sz w:val="21"/>
          <w:szCs w:val="21"/>
          <w:color w:val="auto"/>
        </w:rPr>
      </w:pPr>
      <w:r>
        <w:rPr>
          <w:rFonts w:ascii="Arial" w:cs="Arial" w:eastAsia="Arial" w:hAnsi="Arial"/>
          <w:sz w:val="21"/>
          <w:szCs w:val="21"/>
          <w:color w:val="auto"/>
        </w:rPr>
        <w:t>a person, or any two or more persons acting as a group, and all affiliates of such person or persons, who prior to such time owned less than fifty percent (50%) of the Company’s then outstanding shares of Common Stock, shall acquire such additional shares of Common Stock in one or more transactions, or series of transactions, such that following such transaction or transactions such person or group and affiliates beneficially own fifty percent (50%) or more of the Common Stock outstanding,</w:t>
      </w:r>
    </w:p>
    <w:p>
      <w:pPr>
        <w:spacing w:after="0" w:line="216" w:lineRule="exact"/>
        <w:rPr>
          <w:rFonts w:ascii="Arial" w:cs="Arial" w:eastAsia="Arial" w:hAnsi="Arial"/>
          <w:sz w:val="21"/>
          <w:szCs w:val="21"/>
          <w:color w:val="auto"/>
        </w:rPr>
      </w:pPr>
    </w:p>
    <w:p>
      <w:pPr>
        <w:ind w:left="1620" w:firstLine="9"/>
        <w:spacing w:after="0" w:line="263" w:lineRule="auto"/>
        <w:tabs>
          <w:tab w:leader="none" w:pos="1992" w:val="left"/>
        </w:tabs>
        <w:numPr>
          <w:ilvl w:val="2"/>
          <w:numId w:val="37"/>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w:t>
      </w:r>
    </w:p>
    <w:p>
      <w:pPr>
        <w:spacing w:after="0" w:line="215" w:lineRule="exact"/>
        <w:rPr>
          <w:rFonts w:ascii="Arial" w:cs="Arial" w:eastAsia="Arial" w:hAnsi="Arial"/>
          <w:sz w:val="22"/>
          <w:szCs w:val="22"/>
          <w:color w:val="auto"/>
        </w:rPr>
      </w:pPr>
    </w:p>
    <w:p>
      <w:pPr>
        <w:jc w:val="both"/>
        <w:ind w:left="1620" w:right="220" w:firstLine="9"/>
        <w:spacing w:after="0" w:line="271" w:lineRule="auto"/>
        <w:tabs>
          <w:tab w:leader="none" w:pos="1962" w:val="left"/>
        </w:tabs>
        <w:numPr>
          <w:ilvl w:val="2"/>
          <w:numId w:val="37"/>
        </w:numPr>
        <w:rPr>
          <w:rFonts w:ascii="Arial" w:cs="Arial" w:eastAsia="Arial" w:hAnsi="Arial"/>
          <w:sz w:val="21"/>
          <w:szCs w:val="21"/>
          <w:color w:val="auto"/>
        </w:rPr>
      </w:pPr>
      <w:r>
        <w:rPr>
          <w:rFonts w:ascii="Arial" w:cs="Arial" w:eastAsia="Arial" w:hAnsi="Arial"/>
          <w:sz w:val="21"/>
          <w:szCs w:val="21"/>
          <w:color w:val="auto"/>
        </w:rPr>
        <w:t>individuals who constitute the Incumbent Board cease for any reason to constitute at least a majority of the Company’s Board of Directors (for this purpose, “Incumbent Board” means at any time those persons who are then members of the Company’s Board of Directors and who are either (i)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56" w:name="page57"/>
    <w:bookmarkEnd w:id="56"/>
    <w:p>
      <w:pPr>
        <w:ind w:left="420" w:right="20"/>
        <w:spacing w:after="0" w:line="263" w:lineRule="auto"/>
        <w:rPr>
          <w:sz w:val="20"/>
          <w:szCs w:val="20"/>
          <w:color w:val="auto"/>
        </w:rPr>
      </w:pPr>
      <w:r>
        <w:rPr>
          <w:rFonts w:ascii="Arial" w:cs="Arial" w:eastAsia="Arial" w:hAnsi="Arial"/>
          <w:sz w:val="21"/>
          <w:szCs w:val="21"/>
          <w:color w:val="auto"/>
        </w:rPr>
        <w:t>members of the Company’s Board of Directors on the date of this Agreement, or (ii) have been elected, or have been nominated for election by the Company’s shareholders,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and</w:t>
      </w:r>
    </w:p>
    <w:p>
      <w:pPr>
        <w:spacing w:after="0" w:line="216" w:lineRule="exact"/>
        <w:rPr>
          <w:sz w:val="20"/>
          <w:szCs w:val="20"/>
          <w:color w:val="auto"/>
        </w:rPr>
      </w:pPr>
    </w:p>
    <w:p>
      <w:pPr>
        <w:ind w:left="420" w:right="220" w:firstLine="9"/>
        <w:spacing w:after="0" w:line="290" w:lineRule="auto"/>
        <w:tabs>
          <w:tab w:leader="none" w:pos="774"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consummation of any merger, reorganization, consolidation or share exchange unless the persons who were the beneficial owners of the Company’s outstanding shares of Common Stock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Common Stock by the persons described above immediately before the consummation of such transaction.</w:t>
      </w:r>
    </w:p>
    <w:p>
      <w:pPr>
        <w:spacing w:after="0" w:line="197" w:lineRule="exact"/>
        <w:rPr>
          <w:sz w:val="20"/>
          <w:szCs w:val="20"/>
          <w:color w:val="auto"/>
        </w:rPr>
      </w:pPr>
    </w:p>
    <w:p>
      <w:pPr>
        <w:ind w:left="420" w:right="220"/>
        <w:spacing w:after="0" w:line="253" w:lineRule="auto"/>
        <w:rPr>
          <w:sz w:val="20"/>
          <w:szCs w:val="20"/>
          <w:color w:val="auto"/>
        </w:rPr>
      </w:pPr>
      <w:r>
        <w:rPr>
          <w:rFonts w:ascii="Arial" w:cs="Arial" w:eastAsia="Arial" w:hAnsi="Arial"/>
          <w:sz w:val="22"/>
          <w:szCs w:val="22"/>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226" w:lineRule="exact"/>
        <w:rPr>
          <w:sz w:val="20"/>
          <w:szCs w:val="20"/>
          <w:color w:val="auto"/>
        </w:rPr>
      </w:pPr>
    </w:p>
    <w:p>
      <w:pPr>
        <w:jc w:val="both"/>
        <w:ind w:left="100" w:right="280" w:firstLine="5"/>
        <w:spacing w:after="0" w:line="343" w:lineRule="auto"/>
        <w:tabs>
          <w:tab w:leader="none" w:pos="568"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CIC Disability</w:t>
      </w:r>
      <w:r>
        <w:rPr>
          <w:rFonts w:ascii="Arial" w:cs="Arial" w:eastAsia="Arial" w:hAnsi="Arial"/>
          <w:sz w:val="19"/>
          <w:szCs w:val="19"/>
          <w:color w:val="auto"/>
        </w:rPr>
        <w:t>” means the Employee’s inability, due to physical or mental incapacity resulting from injury, sickness or disease, for one hundred and eighty days in any twelve month period to perform his duties hereunder.</w:t>
      </w:r>
    </w:p>
    <w:p>
      <w:pPr>
        <w:spacing w:after="0" w:line="145" w:lineRule="exact"/>
        <w:rPr>
          <w:rFonts w:ascii="Arial" w:cs="Arial" w:eastAsia="Arial" w:hAnsi="Arial"/>
          <w:sz w:val="19"/>
          <w:szCs w:val="19"/>
          <w:color w:val="auto"/>
        </w:rPr>
      </w:pPr>
    </w:p>
    <w:p>
      <w:pPr>
        <w:ind w:left="100" w:firstLine="5"/>
        <w:spacing w:after="0" w:line="263" w:lineRule="auto"/>
        <w:tabs>
          <w:tab w:leader="none" w:pos="568"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Constructive Termination</w:t>
      </w:r>
      <w:r>
        <w:rPr>
          <w:rFonts w:ascii="Arial" w:cs="Arial" w:eastAsia="Arial" w:hAnsi="Arial"/>
          <w:sz w:val="22"/>
          <w:szCs w:val="22"/>
          <w:color w:val="auto"/>
        </w:rPr>
        <w:t>” means, without the express written consent of the Employee, the occurrence of any of the following during the 24 months immediately after a Change in Control:</w:t>
      </w:r>
    </w:p>
    <w:p>
      <w:pPr>
        <w:spacing w:after="0" w:line="215" w:lineRule="exact"/>
        <w:rPr>
          <w:rFonts w:ascii="Arial" w:cs="Arial" w:eastAsia="Arial" w:hAnsi="Arial"/>
          <w:sz w:val="22"/>
          <w:szCs w:val="22"/>
          <w:color w:val="auto"/>
        </w:rPr>
      </w:pPr>
    </w:p>
    <w:p>
      <w:pPr>
        <w:ind w:left="340" w:right="80" w:firstLine="8"/>
        <w:spacing w:after="0" w:line="302" w:lineRule="auto"/>
        <w:tabs>
          <w:tab w:leader="none" w:pos="694" w:val="left"/>
        </w:tabs>
        <w:numPr>
          <w:ilvl w:val="1"/>
          <w:numId w:val="39"/>
        </w:numPr>
        <w:rPr>
          <w:rFonts w:ascii="Arial" w:cs="Arial" w:eastAsia="Arial" w:hAnsi="Arial"/>
          <w:sz w:val="19"/>
          <w:szCs w:val="19"/>
          <w:color w:val="auto"/>
        </w:rPr>
      </w:pPr>
      <w:r>
        <w:rPr>
          <w:rFonts w:ascii="Arial" w:cs="Arial" w:eastAsia="Arial" w:hAnsi="Arial"/>
          <w:sz w:val="19"/>
          <w:szCs w:val="19"/>
          <w:color w:val="auto"/>
        </w:rPr>
        <w:t>a material reduction in the Employee’s annual base salary as in effect immediately prior to a Change in Control or as the same may be increased from time to time, or a material failure to provide the Employee with an opportunity to earn annual incentive compensation and long-term incentive compensation at least as favorable as in effect immediately prior to a Change of Control or as the same may be increased from time to time;</w:t>
      </w:r>
    </w:p>
    <w:p>
      <w:pPr>
        <w:spacing w:after="0" w:line="183" w:lineRule="exact"/>
        <w:rPr>
          <w:rFonts w:ascii="Arial" w:cs="Arial" w:eastAsia="Arial" w:hAnsi="Arial"/>
          <w:sz w:val="19"/>
          <w:szCs w:val="19"/>
          <w:color w:val="auto"/>
        </w:rPr>
      </w:pPr>
    </w:p>
    <w:p>
      <w:pPr>
        <w:ind w:left="340" w:right="420" w:firstLine="8"/>
        <w:spacing w:after="0" w:line="263" w:lineRule="auto"/>
        <w:tabs>
          <w:tab w:leader="none" w:pos="682" w:val="left"/>
        </w:tabs>
        <w:numPr>
          <w:ilvl w:val="1"/>
          <w:numId w:val="39"/>
        </w:numPr>
        <w:rPr>
          <w:rFonts w:ascii="Arial" w:cs="Arial" w:eastAsia="Arial" w:hAnsi="Arial"/>
          <w:sz w:val="22"/>
          <w:szCs w:val="22"/>
          <w:color w:val="auto"/>
        </w:rPr>
      </w:pPr>
      <w:r>
        <w:rPr>
          <w:rFonts w:ascii="Arial" w:cs="Arial" w:eastAsia="Arial" w:hAnsi="Arial"/>
          <w:sz w:val="22"/>
          <w:szCs w:val="22"/>
          <w:color w:val="auto"/>
        </w:rPr>
        <w:t>a material diminution in the Employee’s authority, duties, or responsibilities as in effect at the time of the Change in Control;</w:t>
      </w:r>
    </w:p>
    <w:p>
      <w:pPr>
        <w:spacing w:after="0" w:line="215" w:lineRule="exact"/>
        <w:rPr>
          <w:rFonts w:ascii="Arial" w:cs="Arial" w:eastAsia="Arial" w:hAnsi="Arial"/>
          <w:sz w:val="22"/>
          <w:szCs w:val="22"/>
          <w:color w:val="auto"/>
        </w:rPr>
      </w:pPr>
    </w:p>
    <w:p>
      <w:pPr>
        <w:ind w:left="340" w:right="240" w:firstLine="8"/>
        <w:spacing w:after="0" w:line="263" w:lineRule="auto"/>
        <w:tabs>
          <w:tab w:leader="none" w:pos="682" w:val="left"/>
        </w:tabs>
        <w:numPr>
          <w:ilvl w:val="1"/>
          <w:numId w:val="39"/>
        </w:numPr>
        <w:rPr>
          <w:rFonts w:ascii="Arial" w:cs="Arial" w:eastAsia="Arial" w:hAnsi="Arial"/>
          <w:sz w:val="22"/>
          <w:szCs w:val="22"/>
          <w:color w:val="auto"/>
        </w:rPr>
      </w:pPr>
      <w:r>
        <w:rPr>
          <w:rFonts w:ascii="Arial" w:cs="Arial" w:eastAsia="Arial" w:hAnsi="Arial"/>
          <w:sz w:val="22"/>
          <w:szCs w:val="22"/>
          <w:color w:val="auto"/>
        </w:rPr>
        <w:t>a material diminution in the authority, duties, or responsibilities of the supervisor to whom the Employee is required to report (it being understood</w:t>
      </w:r>
    </w:p>
    <w:p>
      <w:pPr>
        <w:spacing w:after="0" w:line="20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00"/>
          </w:cols>
          <w:pgMar w:left="1440" w:top="631" w:right="259" w:bottom="1440" w:gutter="0" w:footer="0" w:header="0"/>
        </w:sectPr>
      </w:pPr>
    </w:p>
    <w:bookmarkStart w:id="57" w:name="page58"/>
    <w:bookmarkEnd w:id="57"/>
    <w:p>
      <w:pPr>
        <w:jc w:val="both"/>
        <w:ind w:left="1540" w:right="560"/>
        <w:spacing w:after="0" w:line="312" w:lineRule="auto"/>
        <w:rPr>
          <w:sz w:val="20"/>
          <w:szCs w:val="20"/>
          <w:color w:val="auto"/>
        </w:rPr>
      </w:pPr>
      <w:r>
        <w:rPr>
          <w:rFonts w:ascii="Arial" w:cs="Arial" w:eastAsia="Arial" w:hAnsi="Arial"/>
          <w:sz w:val="19"/>
          <w:szCs w:val="19"/>
          <w:color w:val="auto"/>
        </w:rPr>
        <w:t>that if the Employee reports directly to the Company’s Board of Directors prior to the Change in Control, a requirement that the Employee report to any individual or body other than the Board of the Directors of the surviving or acquiring corporation will constitute “Constructive Termination” hereunder);</w:t>
      </w:r>
    </w:p>
    <w:p>
      <w:pPr>
        <w:spacing w:after="0" w:line="174" w:lineRule="exact"/>
        <w:rPr>
          <w:sz w:val="20"/>
          <w:szCs w:val="20"/>
          <w:color w:val="auto"/>
        </w:rPr>
      </w:pPr>
    </w:p>
    <w:p>
      <w:pPr>
        <w:ind w:left="1900" w:hanging="352"/>
        <w:spacing w:after="0"/>
        <w:tabs>
          <w:tab w:leader="none" w:pos="19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material diminution in the budget over which the Employee retains authority;</w:t>
      </w:r>
    </w:p>
    <w:p>
      <w:pPr>
        <w:spacing w:after="0" w:line="260" w:lineRule="exact"/>
        <w:rPr>
          <w:rFonts w:ascii="Arial" w:cs="Arial" w:eastAsia="Arial" w:hAnsi="Arial"/>
          <w:sz w:val="22"/>
          <w:szCs w:val="22"/>
          <w:color w:val="auto"/>
        </w:rPr>
      </w:pPr>
    </w:p>
    <w:p>
      <w:pPr>
        <w:ind w:left="1540" w:right="120" w:firstLine="8"/>
        <w:spacing w:after="0" w:line="297" w:lineRule="auto"/>
        <w:tabs>
          <w:tab w:leader="none" w:pos="187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Company’s requiring the Employee to be based anywhere outside a fifty mile radius of the Company’s offices at which the Employee is based as of immediately prior to a Change of Control (or any subsequent location at which the Employee has previously consented to be based) except for required travel on the Company’s business to an extent that is not substantially greater than the Employee’s business travel obligations as of immediately prior to a Change in Control or, if more favorable, as of any time thereafter; or</w:t>
      </w:r>
    </w:p>
    <w:p>
      <w:pPr>
        <w:spacing w:after="0" w:line="187" w:lineRule="exact"/>
        <w:rPr>
          <w:rFonts w:ascii="Arial" w:cs="Arial" w:eastAsia="Arial" w:hAnsi="Arial"/>
          <w:sz w:val="19"/>
          <w:szCs w:val="19"/>
          <w:color w:val="auto"/>
        </w:rPr>
      </w:pPr>
    </w:p>
    <w:p>
      <w:pPr>
        <w:ind w:left="1660" w:right="40" w:hanging="112"/>
        <w:spacing w:after="0" w:line="263" w:lineRule="auto"/>
        <w:tabs>
          <w:tab w:leader="none" w:pos="187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other action or inaction that constitutes a material breach by the Company or any of its subsidiaries of the terms of this Agreement.</w:t>
      </w:r>
    </w:p>
    <w:p>
      <w:pPr>
        <w:spacing w:after="0" w:line="215" w:lineRule="exact"/>
        <w:rPr>
          <w:sz w:val="20"/>
          <w:szCs w:val="20"/>
          <w:color w:val="auto"/>
        </w:rPr>
      </w:pPr>
    </w:p>
    <w:p>
      <w:pPr>
        <w:ind w:firstLine="1040"/>
        <w:spacing w:after="0" w:line="250" w:lineRule="auto"/>
        <w:rPr>
          <w:sz w:val="20"/>
          <w:szCs w:val="20"/>
          <w:color w:val="auto"/>
        </w:rPr>
      </w:pPr>
      <w:r>
        <w:rPr>
          <w:rFonts w:ascii="Arial" w:cs="Arial" w:eastAsia="Arial" w:hAnsi="Arial"/>
          <w:sz w:val="22"/>
          <w:szCs w:val="22"/>
          <w:color w:val="auto"/>
        </w:rPr>
        <w:t>In no event shall the Employee be entitled to terminate employment with the Company on account of “Constructive Termination” unless the Employee provides notice of the existence of the purported condition that constitutes “Constructive Termination” within a period not to exceed ninety (90) days of its initial existence, and the Company fails to cure such condition (if curable) within thirty (30) days after the receipt of such notice.</w:t>
      </w:r>
    </w:p>
    <w:p>
      <w:pPr>
        <w:spacing w:after="0" w:line="223"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w:t>
      </w:r>
    </w:p>
    <w:p>
      <w:pPr>
        <w:spacing w:after="0" w:line="266" w:lineRule="exact"/>
        <w:rPr>
          <w:rFonts w:ascii="Arial" w:cs="Arial" w:eastAsia="Arial" w:hAnsi="Arial"/>
          <w:sz w:val="22"/>
          <w:szCs w:val="22"/>
          <w:b w:val="1"/>
          <w:bCs w:val="1"/>
          <w:color w:val="auto"/>
        </w:rPr>
      </w:pPr>
    </w:p>
    <w:p>
      <w:pPr>
        <w:ind w:right="160" w:firstLine="818"/>
        <w:spacing w:after="0" w:line="263" w:lineRule="auto"/>
        <w:tabs>
          <w:tab w:leader="none" w:pos="1104"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The RSUs granted hereunder may not be sold, transferred, pledged, assigned, encumbered, or otherwise alienated or hypothecated.</w:t>
      </w:r>
    </w:p>
    <w:p>
      <w:pPr>
        <w:spacing w:after="0" w:line="215" w:lineRule="exact"/>
        <w:rPr>
          <w:rFonts w:ascii="Arial" w:cs="Arial" w:eastAsia="Arial" w:hAnsi="Arial"/>
          <w:sz w:val="22"/>
          <w:szCs w:val="22"/>
          <w:color w:val="auto"/>
        </w:rPr>
      </w:pPr>
    </w:p>
    <w:p>
      <w:pPr>
        <w:jc w:val="both"/>
        <w:ind w:right="200" w:firstLine="818"/>
        <w:spacing w:after="0" w:line="250" w:lineRule="auto"/>
        <w:tabs>
          <w:tab w:leader="none" w:pos="1116"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Except as provided for in Section 2, if the Employee’s employment with the Company terminates for any reason</w:t>
      </w:r>
      <w:r>
        <w:rPr>
          <w:rFonts w:ascii="Arial" w:cs="Arial" w:eastAsia="Arial" w:hAnsi="Arial"/>
          <w:sz w:val="22"/>
          <w:szCs w:val="22"/>
          <w:b w:val="1"/>
          <w:bCs w:val="1"/>
          <w:color w:val="auto"/>
        </w:rPr>
        <w:t>,</w:t>
      </w:r>
      <w:r>
        <w:rPr>
          <w:rFonts w:ascii="Arial" w:cs="Arial" w:eastAsia="Arial" w:hAnsi="Arial"/>
          <w:sz w:val="22"/>
          <w:szCs w:val="22"/>
          <w:color w:val="auto"/>
        </w:rPr>
        <w:t xml:space="preserve"> the balance of the RSUs subject to the provisions of this Agreement which have not vested at the time of the Employee’s termination of employment shall be forfeited by the Employee, and the Employee shall have no future rights with respect to any such unvested RSUs.</w:t>
      </w:r>
    </w:p>
    <w:p>
      <w:pPr>
        <w:spacing w:after="0" w:line="222" w:lineRule="exact"/>
        <w:rPr>
          <w:rFonts w:ascii="Arial" w:cs="Arial" w:eastAsia="Arial" w:hAnsi="Arial"/>
          <w:sz w:val="22"/>
          <w:szCs w:val="22"/>
          <w:color w:val="auto"/>
        </w:rPr>
      </w:pPr>
    </w:p>
    <w:p>
      <w:pPr>
        <w:ind w:left="380" w:hanging="372"/>
        <w:spacing w:after="0"/>
        <w:tabs>
          <w:tab w:leader="none" w:pos="3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Delivery of Shares.</w:t>
      </w:r>
    </w:p>
    <w:p>
      <w:pPr>
        <w:spacing w:after="0" w:line="26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The means of settlement of vested RSUs is that the Company shall deliver to the Employee a certificate or certificates, or at the election of the Company make an appropriate book entry.</w:t>
      </w:r>
    </w:p>
    <w:p>
      <w:pPr>
        <w:spacing w:after="0" w:line="2"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RSUs shall be settled as soon as practicable after each vesting date specified in Section 2 in shares of Common Stock equal to the number of the Employee’s RSUs that vest at such vesting date. An Employee shall have no further rights with regard to RSUs once the underlying Common Stock has been so delivered.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31" w:right="279" w:bottom="1440" w:gutter="0" w:footer="0" w:header="0"/>
        </w:sectPr>
      </w:pPr>
    </w:p>
    <w:bookmarkStart w:id="58" w:name="page59"/>
    <w:bookmarkEnd w:id="58"/>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Employee Shareholder Rights.</w:t>
      </w:r>
    </w:p>
    <w:p>
      <w:pPr>
        <w:spacing w:after="0" w:line="266"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Neither the Employee nor any person claiming through the Employee, will have any of the rights or privileges of a shareholder of Haemonetics with respect to the RSUs unless and until Common Stock has been issued, recorded on the records of the Company or its transfer agent, and delivered to the Employee upon vesting of the RSUs. No dividend equivalents shall be paid on RSUs with respect to any cash dividends declared during a period of RSU vesting.</w:t>
      </w: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Adjustments or Changes in Capitalization.</w:t>
      </w:r>
    </w:p>
    <w:p>
      <w:pPr>
        <w:spacing w:after="0" w:line="26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Adjustments as a result of changes in corporate capitalization and the like or as a result of a corporate transaction shall be made in accordance with Article 4 of the Plan.</w:t>
      </w:r>
    </w:p>
    <w:p>
      <w:pPr>
        <w:spacing w:after="0" w:line="20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Death of Employee.</w:t>
      </w:r>
    </w:p>
    <w:p>
      <w:pPr>
        <w:spacing w:after="0" w:line="266" w:lineRule="exact"/>
        <w:rPr>
          <w:sz w:val="20"/>
          <w:szCs w:val="20"/>
          <w:color w:val="auto"/>
        </w:rPr>
      </w:pPr>
    </w:p>
    <w:p>
      <w:pPr>
        <w:ind w:right="540"/>
        <w:spacing w:after="0" w:line="253" w:lineRule="auto"/>
        <w:rPr>
          <w:sz w:val="20"/>
          <w:szCs w:val="20"/>
          <w:color w:val="auto"/>
        </w:rPr>
      </w:pPr>
      <w:r>
        <w:rPr>
          <w:rFonts w:ascii="Arial" w:cs="Arial" w:eastAsia="Arial" w:hAnsi="Arial"/>
          <w:sz w:val="22"/>
          <w:szCs w:val="22"/>
          <w:color w:val="auto"/>
        </w:rPr>
        <w:t>Any Common Stock delivered pursuant to Section 4 shall be delivered to the Employee if legally competent or to a legally designated guardian or representative if the Employee is legally incompetent. If the Employee is not then living, the Common Stock shall be delivered to the representative of the Employee’s estate.</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8"/>
          <w:szCs w:val="18"/>
          <w:b w:val="1"/>
          <w:bCs w:val="1"/>
          <w:color w:val="auto"/>
        </w:rPr>
        <w:t>Taxes.</w:t>
      </w:r>
    </w:p>
    <w:p>
      <w:pPr>
        <w:spacing w:after="0" w:line="266" w:lineRule="exact"/>
        <w:rPr>
          <w:sz w:val="20"/>
          <w:szCs w:val="20"/>
          <w:color w:val="auto"/>
        </w:rPr>
      </w:pPr>
    </w:p>
    <w:p>
      <w:pPr>
        <w:ind w:right="140"/>
        <w:spacing w:after="0" w:line="261" w:lineRule="auto"/>
        <w:rPr>
          <w:sz w:val="20"/>
          <w:szCs w:val="20"/>
          <w:color w:val="auto"/>
        </w:rPr>
      </w:pPr>
      <w:r>
        <w:rPr>
          <w:rFonts w:ascii="Arial" w:cs="Arial" w:eastAsia="Arial" w:hAnsi="Arial"/>
          <w:sz w:val="21"/>
          <w:szCs w:val="21"/>
          <w:color w:val="auto"/>
        </w:rPr>
        <w:t>The Employee acknowledges and agrees that any income or other taxes due from the Employee with respect to the RSUs issued pursuant to this Agreement, including on account of the vesting of the RSUs, shall be the Employee’s responsibility. By accepting this Grant, the Employee agrees and acknowledges that the Company promptly will withhold from the Employee’s compensation, including but not limited to Common Stock delivered pursuant to Section 4, the amount of taxes the Company is required to withhold upon any vesting of the RSUs pursuant to this Agreement, unless the Employee shall satisfy such withholding obligation to the Company as provided in Article 17 of the Plan.</w:t>
      </w:r>
    </w:p>
    <w:p>
      <w:pPr>
        <w:spacing w:after="0" w:line="215"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It is intended that the rights to receive shares of Common Stock granted under this Agreement and the provisions of this Agreement be exempt from or comply with Section 409A of the Code, and all provisions of this Agreement shall be construed and interpreted in a manner consistent with Section 19.10 of the Plan and the requirements for avoiding taxes or penalties under Section 409A of the Code. Notwithstanding the foregoing, in no event whatsoever shall the Company or its Subsidiaries be liable for any additional tax, interest, or penalties that may be imposed on the Employee as a result of Section 409A of the Code or any damages for failing to comply with Section 409A of the Code.</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Data Privacy Consent.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 condition of the Grant, you consent to the collection, use and transfer of your personal data as described in this paragraph. You understand that the Company and its subsidiaries hold certain personal information about you, including your name, home address and telephone number, date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59" w:name="page60"/>
    <w:bookmarkEnd w:id="59"/>
    <w:p>
      <w:pPr>
        <w:jc w:val="both"/>
        <w:spacing w:after="0" w:line="285" w:lineRule="auto"/>
        <w:rPr>
          <w:sz w:val="20"/>
          <w:szCs w:val="20"/>
          <w:color w:val="auto"/>
        </w:rPr>
      </w:pPr>
      <w:r>
        <w:rPr>
          <w:rFonts w:ascii="Arial" w:cs="Arial" w:eastAsia="Arial" w:hAnsi="Arial"/>
          <w:sz w:val="19"/>
          <w:szCs w:val="19"/>
          <w:color w:val="auto"/>
        </w:rPr>
        <w:t>of birth, social insurance (or security) number or identification number, salary, nationality, job title, any shares of Common Stock or directorships held in the Company (or any of its subsidiaries), details of all options or any other entitlement to shares of Common Stock awarded, canceled, exercised, vested, unvested or outstanding in your favor, for the purpose of implementing, managing and administering the Plan (“Data”). You further understand that the Company and/or a subsidiary may transfer Data amongst themselves as necessary for the purpose of implementation, administration and management of your participation in the Plan, and that the Company and/or a subsidiary may each further transfer Data to any third parties assisting the Company in the implementation, administration and management of the Plan. You understand that these recipients may be located in the European Economic Area, or elsewhere, such as the United States or Canada, and that the recipient’s country may have different data privacy laws and protections than your country. You authorize them to receive, possess, use, retain and transfer the Data, in electronic or other form, for the purposes of implementing, administering and managing your participation in the Plan, including any requisite transfer of such Data to a broker or other third party with whom you may elect to deposit any shares of Common Stock acquired pursuant to the Plan as may be required for the administration of the Plan and/or the subsequent holding of shares of Common Stock on your behalf.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it or refuse or withdraw the consents herein, in any case without cost, by contacting in writing your local Human Resources representative. Refusal or withdrawal of consent may, however, affect your ability to exercise or realize benefits from the Grant or the Plan. For more information on the consequences of your refusal to consent or withdrawal of consent, you understand that you may contact your local Human Resources representative.</w:t>
      </w:r>
    </w:p>
    <w:p>
      <w:pPr>
        <w:spacing w:after="0" w:line="159" w:lineRule="exact"/>
        <w:rPr>
          <w:sz w:val="20"/>
          <w:szCs w:val="20"/>
          <w:color w:val="auto"/>
        </w:rPr>
      </w:pPr>
    </w:p>
    <w:p>
      <w:pPr>
        <w:ind w:left="480" w:hanging="472"/>
        <w:spacing w:after="0"/>
        <w:tabs>
          <w:tab w:leader="none" w:pos="4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rFonts w:ascii="Arial" w:cs="Arial" w:eastAsia="Arial" w:hAnsi="Arial"/>
          <w:sz w:val="22"/>
          <w:szCs w:val="22"/>
          <w:b w:val="1"/>
          <w:bCs w:val="1"/>
          <w:color w:val="auto"/>
        </w:rPr>
      </w:pPr>
    </w:p>
    <w:p>
      <w:pPr>
        <w:ind w:right="40" w:firstLine="818"/>
        <w:spacing w:after="0" w:line="250" w:lineRule="auto"/>
        <w:tabs>
          <w:tab w:leader="none" w:pos="1104"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The Company shall not be required (i) to transfer on its books any shares of Common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228" w:lineRule="exact"/>
        <w:rPr>
          <w:rFonts w:ascii="Arial" w:cs="Arial" w:eastAsia="Arial" w:hAnsi="Arial"/>
          <w:sz w:val="22"/>
          <w:szCs w:val="22"/>
          <w:color w:val="auto"/>
        </w:rPr>
      </w:pPr>
    </w:p>
    <w:p>
      <w:pPr>
        <w:ind w:right="580" w:firstLine="818"/>
        <w:spacing w:after="0" w:line="263" w:lineRule="auto"/>
        <w:tabs>
          <w:tab w:leader="none" w:pos="1116"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Further Acts.</w:t>
      </w:r>
      <w:r>
        <w:rPr>
          <w:rFonts w:ascii="Arial" w:cs="Arial" w:eastAsia="Arial" w:hAnsi="Arial"/>
          <w:sz w:val="22"/>
          <w:szCs w:val="22"/>
          <w:color w:val="auto"/>
        </w:rPr>
        <w:t xml:space="preserve"> The parties agree to execute such further instruments and to take such action as may reasonably be necessary to carry out the intent of this Agreement.</w:t>
      </w:r>
    </w:p>
    <w:p>
      <w:pPr>
        <w:spacing w:after="0" w:line="215" w:lineRule="exact"/>
        <w:rPr>
          <w:rFonts w:ascii="Arial" w:cs="Arial" w:eastAsia="Arial" w:hAnsi="Arial"/>
          <w:sz w:val="22"/>
          <w:szCs w:val="22"/>
          <w:color w:val="auto"/>
        </w:rPr>
      </w:pPr>
    </w:p>
    <w:p>
      <w:pPr>
        <w:ind w:right="380" w:firstLine="818"/>
        <w:spacing w:after="0" w:line="263" w:lineRule="auto"/>
        <w:tabs>
          <w:tab w:leader="none" w:pos="1104"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or permitted hereunder shall be given in writing and shall be deemed effectively given upon delivery to the Employee at her/his address then on file with the Company.</w:t>
      </w:r>
    </w:p>
    <w:p>
      <w:pPr>
        <w:spacing w:after="0" w:line="215" w:lineRule="exact"/>
        <w:rPr>
          <w:rFonts w:ascii="Arial" w:cs="Arial" w:eastAsia="Arial" w:hAnsi="Arial"/>
          <w:sz w:val="22"/>
          <w:szCs w:val="22"/>
          <w:color w:val="auto"/>
        </w:rPr>
      </w:pPr>
    </w:p>
    <w:p>
      <w:pPr>
        <w:ind w:right="180" w:firstLine="818"/>
        <w:spacing w:after="0" w:line="253" w:lineRule="auto"/>
        <w:tabs>
          <w:tab w:leader="none" w:pos="1116"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60" w:name="page61"/>
    <w:bookmarkEnd w:id="60"/>
    <w:p>
      <w:pPr>
        <w:ind w:left="-300" w:firstLine="818"/>
        <w:spacing w:after="0" w:line="250" w:lineRule="auto"/>
        <w:tabs>
          <w:tab w:leader="none" w:pos="804"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188" w:lineRule="exact"/>
        <w:rPr>
          <w:rFonts w:ascii="Arial" w:cs="Arial" w:eastAsia="Arial" w:hAnsi="Arial"/>
          <w:sz w:val="22"/>
          <w:szCs w:val="22"/>
          <w:color w:val="auto"/>
        </w:rPr>
      </w:pPr>
    </w:p>
    <w:p>
      <w:pPr>
        <w:ind w:left="-300" w:right="1040" w:firstLine="818"/>
        <w:spacing w:after="0" w:line="343" w:lineRule="auto"/>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Commonwealth of Massachusetts and applicable federal law, without regard to applicable conflicts of laws.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820"/>
          </w:cols>
          <w:pgMar w:left="540" w:top="631" w:right="539" w:bottom="1440" w:gutter="0" w:footer="0" w:header="0"/>
        </w:sectPr>
      </w:pPr>
    </w:p>
    <w:bookmarkStart w:id="61" w:name="page62"/>
    <w:bookmarkEnd w:id="61"/>
    <w:p>
      <w:pPr>
        <w:ind w:firstLine="810"/>
        <w:spacing w:after="0" w:line="253" w:lineRule="auto"/>
        <w:rPr>
          <w:sz w:val="20"/>
          <w:szCs w:val="20"/>
          <w:color w:val="auto"/>
        </w:rPr>
      </w:pPr>
      <w:r>
        <w:rPr>
          <w:rFonts w:ascii="Arial" w:cs="Arial" w:eastAsia="Arial" w:hAnsi="Arial"/>
          <w:sz w:val="22"/>
          <w:szCs w:val="22"/>
          <w:color w:val="auto"/>
        </w:rPr>
        <w:t>IN WITNESS WHEREOF, the Company has caused this Agreement to be executed and its corporate seal to be hereto affixed by its officer thereunto duly authorized, and the Employee has accepted this agreement, all as of the day and year first above written.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RETAIN A COPY OF THIS AGREEMENT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00"/>
          </w:cols>
          <w:pgMar w:left="240" w:top="631" w:right="6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u w:val="single" w:color="auto"/>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HAEMONETICS CORPORATION</w:t>
      </w:r>
    </w:p>
    <w:p>
      <w:pPr>
        <w:spacing w:after="0" w:line="307" w:lineRule="exact"/>
        <w:rPr>
          <w:sz w:val="20"/>
          <w:szCs w:val="20"/>
          <w:color w:val="auto"/>
        </w:rPr>
      </w:pPr>
    </w:p>
    <w:p>
      <w:pPr>
        <w:ind w:left="2020" w:right="2620" w:hanging="599"/>
        <w:spacing w:after="0" w:line="498" w:lineRule="auto"/>
        <w:rPr>
          <w:sz w:val="20"/>
          <w:szCs w:val="20"/>
          <w:color w:val="auto"/>
        </w:rPr>
      </w:pPr>
      <w:r>
        <w:rPr>
          <w:rFonts w:ascii="Arial" w:cs="Arial" w:eastAsia="Arial" w:hAnsi="Arial"/>
          <w:sz w:val="24"/>
          <w:szCs w:val="24"/>
          <w:u w:val="single" w:color="auto"/>
          <w:color w:val="auto"/>
        </w:rPr>
        <w:t xml:space="preserve">2005 LONG-TERM INCENTIVE COMPENSATION PLAN </w:t>
      </w:r>
      <w:r>
        <w:rPr>
          <w:rFonts w:ascii="Arial" w:cs="Arial" w:eastAsia="Arial" w:hAnsi="Arial"/>
          <w:sz w:val="24"/>
          <w:szCs w:val="24"/>
          <w:b w:val="1"/>
          <w:bCs w:val="1"/>
          <w:u w:val="single" w:color="auto"/>
          <w:color w:val="auto"/>
        </w:rPr>
        <w:t>RESTRICTED STOCK UNIT AGREEMENT</w:t>
      </w:r>
    </w:p>
    <w:p>
      <w:pPr>
        <w:spacing w:after="0" w:line="273"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301" w:lineRule="exact"/>
        <w:rPr>
          <w:sz w:val="20"/>
          <w:szCs w:val="20"/>
          <w:color w:val="auto"/>
        </w:rPr>
      </w:pPr>
    </w:p>
    <w:p>
      <w:pPr>
        <w:ind w:left="3280"/>
        <w:spacing w:after="0"/>
        <w:rPr>
          <w:sz w:val="20"/>
          <w:szCs w:val="20"/>
          <w:color w:val="auto"/>
        </w:rPr>
      </w:pPr>
      <w:r>
        <w:rPr>
          <w:rFonts w:ascii="Arial" w:cs="Arial" w:eastAsia="Arial" w:hAnsi="Arial"/>
          <w:sz w:val="25"/>
          <w:szCs w:val="25"/>
          <w:b w:val="1"/>
          <w:bCs w:val="1"/>
          <w:u w:val="single" w:color="auto"/>
          <w:color w:val="auto"/>
        </w:rPr>
        <w:t>&lt;&lt;Participant Name&gt;&gt;</w:t>
      </w:r>
    </w:p>
    <w:p>
      <w:pPr>
        <w:spacing w:after="0" w:line="200" w:lineRule="exact"/>
        <w:rPr>
          <w:sz w:val="20"/>
          <w:szCs w:val="20"/>
          <w:color w:val="auto"/>
        </w:rPr>
      </w:pPr>
    </w:p>
    <w:p>
      <w:pPr>
        <w:spacing w:after="0" w:line="28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20"/>
          </w:cols>
          <w:pgMar w:left="1440" w:top="364" w:right="239" w:bottom="1440" w:gutter="0" w:footer="0" w:header="0"/>
        </w:sectPr>
      </w:pPr>
    </w:p>
    <w:bookmarkStart w:id="63" w:name="page64"/>
    <w:bookmarkEnd w:id="63"/>
    <w:p>
      <w:pPr>
        <w:jc w:val="center"/>
        <w:ind w:left="260" w:right="1960"/>
        <w:spacing w:after="0" w:line="265" w:lineRule="auto"/>
        <w:rPr>
          <w:sz w:val="20"/>
          <w:szCs w:val="20"/>
          <w:color w:val="auto"/>
        </w:rPr>
      </w:pPr>
      <w:r>
        <w:rPr>
          <w:rFonts w:ascii="Arial" w:cs="Arial" w:eastAsia="Arial" w:hAnsi="Arial"/>
          <w:sz w:val="25"/>
          <w:szCs w:val="25"/>
          <w:b w:val="1"/>
          <w:bCs w:val="1"/>
          <w:color w:val="auto"/>
        </w:rPr>
        <w:t xml:space="preserve">HAEMONETICS CORPORATION RESTRICTED STOCK UNIT AGREEMENT </w:t>
      </w:r>
      <w:r>
        <w:rPr>
          <w:rFonts w:ascii="Arial" w:cs="Arial" w:eastAsia="Arial" w:hAnsi="Arial"/>
          <w:sz w:val="25"/>
          <w:szCs w:val="25"/>
          <w:b w:val="1"/>
          <w:bCs w:val="1"/>
          <w:u w:val="single" w:color="auto"/>
          <w:color w:val="auto"/>
        </w:rPr>
        <w:t>UNDER 2005 LONG-TERM INCENTIVE COMPENSATION PLAN</w:t>
      </w:r>
    </w:p>
    <w:p>
      <w:pPr>
        <w:spacing w:after="0" w:line="398"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THIS RESTRICTED STOCK UNIT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&lt;&lt;</w:t>
      </w:r>
      <w:r>
        <w:rPr>
          <w:rFonts w:ascii="Arial" w:cs="Arial" w:eastAsia="Arial" w:hAnsi="Arial"/>
          <w:sz w:val="19"/>
          <w:szCs w:val="19"/>
          <w:b w:val="1"/>
          <w:bCs w:val="1"/>
          <w:color w:val="auto"/>
        </w:rPr>
        <w:t>Grant Date</w:t>
      </w:r>
      <w:r>
        <w:rPr>
          <w:rFonts w:ascii="Arial" w:cs="Arial" w:eastAsia="Arial" w:hAnsi="Arial"/>
          <w:sz w:val="19"/>
          <w:szCs w:val="19"/>
          <w:color w:val="auto"/>
        </w:rPr>
        <w:t>&gt;&gt; (“</w:t>
      </w:r>
      <w:r>
        <w:rPr>
          <w:rFonts w:ascii="Arial" w:cs="Arial" w:eastAsia="Arial" w:hAnsi="Arial"/>
          <w:sz w:val="19"/>
          <w:szCs w:val="19"/>
          <w:u w:val="single" w:color="auto"/>
          <w:color w:val="auto"/>
        </w:rPr>
        <w:t>Grant Date</w:t>
      </w:r>
      <w:r>
        <w:rPr>
          <w:rFonts w:ascii="Arial" w:cs="Arial" w:eastAsia="Arial" w:hAnsi="Arial"/>
          <w:sz w:val="19"/>
          <w:szCs w:val="19"/>
          <w:color w:val="auto"/>
        </w:rPr>
        <w:t>”) by and between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Haemonetics Corporation, a Massachusetts Corporation (“</w:t>
      </w:r>
      <w:r>
        <w:rPr>
          <w:rFonts w:ascii="Arial" w:cs="Arial" w:eastAsia="Arial" w:hAnsi="Arial"/>
          <w:sz w:val="18"/>
          <w:szCs w:val="18"/>
          <w:u w:val="single" w:color="auto"/>
          <w:color w:val="auto"/>
        </w:rPr>
        <w:t>Company</w:t>
      </w:r>
      <w:r>
        <w:rPr>
          <w:rFonts w:ascii="Arial" w:cs="Arial" w:eastAsia="Arial" w:hAnsi="Arial"/>
          <w:sz w:val="18"/>
          <w:szCs w:val="18"/>
          <w:color w:val="auto"/>
        </w:rPr>
        <w:t>”), and &lt;&lt;</w:t>
      </w:r>
      <w:r>
        <w:rPr>
          <w:rFonts w:ascii="Arial" w:cs="Arial" w:eastAsia="Arial" w:hAnsi="Arial"/>
          <w:sz w:val="18"/>
          <w:szCs w:val="18"/>
          <w:b w:val="1"/>
          <w:bCs w:val="1"/>
          <w:color w:val="auto"/>
        </w:rPr>
        <w:t>Participant Name</w:t>
      </w:r>
      <w:r>
        <w:rPr>
          <w:rFonts w:ascii="Arial" w:cs="Arial" w:eastAsia="Arial" w:hAnsi="Arial"/>
          <w:sz w:val="18"/>
          <w:szCs w:val="18"/>
          <w:color w:val="auto"/>
        </w:rPr>
        <w:t>&gt;&gt; (“</w:t>
      </w:r>
      <w:r>
        <w:rPr>
          <w:rFonts w:ascii="Arial" w:cs="Arial" w:eastAsia="Arial" w:hAnsi="Arial"/>
          <w:sz w:val="18"/>
          <w:szCs w:val="18"/>
          <w:u w:val="single" w:color="auto"/>
          <w:color w:val="auto"/>
        </w:rPr>
        <w:t>Director</w:t>
      </w:r>
      <w:r>
        <w:rPr>
          <w:rFonts w:ascii="Arial" w:cs="Arial" w:eastAsia="Arial" w:hAnsi="Arial"/>
          <w:sz w:val="18"/>
          <w:szCs w:val="18"/>
          <w:color w:val="auto"/>
        </w:rPr>
        <w:t>”), is entered into as follows:</w:t>
      </w:r>
    </w:p>
    <w:p>
      <w:pPr>
        <w:spacing w:after="0" w:line="236" w:lineRule="exact"/>
        <w:rPr>
          <w:sz w:val="20"/>
          <w:szCs w:val="20"/>
          <w:color w:val="auto"/>
        </w:rPr>
      </w:pPr>
    </w:p>
    <w:p>
      <w:pPr>
        <w:ind w:right="500" w:firstLine="810"/>
        <w:spacing w:after="0" w:line="260" w:lineRule="auto"/>
        <w:rPr>
          <w:sz w:val="20"/>
          <w:szCs w:val="20"/>
          <w:color w:val="auto"/>
        </w:rPr>
      </w:pPr>
      <w:r>
        <w:rPr>
          <w:rFonts w:ascii="Arial" w:cs="Arial" w:eastAsia="Arial" w:hAnsi="Arial"/>
          <w:sz w:val="20"/>
          <w:szCs w:val="20"/>
          <w:color w:val="auto"/>
        </w:rPr>
        <w:t>WHEREAS, the Company has established the Haemonetics Corporation 2005 Incentive Compensation Plan (“</w:t>
      </w:r>
      <w:r>
        <w:rPr>
          <w:rFonts w:ascii="Arial" w:cs="Arial" w:eastAsia="Arial" w:hAnsi="Arial"/>
          <w:sz w:val="20"/>
          <w:szCs w:val="20"/>
          <w:u w:val="single" w:color="auto"/>
          <w:color w:val="auto"/>
        </w:rPr>
        <w:t>Plan</w:t>
      </w:r>
      <w:r>
        <w:rPr>
          <w:rFonts w:ascii="Arial" w:cs="Arial" w:eastAsia="Arial" w:hAnsi="Arial"/>
          <w:sz w:val="20"/>
          <w:szCs w:val="20"/>
          <w:color w:val="auto"/>
        </w:rPr>
        <w:t>”), a copy of which has been provided to Director, and which Plan is made a part hereof; and</w:t>
      </w:r>
    </w:p>
    <w:p>
      <w:pPr>
        <w:spacing w:after="0" w:line="190" w:lineRule="exact"/>
        <w:rPr>
          <w:sz w:val="20"/>
          <w:szCs w:val="20"/>
          <w:color w:val="auto"/>
        </w:rPr>
      </w:pPr>
    </w:p>
    <w:p>
      <w:pPr>
        <w:ind w:right="180" w:firstLine="810"/>
        <w:spacing w:after="0" w:line="250" w:lineRule="auto"/>
        <w:rPr>
          <w:sz w:val="20"/>
          <w:szCs w:val="20"/>
          <w:color w:val="auto"/>
        </w:rPr>
      </w:pPr>
      <w:r>
        <w:rPr>
          <w:rFonts w:ascii="Arial" w:cs="Arial" w:eastAsia="Arial" w:hAnsi="Arial"/>
          <w:sz w:val="20"/>
          <w:szCs w:val="20"/>
          <w:color w:val="auto"/>
        </w:rPr>
        <w:t>WHEREAS, the Compensation Committee of the Board of Directors of the Company (“</w:t>
      </w:r>
      <w:r>
        <w:rPr>
          <w:rFonts w:ascii="Arial" w:cs="Arial" w:eastAsia="Arial" w:hAnsi="Arial"/>
          <w:sz w:val="20"/>
          <w:szCs w:val="20"/>
          <w:u w:val="single" w:color="auto"/>
          <w:color w:val="auto"/>
        </w:rPr>
        <w:t>Committee</w:t>
      </w:r>
      <w:r>
        <w:rPr>
          <w:rFonts w:ascii="Arial" w:cs="Arial" w:eastAsia="Arial" w:hAnsi="Arial"/>
          <w:sz w:val="20"/>
          <w:szCs w:val="20"/>
          <w:color w:val="auto"/>
        </w:rPr>
        <w:t>”) has determined that the Director be granted restricted stock units in respect of the Company's common stock, $0.01 par value per share (“</w:t>
      </w:r>
      <w:r>
        <w:rPr>
          <w:rFonts w:ascii="Arial" w:cs="Arial" w:eastAsia="Arial" w:hAnsi="Arial"/>
          <w:sz w:val="20"/>
          <w:szCs w:val="20"/>
          <w:u w:val="single" w:color="auto"/>
          <w:color w:val="auto"/>
        </w:rPr>
        <w:t>Common Stock</w:t>
      </w:r>
      <w:r>
        <w:rPr>
          <w:rFonts w:ascii="Arial" w:cs="Arial" w:eastAsia="Arial" w:hAnsi="Arial"/>
          <w:sz w:val="20"/>
          <w:szCs w:val="20"/>
          <w:color w:val="auto"/>
        </w:rPr>
        <w:t>”), subject to the restrictions as hereinafter set forth;</w:t>
      </w:r>
    </w:p>
    <w:p>
      <w:pPr>
        <w:spacing w:after="0" w:line="200"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NOW, THEREFORE, the parties hereby agree as follows:</w:t>
      </w:r>
    </w:p>
    <w:p>
      <w:pPr>
        <w:spacing w:after="0" w:line="223"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Grant of Restricted Stock Units.</w:t>
      </w:r>
    </w:p>
    <w:p>
      <w:pPr>
        <w:spacing w:after="0" w:line="229" w:lineRule="exact"/>
        <w:rPr>
          <w:sz w:val="20"/>
          <w:szCs w:val="20"/>
          <w:color w:val="auto"/>
        </w:rPr>
      </w:pPr>
    </w:p>
    <w:p>
      <w:pPr>
        <w:ind w:right="420" w:firstLine="810"/>
        <w:spacing w:after="0" w:line="267" w:lineRule="auto"/>
        <w:rPr>
          <w:sz w:val="20"/>
          <w:szCs w:val="20"/>
          <w:color w:val="auto"/>
        </w:rPr>
      </w:pPr>
      <w:r>
        <w:rPr>
          <w:rFonts w:ascii="Arial" w:cs="Arial" w:eastAsia="Arial" w:hAnsi="Arial"/>
          <w:sz w:val="20"/>
          <w:szCs w:val="20"/>
          <w:color w:val="auto"/>
        </w:rPr>
        <w:t>Subject to the terms and conditions of this Agreement and of the Plan, the Company hereby grants to the Director &lt;&lt;</w:t>
      </w:r>
      <w:r>
        <w:rPr>
          <w:rFonts w:ascii="Arial" w:cs="Arial" w:eastAsia="Arial" w:hAnsi="Arial"/>
          <w:sz w:val="20"/>
          <w:szCs w:val="20"/>
          <w:b w:val="1"/>
          <w:bCs w:val="1"/>
          <w:color w:val="auto"/>
        </w:rPr>
        <w:t>Number of</w:t>
      </w:r>
      <w:r>
        <w:rPr>
          <w:rFonts w:ascii="Arial" w:cs="Arial" w:eastAsia="Arial" w:hAnsi="Arial"/>
          <w:sz w:val="20"/>
          <w:szCs w:val="20"/>
          <w:color w:val="auto"/>
        </w:rPr>
        <w:t xml:space="preserve"> </w:t>
      </w:r>
      <w:r>
        <w:rPr>
          <w:rFonts w:ascii="Arial" w:cs="Arial" w:eastAsia="Arial" w:hAnsi="Arial"/>
          <w:sz w:val="20"/>
          <w:szCs w:val="20"/>
          <w:b w:val="1"/>
          <w:bCs w:val="1"/>
          <w:color w:val="auto"/>
        </w:rPr>
        <w:t>Awards Granted</w:t>
      </w:r>
      <w:r>
        <w:rPr>
          <w:rFonts w:ascii="Arial" w:cs="Arial" w:eastAsia="Arial" w:hAnsi="Arial"/>
          <w:sz w:val="20"/>
          <w:szCs w:val="20"/>
          <w:color w:val="auto"/>
        </w:rPr>
        <w:t>&gt;&gt; Restricted Stock Units (“</w:t>
      </w:r>
      <w:r>
        <w:rPr>
          <w:rFonts w:ascii="Arial" w:cs="Arial" w:eastAsia="Arial" w:hAnsi="Arial"/>
          <w:sz w:val="20"/>
          <w:szCs w:val="20"/>
          <w:u w:val="single" w:color="auto"/>
          <w:color w:val="auto"/>
        </w:rPr>
        <w:t>RSUs</w:t>
      </w:r>
      <w:r>
        <w:rPr>
          <w:rFonts w:ascii="Arial" w:cs="Arial" w:eastAsia="Arial" w:hAnsi="Arial"/>
          <w:sz w:val="20"/>
          <w:szCs w:val="20"/>
          <w:color w:val="auto"/>
        </w:rPr>
        <w:t>”).</w:t>
      </w:r>
    </w:p>
    <w:p>
      <w:pPr>
        <w:spacing w:after="0" w:line="177"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Vesting Schedule.</w:t>
      </w:r>
    </w:p>
    <w:p>
      <w:pPr>
        <w:spacing w:after="0" w:line="235" w:lineRule="exact"/>
        <w:rPr>
          <w:rFonts w:ascii="Arial" w:cs="Arial" w:eastAsia="Arial" w:hAnsi="Arial"/>
          <w:sz w:val="20"/>
          <w:szCs w:val="20"/>
          <w:b w:val="1"/>
          <w:bCs w:val="1"/>
          <w:color w:val="auto"/>
        </w:rPr>
      </w:pPr>
    </w:p>
    <w:p>
      <w:pPr>
        <w:ind w:right="80" w:firstLine="818"/>
        <w:spacing w:after="0" w:line="291" w:lineRule="auto"/>
        <w:tabs>
          <w:tab w:leader="none" w:pos="1079"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Vesting Dates</w:t>
      </w:r>
      <w:r>
        <w:rPr>
          <w:rFonts w:ascii="Arial" w:cs="Arial" w:eastAsia="Arial" w:hAnsi="Arial"/>
          <w:sz w:val="18"/>
          <w:szCs w:val="18"/>
          <w:color w:val="auto"/>
        </w:rPr>
        <w:t>. The interest of the Director in the RSUs shall vest as to 100% of such RSUs on the first anniversary of the Grant Date, conditioned upon the Director’s continued service with the Company as a director as of such vesting date. In situations where there is not continued service, notwithstanding the foregoing, the interest of the Director in the RSUs shall vest as specified below.</w:t>
      </w:r>
    </w:p>
    <w:p>
      <w:pPr>
        <w:spacing w:after="0" w:line="165" w:lineRule="exact"/>
        <w:rPr>
          <w:rFonts w:ascii="Arial" w:cs="Arial" w:eastAsia="Arial" w:hAnsi="Arial"/>
          <w:sz w:val="18"/>
          <w:szCs w:val="18"/>
          <w:color w:val="auto"/>
        </w:rPr>
      </w:pPr>
    </w:p>
    <w:p>
      <w:pPr>
        <w:ind w:right="20" w:firstLine="818"/>
        <w:spacing w:after="0" w:line="246" w:lineRule="auto"/>
        <w:tabs>
          <w:tab w:leader="none" w:pos="1091"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Partial Year</w:t>
      </w:r>
      <w:r>
        <w:rPr>
          <w:rFonts w:ascii="Arial" w:cs="Arial" w:eastAsia="Arial" w:hAnsi="Arial"/>
          <w:sz w:val="20"/>
          <w:szCs w:val="20"/>
          <w:color w:val="auto"/>
        </w:rPr>
        <w:t>. If the Director ceases to be a director of the Company prior to the first anniversary of the Grant Date for any reason other than a Change in Control, death or Disability, the RSUs granted hereunder shall vest on a pro-rata basis such that one twelfth (1/12) of the total number of RSUs granted hereunder shall vest on the last day of every month that the Director is a director between the Grant Date and the date when the Director ceases to be a Director of the Company.</w:t>
      </w:r>
    </w:p>
    <w:p>
      <w:pPr>
        <w:spacing w:after="0" w:line="205" w:lineRule="exact"/>
        <w:rPr>
          <w:rFonts w:ascii="Arial" w:cs="Arial" w:eastAsia="Arial" w:hAnsi="Arial"/>
          <w:sz w:val="20"/>
          <w:szCs w:val="20"/>
          <w:color w:val="auto"/>
        </w:rPr>
      </w:pPr>
    </w:p>
    <w:p>
      <w:pPr>
        <w:ind w:left="1080" w:hanging="262"/>
        <w:spacing w:after="0"/>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The RSUs shall become fully vested on a termination of service due to death or “Disability” (as defined in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Plan).</w:t>
      </w:r>
    </w:p>
    <w:p>
      <w:pPr>
        <w:spacing w:after="0" w:line="213" w:lineRule="exact"/>
        <w:rPr>
          <w:rFonts w:ascii="Arial" w:cs="Arial" w:eastAsia="Arial" w:hAnsi="Arial"/>
          <w:sz w:val="18"/>
          <w:szCs w:val="18"/>
          <w:color w:val="auto"/>
        </w:rPr>
      </w:pPr>
    </w:p>
    <w:p>
      <w:pPr>
        <w:ind w:left="1100" w:hanging="282"/>
        <w:spacing w:after="0"/>
        <w:tabs>
          <w:tab w:leader="none" w:pos="110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The RSUs shall become fully vested immediately prior to the effectiveness of a Change in Control.</w:t>
      </w:r>
    </w:p>
    <w:p>
      <w:pPr>
        <w:spacing w:after="0" w:line="240" w:lineRule="exact"/>
        <w:rPr>
          <w:rFonts w:ascii="Arial" w:cs="Arial" w:eastAsia="Arial" w:hAnsi="Arial"/>
          <w:sz w:val="19"/>
          <w:szCs w:val="19"/>
          <w:color w:val="auto"/>
        </w:rPr>
      </w:pPr>
    </w:p>
    <w:p>
      <w:pPr>
        <w:ind w:left="1080" w:hanging="262"/>
        <w:spacing w:after="0"/>
        <w:tabs>
          <w:tab w:leader="none" w:pos="10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the earliest to occur of the following events: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0" w:right="239" w:bottom="1440" w:gutter="0" w:footer="0" w:header="0"/>
        </w:sectPr>
      </w:pPr>
    </w:p>
    <w:bookmarkStart w:id="64" w:name="page65"/>
    <w:bookmarkEnd w:id="64"/>
    <w:p>
      <w:pPr>
        <w:jc w:val="both"/>
        <w:ind w:left="1140" w:firstLine="2"/>
        <w:spacing w:after="0" w:line="282" w:lineRule="auto"/>
        <w:tabs>
          <w:tab w:leader="none" w:pos="14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person, or any two or more persons acting as a group, and all affiliates of such person or persons, who prior to such time owned less than fifty percent (50%) of the Company’s then outstanding shares of Common Stock, shall acquire such additional shares of Common Stock in one or more transactions, or series of transactions, such that following such transaction or transactions such person or group and affiliates beneficially own fifty percent (50%) or more of the Common Stock outstanding,</w:t>
      </w:r>
    </w:p>
    <w:p>
      <w:pPr>
        <w:spacing w:after="0" w:line="161" w:lineRule="exact"/>
        <w:rPr>
          <w:rFonts w:ascii="Arial" w:cs="Arial" w:eastAsia="Arial" w:hAnsi="Arial"/>
          <w:sz w:val="18"/>
          <w:szCs w:val="18"/>
          <w:color w:val="auto"/>
        </w:rPr>
      </w:pPr>
    </w:p>
    <w:p>
      <w:pPr>
        <w:ind w:left="1140" w:firstLine="2"/>
        <w:spacing w:after="0" w:line="260" w:lineRule="auto"/>
        <w:tabs>
          <w:tab w:leader="none" w:pos="1466" w:val="left"/>
        </w:tabs>
        <w:numPr>
          <w:ilvl w:val="0"/>
          <w:numId w:val="47"/>
        </w:numPr>
        <w:rPr>
          <w:rFonts w:ascii="Arial" w:cs="Arial" w:eastAsia="Arial" w:hAnsi="Arial"/>
          <w:sz w:val="20"/>
          <w:szCs w:val="20"/>
          <w:color w:val="auto"/>
        </w:rPr>
      </w:pPr>
      <w:r>
        <w:rPr>
          <w:rFonts w:ascii="Arial" w:cs="Arial" w:eastAsia="Arial" w:hAnsi="Arial"/>
          <w:sz w:val="20"/>
          <w:szCs w:val="20"/>
          <w:color w:val="auto"/>
        </w:rPr>
        <w:t>closing of the sale of all or substantially all of the assets of the Company on a consolidated basis to an unrelated person or entity,</w:t>
      </w:r>
    </w:p>
    <w:p>
      <w:pPr>
        <w:spacing w:after="0" w:line="176" w:lineRule="exact"/>
        <w:rPr>
          <w:rFonts w:ascii="Arial" w:cs="Arial" w:eastAsia="Arial" w:hAnsi="Arial"/>
          <w:sz w:val="20"/>
          <w:szCs w:val="20"/>
          <w:color w:val="auto"/>
        </w:rPr>
      </w:pPr>
    </w:p>
    <w:p>
      <w:pPr>
        <w:jc w:val="both"/>
        <w:ind w:left="1140" w:firstLine="2"/>
        <w:spacing w:after="0" w:line="243" w:lineRule="auto"/>
        <w:tabs>
          <w:tab w:leader="none" w:pos="1454"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individuals who constitute the Incumbent Board cease for any reason to constitute at least a majority of the Company’s Board of Directors (for this purpose, “Incumbent Board” means at any time those persons who are then members of the Company’s Board of Directors and who are either (i) members of the Company’s Board of Directors on the date of this Agreement, or (ii) have been elected, or have been nominated for election by the Company’s shareholders,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and</w:t>
      </w:r>
    </w:p>
    <w:p>
      <w:pPr>
        <w:spacing w:after="0" w:line="193" w:lineRule="exact"/>
        <w:rPr>
          <w:rFonts w:ascii="Arial" w:cs="Arial" w:eastAsia="Arial" w:hAnsi="Arial"/>
          <w:sz w:val="20"/>
          <w:szCs w:val="20"/>
          <w:color w:val="auto"/>
        </w:rPr>
      </w:pPr>
    </w:p>
    <w:p>
      <w:pPr>
        <w:jc w:val="both"/>
        <w:ind w:left="1140" w:firstLine="2"/>
        <w:spacing w:after="0" w:line="258" w:lineRule="auto"/>
        <w:tabs>
          <w:tab w:leader="none" w:pos="1466"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consummation of any merger, reorganization, consolidation or share exchange unless the persons who were the beneficial owners of the Company’s outstanding shares of Common Stock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Common Stock by the persons described above immediately before the consummation of such transaction.</w:t>
      </w:r>
    </w:p>
    <w:p>
      <w:pPr>
        <w:spacing w:after="0" w:line="179" w:lineRule="exact"/>
        <w:rPr>
          <w:sz w:val="20"/>
          <w:szCs w:val="20"/>
          <w:color w:val="auto"/>
        </w:rPr>
      </w:pPr>
    </w:p>
    <w:p>
      <w:pPr>
        <w:jc w:val="both"/>
        <w:ind w:left="1140"/>
        <w:spacing w:after="0" w:line="275" w:lineRule="auto"/>
        <w:rPr>
          <w:sz w:val="20"/>
          <w:szCs w:val="20"/>
          <w:color w:val="auto"/>
        </w:rPr>
      </w:pPr>
      <w:r>
        <w:rPr>
          <w:rFonts w:ascii="Arial" w:cs="Arial" w:eastAsia="Arial" w:hAnsi="Arial"/>
          <w:sz w:val="18"/>
          <w:szCs w:val="18"/>
          <w:color w:val="auto"/>
        </w:rPr>
        <w:t>Notwithstanding the foregoing, none of the above events or conditions shall constitute a Change in Control for purposes of this Agreement unless the event or condition also constitutes a “Change in Control Event” for purposes of Treas. Reg. §1. 409A-3(i)</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(5).</w:t>
      </w:r>
    </w:p>
    <w:p>
      <w:pPr>
        <w:spacing w:after="0" w:line="315"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w:t>
      </w:r>
    </w:p>
    <w:p>
      <w:pPr>
        <w:spacing w:after="0" w:line="235" w:lineRule="exact"/>
        <w:rPr>
          <w:rFonts w:ascii="Arial" w:cs="Arial" w:eastAsia="Arial" w:hAnsi="Arial"/>
          <w:sz w:val="20"/>
          <w:szCs w:val="20"/>
          <w:b w:val="1"/>
          <w:bCs w:val="1"/>
          <w:color w:val="auto"/>
        </w:rPr>
      </w:pPr>
    </w:p>
    <w:p>
      <w:pPr>
        <w:ind w:right="80" w:firstLine="818"/>
        <w:spacing w:after="0" w:line="260" w:lineRule="auto"/>
        <w:tabs>
          <w:tab w:leader="none" w:pos="1079"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No Transfer</w:t>
      </w:r>
      <w:r>
        <w:rPr>
          <w:rFonts w:ascii="Arial" w:cs="Arial" w:eastAsia="Arial" w:hAnsi="Arial"/>
          <w:sz w:val="20"/>
          <w:szCs w:val="20"/>
          <w:color w:val="auto"/>
        </w:rPr>
        <w:t>. The RSUs granted hereunder may not be sold, transferred, pledged, assigned, encumbered, or otherwise alienated or hypothecated.</w:t>
      </w:r>
    </w:p>
    <w:p>
      <w:pPr>
        <w:spacing w:after="0" w:line="190" w:lineRule="exact"/>
        <w:rPr>
          <w:rFonts w:ascii="Arial" w:cs="Arial" w:eastAsia="Arial" w:hAnsi="Arial"/>
          <w:sz w:val="20"/>
          <w:szCs w:val="20"/>
          <w:color w:val="auto"/>
        </w:rPr>
      </w:pPr>
    </w:p>
    <w:p>
      <w:pPr>
        <w:ind w:right="100" w:firstLine="818"/>
        <w:spacing w:after="0" w:line="269" w:lineRule="auto"/>
        <w:tabs>
          <w:tab w:leader="none" w:pos="1091"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Except as provided for in Section 2, if the Director’s service with the Company terminates for any reason, the balance of the RSUs subject to the provisions of this Agreement which have not vested at the time of the Director’s termination of service shall be forfeited by the Director, and the Director shall have no future rights with respect to any such unvested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2" w:right="239" w:bottom="1440" w:gutter="0" w:footer="0" w:header="0"/>
        </w:sectPr>
      </w:pPr>
    </w:p>
    <w:bookmarkStart w:id="65" w:name="page66"/>
    <w:bookmarkEnd w:id="65"/>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Delivery of Shares.</w:t>
      </w:r>
    </w:p>
    <w:p>
      <w:pPr>
        <w:spacing w:after="0" w:line="235" w:lineRule="exact"/>
        <w:rPr>
          <w:sz w:val="20"/>
          <w:szCs w:val="20"/>
          <w:color w:val="auto"/>
        </w:rPr>
      </w:pPr>
    </w:p>
    <w:p>
      <w:pPr>
        <w:ind w:right="460" w:firstLine="810"/>
        <w:spacing w:after="0" w:line="282" w:lineRule="auto"/>
        <w:rPr>
          <w:sz w:val="20"/>
          <w:szCs w:val="20"/>
          <w:color w:val="auto"/>
        </w:rPr>
      </w:pPr>
      <w:r>
        <w:rPr>
          <w:rFonts w:ascii="Arial" w:cs="Arial" w:eastAsia="Arial" w:hAnsi="Arial"/>
          <w:sz w:val="18"/>
          <w:szCs w:val="18"/>
          <w:color w:val="auto"/>
        </w:rPr>
        <w:t>The means of settlement of vested RSUs is that the Company shall deliver to the Director a certificate or certificates or, at the election of the Company, make an appropriate book entry. RSUs that become vested under Section 2 above shall be settled as soon as practicable after the first anniversary of the Grant Date in shares of Common Stock equal to the number of vested RSUs as of such date. A Director shall have no further rights with regard to RSUs once the underlying Common Stock has been so delivered.</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Director Shareholder Rights.</w:t>
      </w:r>
    </w:p>
    <w:p>
      <w:pPr>
        <w:spacing w:after="0" w:line="23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Neither the Director nor any person claiming through the Director, will have any of the rights or privileges of a shareholder of Haemonetics with respect to the RSUs unless and until Common Stock has been issued, recorded on the records of the Company or its transfer agent, and delivered to the Director upon vesting of the RSUs. No dividend equivalents shall be paid on RSUs with respect to any cash dividends declared during a period of RSU vesting.</w:t>
      </w:r>
    </w:p>
    <w:p>
      <w:pPr>
        <w:spacing w:after="0" w:line="19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6"/>
          <w:szCs w:val="16"/>
          <w:b w:val="1"/>
          <w:bCs w:val="1"/>
          <w:color w:val="auto"/>
        </w:rPr>
        <w:t>Adjustments or Changes in Capitalization.</w:t>
      </w: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Adjustments as a result of changes in corporate capitalization and the like or as a result of a corporate transaction shall be made in accordance with Article 4 of the Plan.</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8"/>
          <w:szCs w:val="18"/>
          <w:b w:val="1"/>
          <w:bCs w:val="1"/>
          <w:color w:val="auto"/>
        </w:rPr>
        <w:t>Death or Disability of Director.</w:t>
      </w:r>
    </w:p>
    <w:p>
      <w:pPr>
        <w:spacing w:after="0" w:line="235" w:lineRule="exact"/>
        <w:rPr>
          <w:sz w:val="20"/>
          <w:szCs w:val="20"/>
          <w:color w:val="auto"/>
        </w:rPr>
      </w:pPr>
    </w:p>
    <w:p>
      <w:pPr>
        <w:jc w:val="both"/>
        <w:ind w:right="500"/>
        <w:spacing w:after="0" w:line="250" w:lineRule="auto"/>
        <w:rPr>
          <w:sz w:val="20"/>
          <w:szCs w:val="20"/>
          <w:color w:val="auto"/>
        </w:rPr>
      </w:pPr>
      <w:r>
        <w:rPr>
          <w:rFonts w:ascii="Arial" w:cs="Arial" w:eastAsia="Arial" w:hAnsi="Arial"/>
          <w:sz w:val="20"/>
          <w:szCs w:val="20"/>
          <w:color w:val="auto"/>
        </w:rPr>
        <w:t>Any Common Stock deliverable to the Director pursuant to Section 4 shall be delivered to the Director if legally competent or to a legally designated guardian or representative if the Director is legally incompetent. If the Director is not then living, the Common Stock shall be delivered to the representative of the Director’s estate.</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Taxes.</w:t>
      </w:r>
    </w:p>
    <w:p>
      <w:pPr>
        <w:spacing w:after="0" w:line="235"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color w:val="auto"/>
        </w:rPr>
        <w:t>The Director acknowledges and agrees that any income or other taxes due from the Director with respect to the RSUs issued pursuant to this Agreement shall be the Director’s sole responsibility. By accepting this RSU grant, the Director agrees and acknowledges that the benefits under this Agreement shall be subject to any applicable withholding obligation to the Company as provided in Article 17 of the Plan.</w:t>
      </w:r>
    </w:p>
    <w:p>
      <w:pPr>
        <w:spacing w:after="0" w:line="159"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Section 409A.</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Section 9.5 of the Plan, it is intended that the rights to receive shares of Common Stock granted under this Agreement and the provisions of this Agreement shall comply with Section 409A of the Code, and all provisions of this Agreement shall be construed and interpreted in a manner consistent with Section 19.10 of the Plan and the requirements for avoiding taxes or penalties under Section 409A of the Code. Delivery of shares under this Agreement may be accelerated by the Board in its discretion only as permitted under Section 409A of the Code. Notwithstanding the foregoing, in no event whatsoever shall the Company or its Subsidiaries be liable for any additional tax, interest, or penalties that may be imposed on the Director as a result of Section 409A of the Code or any damages for failing to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0" w:right="239" w:bottom="1440" w:gutter="0" w:footer="0" w:header="0"/>
        </w:sectPr>
      </w:pPr>
    </w:p>
    <w:bookmarkStart w:id="66" w:name="page67"/>
    <w:bookmarkEnd w:id="66"/>
    <w:p>
      <w:pPr>
        <w:ind w:left="460" w:hanging="452"/>
        <w:spacing w:after="0"/>
        <w:tabs>
          <w:tab w:leader="none" w:pos="4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Data Privacy Consent.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a condition of this Agreement, you consent to the collection, use and transfer of your personal data as described in this paragraph. You understand that the Company and its subsidiaries hold certain personal information about you, including your name, home address and telephone number, date of birth, social insurance (or security) number or identification number, salary, nationality, job title, any shares of Common Stock or directorships held in the Company (or any of its subsidiaries), details of all options or any other entitlement to shares of Common Stock awarded, canceled, exercised, vested, unvested or outstanding in your favor, for the purpose of implementing, managing and administering the Plan (“</w:t>
      </w:r>
      <w:r>
        <w:rPr>
          <w:rFonts w:ascii="Arial" w:cs="Arial" w:eastAsia="Arial" w:hAnsi="Arial"/>
          <w:sz w:val="18"/>
          <w:szCs w:val="18"/>
          <w:u w:val="single" w:color="auto"/>
          <w:color w:val="auto"/>
        </w:rPr>
        <w:t>Data</w:t>
      </w:r>
      <w:r>
        <w:rPr>
          <w:rFonts w:ascii="Arial" w:cs="Arial" w:eastAsia="Arial" w:hAnsi="Arial"/>
          <w:sz w:val="18"/>
          <w:szCs w:val="18"/>
          <w:color w:val="auto"/>
        </w:rPr>
        <w:t>”). You further understand that the Company and/or a subsidiary may transfer Data amongst themselves as necessary for the purpose of implementation, administration and management of your participation in the Plan, and that the Company and/or a subsidiary may each further transfer Data to any third parties assisting the Company in the implementation, administration and management of the Plan. You understand that these recipients may be located in the European Economic Area, or elsewhere, such as the United States or Canada, and that the recipient’s country may have different data privacy laws and protections than your country. You authorize them to receive, possess, use, retain and transfer the Data, in electronic or other form, for the purposes of implementing, administering and managing your participation in the Plan, including any requisite transfer of such Data to a broker or other third party with whom you may elect to deposit any shares of Common Stock acquired pursuant to the Plan as may be required for the administration of the Plan and/or the subsequent holding of shares of Common Stock on your behalf.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it or refuse or withdraw the consents herein, in any case without cost, by contacting in writing the Company’s Human Resources representative. Refusal or withdrawal of consent may, however, affect your ability to exercise or realize benefits from this Agreement or the Plan. For more information on the consequences of your refusal to consent or withdrawal of consent, you understand that you may contact the Company’s Human Resources representative.</w:t>
      </w:r>
    </w:p>
    <w:p>
      <w:pPr>
        <w:spacing w:after="0" w:line="164"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35" w:lineRule="exact"/>
        <w:rPr>
          <w:rFonts w:ascii="Arial" w:cs="Arial" w:eastAsia="Arial" w:hAnsi="Arial"/>
          <w:sz w:val="20"/>
          <w:szCs w:val="20"/>
          <w:b w:val="1"/>
          <w:bCs w:val="1"/>
          <w:color w:val="auto"/>
        </w:rPr>
      </w:pPr>
    </w:p>
    <w:p>
      <w:pPr>
        <w:jc w:val="both"/>
        <w:ind w:right="80" w:firstLine="818"/>
        <w:spacing w:after="0" w:line="291" w:lineRule="auto"/>
        <w:tabs>
          <w:tab w:leader="none" w:pos="1079"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The Company shall not be required (i) to transfer on its books any shares of Common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165" w:lineRule="exact"/>
        <w:rPr>
          <w:rFonts w:ascii="Arial" w:cs="Arial" w:eastAsia="Arial" w:hAnsi="Arial"/>
          <w:sz w:val="18"/>
          <w:szCs w:val="18"/>
          <w:color w:val="auto"/>
        </w:rPr>
      </w:pPr>
    </w:p>
    <w:p>
      <w:pPr>
        <w:ind w:right="400" w:firstLine="818"/>
        <w:spacing w:after="0" w:line="260" w:lineRule="auto"/>
        <w:tabs>
          <w:tab w:leader="none" w:pos="1091"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Further Acts</w:t>
      </w:r>
      <w:r>
        <w:rPr>
          <w:rFonts w:ascii="Arial" w:cs="Arial" w:eastAsia="Arial" w:hAnsi="Arial"/>
          <w:sz w:val="20"/>
          <w:szCs w:val="20"/>
          <w:color w:val="auto"/>
        </w:rPr>
        <w:t>. The parties agree to execute such further instruments and to take such action as may reasonably be necessary to carry out the intent of this Agreement.</w:t>
      </w:r>
    </w:p>
    <w:p>
      <w:pPr>
        <w:spacing w:after="0" w:line="190" w:lineRule="exact"/>
        <w:rPr>
          <w:rFonts w:ascii="Arial" w:cs="Arial" w:eastAsia="Arial" w:hAnsi="Arial"/>
          <w:sz w:val="20"/>
          <w:szCs w:val="20"/>
          <w:color w:val="auto"/>
        </w:rPr>
      </w:pPr>
    </w:p>
    <w:p>
      <w:pPr>
        <w:ind w:right="100" w:firstLine="818"/>
        <w:spacing w:after="0" w:line="260" w:lineRule="auto"/>
        <w:tabs>
          <w:tab w:leader="none" w:pos="1079"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hereunder shall be given in writing and shall be deemed effectively given upon delivery to the Director at her/his address then on file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9" w:right="239" w:bottom="1440" w:gutter="0" w:footer="0" w:header="0"/>
        </w:sectPr>
      </w:pPr>
    </w:p>
    <w:bookmarkStart w:id="67" w:name="page68"/>
    <w:bookmarkEnd w:id="67"/>
    <w:p>
      <w:pPr>
        <w:ind w:left="-20" w:firstLine="818"/>
        <w:spacing w:after="0" w:line="260" w:lineRule="auto"/>
        <w:tabs>
          <w:tab w:leader="none" w:pos="1071"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No Guarantee of Service</w:t>
      </w:r>
      <w:r>
        <w:rPr>
          <w:rFonts w:ascii="Arial" w:cs="Arial" w:eastAsia="Arial" w:hAnsi="Arial"/>
          <w:sz w:val="20"/>
          <w:szCs w:val="20"/>
          <w:color w:val="auto"/>
        </w:rPr>
        <w:t>. Neither the Plan nor this Agreement nor any provisions under either shall be construed so as to grant the Director any right to remain a director of the Company.</w:t>
      </w:r>
    </w:p>
    <w:p>
      <w:pPr>
        <w:spacing w:after="0" w:line="203" w:lineRule="exact"/>
        <w:rPr>
          <w:rFonts w:ascii="Arial" w:cs="Arial" w:eastAsia="Arial" w:hAnsi="Arial"/>
          <w:sz w:val="20"/>
          <w:szCs w:val="20"/>
          <w:color w:val="auto"/>
        </w:rPr>
      </w:pPr>
    </w:p>
    <w:p>
      <w:pPr>
        <w:ind w:left="-20" w:right="20" w:firstLine="832"/>
        <w:spacing w:after="0" w:line="299" w:lineRule="auto"/>
        <w:tabs>
          <w:tab w:leader="none" w:pos="1321"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169" w:lineRule="exact"/>
        <w:rPr>
          <w:rFonts w:ascii="Arial" w:cs="Arial" w:eastAsia="Arial" w:hAnsi="Arial"/>
          <w:sz w:val="19"/>
          <w:szCs w:val="19"/>
          <w:color w:val="auto"/>
        </w:rPr>
      </w:pPr>
    </w:p>
    <w:p>
      <w:pPr>
        <w:ind w:left="-20" w:right="440" w:firstLine="818"/>
        <w:spacing w:after="0" w:line="260" w:lineRule="auto"/>
        <w:tabs>
          <w:tab w:leader="none" w:pos="1186"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laws of the Commonwealth of Massachusetts and applicable federal law, without regard to applicable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00"/>
          </w:cols>
          <w:pgMar w:left="260" w:top="366" w:right="239" w:bottom="1440" w:gutter="0" w:footer="0" w:header="0"/>
        </w:sectPr>
      </w:pPr>
    </w:p>
    <w:bookmarkStart w:id="68" w:name="page69"/>
    <w:bookmarkEnd w:id="68"/>
    <w:p>
      <w:pPr>
        <w:ind w:firstLine="324"/>
        <w:spacing w:after="0" w:line="343" w:lineRule="auto"/>
        <w:rPr>
          <w:sz w:val="20"/>
          <w:szCs w:val="20"/>
          <w:color w:val="auto"/>
        </w:rPr>
      </w:pPr>
      <w:r>
        <w:rPr>
          <w:rFonts w:ascii="Arial" w:cs="Arial" w:eastAsia="Arial" w:hAnsi="Arial"/>
          <w:sz w:val="19"/>
          <w:szCs w:val="19"/>
          <w:color w:val="auto"/>
        </w:rPr>
        <w:t>IN WITNESS WHEREOF, the Company has caused this Agreement to be executed and its corporate seal to be hereto affixed by its officer thereunto duly authorized, and the Director has accepted this agreement, all as of the day and year first above written.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RETAIN A COPY OF THIS AGREEMENT FOR YOUR RECORDS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8/7/2018</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Director and Chief Executive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0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8/7/2018</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30, 2018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8/7/2018</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Director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30, 2018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8/7/2018</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1."/>
      <w:numFmt w:val="decimal"/>
      <w:start w:val="2"/>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3">
    <w:nsid w:val="419AC241"/>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4">
    <w:nsid w:val="5577F8E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5">
    <w:nsid w:val="440BADFC"/>
    <w:multiLevelType w:val="hybridMultilevel"/>
    <w:lvl w:ilvl="0">
      <w:lvlJc w:val="left"/>
      <w:lvlText w:val="(%1)"/>
      <w:numFmt w:val="decimal"/>
      <w:start w:val="2"/>
    </w:lvl>
    <w:lvl w:ilvl="1">
      <w:lvlJc w:val="left"/>
      <w:lvlText w:val="(%2)"/>
      <w:numFmt w:val="upperLetter"/>
      <w:start w:val="1"/>
    </w:lvl>
  </w:abstractNum>
  <w:abstractNum w:abstractNumId="16">
    <w:nsid w:val="5072367"/>
    <w:multiLevelType w:val="hybridMultilevel"/>
    <w:lvl w:ilvl="0">
      <w:lvlJc w:val="left"/>
      <w:lvlText w:val="(%1)"/>
      <w:numFmt w:val="upperLetter"/>
      <w:start w:val="1"/>
    </w:lvl>
  </w:abstractNum>
  <w:abstractNum w:abstractNumId="17">
    <w:nsid w:val="3804823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8">
    <w:nsid w:val="77465F01"/>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9">
    <w:nsid w:val="7724C67E"/>
    <w:multiLevelType w:val="hybridMultilevel"/>
    <w:lvl w:ilvl="0">
      <w:lvlJc w:val="left"/>
      <w:lvlText w:val="%1"/>
      <w:numFmt w:val="decimal"/>
      <w:start w:val="1"/>
    </w:lvl>
    <w:lvl w:ilvl="1">
      <w:lvlJc w:val="left"/>
      <w:lvlText w:val="(%2)"/>
      <w:numFmt w:val="lowerLetter"/>
      <w:start w:val="2"/>
    </w:lvl>
  </w:abstractNum>
  <w:abstractNum w:abstractNumId="20">
    <w:nsid w:val="5C482A97"/>
    <w:multiLevelType w:val="hybridMultilevel"/>
    <w:lvl w:ilvl="0">
      <w:lvlJc w:val="left"/>
      <w:lvlText w:val="%1."/>
      <w:numFmt w:val="decimal"/>
      <w:start w:val="6"/>
    </w:lvl>
    <w:lvl w:ilvl="1">
      <w:lvlJc w:val="left"/>
      <w:lvlText w:val="(%2)"/>
      <w:numFmt w:val="lowerLetter"/>
      <w:start w:val="1"/>
    </w:lvl>
  </w:abstractNum>
  <w:abstractNum w:abstractNumId="21">
    <w:nsid w:val="2463B9EA"/>
    <w:multiLevelType w:val="hybridMultilevel"/>
    <w:lvl w:ilvl="0">
      <w:lvlJc w:val="left"/>
      <w:lvlText w:val="%1."/>
      <w:numFmt w:val="decimal"/>
      <w:start w:val="10"/>
    </w:lvl>
  </w:abstractNum>
  <w:abstractNum w:abstractNumId="22">
    <w:nsid w:val="5E884ADC"/>
    <w:multiLevelType w:val="hybridMultilevel"/>
    <w:lvl w:ilvl="0">
      <w:lvlJc w:val="left"/>
      <w:lvlText w:val="%1."/>
      <w:numFmt w:val="decimal"/>
      <w:start w:val="2"/>
    </w:lvl>
    <w:lvl w:ilvl="1">
      <w:lvlJc w:val="left"/>
      <w:lvlText w:val="(%2)"/>
      <w:numFmt w:val="lowerLetter"/>
      <w:start w:val="1"/>
    </w:lvl>
  </w:abstractNum>
  <w:abstractNum w:abstractNumId="23">
    <w:nsid w:val="51EAD36B"/>
    <w:multiLevelType w:val="hybridMultilevel"/>
    <w:lvl w:ilvl="0">
      <w:lvlJc w:val="left"/>
      <w:lvlText w:val="(%1)"/>
      <w:numFmt w:val="lowerLetter"/>
      <w:start w:val="2"/>
    </w:lvl>
  </w:abstractNum>
  <w:abstractNum w:abstractNumId="24">
    <w:nsid w:val="2D517796"/>
    <w:multiLevelType w:val="hybridMultilevel"/>
    <w:lvl w:ilvl="0">
      <w:lvlJc w:val="left"/>
      <w:lvlText w:val="(%1)"/>
      <w:numFmt w:val="lowerLetter"/>
      <w:start w:val="3"/>
    </w:lvl>
    <w:lvl w:ilvl="1">
      <w:lvlJc w:val="left"/>
      <w:lvlText w:val="(%2)"/>
      <w:numFmt w:val="decimal"/>
      <w:start w:val="1"/>
    </w:lvl>
  </w:abstractNum>
  <w:abstractNum w:abstractNumId="25">
    <w:nsid w:val="580BD78F"/>
    <w:multiLevelType w:val="hybridMultilevel"/>
    <w:lvl w:ilvl="0">
      <w:lvlJc w:val="left"/>
      <w:lvlText w:val="(%1)"/>
      <w:numFmt w:val="decimal"/>
      <w:start w:val="3"/>
    </w:lvl>
    <w:lvl w:ilvl="1">
      <w:lvlJc w:val="left"/>
      <w:lvlText w:val="(%2)"/>
      <w:numFmt w:val="upperLetter"/>
      <w:start w:val="1"/>
    </w:lvl>
  </w:abstractNum>
  <w:abstractNum w:abstractNumId="26">
    <w:nsid w:val="153EA438"/>
    <w:multiLevelType w:val="hybridMultilevel"/>
    <w:lvl w:ilvl="0">
      <w:lvlJc w:val="left"/>
      <w:lvlText w:val="(%1)"/>
      <w:numFmt w:val="decimal"/>
      <w:start w:val="4"/>
    </w:lvl>
  </w:abstractNum>
  <w:abstractNum w:abstractNumId="27">
    <w:nsid w:val="3855585C"/>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28">
    <w:nsid w:val="70A64E2A"/>
    <w:multiLevelType w:val="hybridMultilevel"/>
    <w:lvl w:ilvl="0">
      <w:lvlJc w:val="left"/>
      <w:lvlText w:val="(%1)"/>
      <w:numFmt w:val="decimal"/>
      <w:start w:val="2"/>
    </w:lvl>
    <w:lvl w:ilvl="1">
      <w:lvlJc w:val="left"/>
      <w:lvlText w:val="(%2)"/>
      <w:numFmt w:val="upperLetter"/>
      <w:start w:val="1"/>
    </w:lvl>
  </w:abstractNum>
  <w:abstractNum w:abstractNumId="29">
    <w:nsid w:val="6A2342EC"/>
    <w:multiLevelType w:val="hybridMultilevel"/>
    <w:lvl w:ilvl="0">
      <w:lvlJc w:val="left"/>
      <w:lvlText w:val="(%1)"/>
      <w:numFmt w:val="decimal"/>
      <w:start w:val="5"/>
    </w:lvl>
  </w:abstractNum>
  <w:abstractNum w:abstractNumId="30">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lvl w:ilvl="3">
      <w:lvlJc w:val="left"/>
      <w:lvlText w:val="(%4)"/>
      <w:numFmt w:val="upperLetter"/>
      <w:start w:val="1"/>
    </w:lvl>
  </w:abstractNum>
  <w:abstractNum w:abstractNumId="31">
    <w:nsid w:val="1D4ED43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2">
    <w:nsid w:val="725A06FB"/>
    <w:multiLevelType w:val="hybridMultilevel"/>
    <w:lvl w:ilvl="0">
      <w:lvlJc w:val="left"/>
      <w:lvlText w:val="%1."/>
      <w:numFmt w:val="decimal"/>
      <w:start w:val="11"/>
    </w:lvl>
    <w:lvl w:ilvl="1">
      <w:lvlJc w:val="left"/>
      <w:lvlText w:val="(%2)"/>
      <w:numFmt w:val="lowerLetter"/>
      <w:start w:val="1"/>
    </w:lvl>
  </w:abstractNum>
  <w:abstractNum w:abstractNumId="33">
    <w:nsid w:val="2CD89A32"/>
    <w:multiLevelType w:val="hybridMultilevel"/>
    <w:lvl w:ilvl="0">
      <w:lvlJc w:val="left"/>
      <w:lvlText w:val="(%1)"/>
      <w:numFmt w:val="lowerLetter"/>
      <w:start w:val="2"/>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2"/>
    </w:lvl>
    <w:lvl w:ilvl="1">
      <w:lvlJc w:val="left"/>
      <w:lvlText w:val="(%2)"/>
      <w:numFmt w:val="lowerLetter"/>
      <w:start w:val="1"/>
    </w:lvl>
  </w:abstractNum>
  <w:abstractNum w:abstractNumId="36">
    <w:nsid w:val="4B588F54"/>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37">
    <w:nsid w:val="542289EC"/>
    <w:multiLevelType w:val="hybridMultilevel"/>
    <w:lvl w:ilvl="0">
      <w:lvlJc w:val="left"/>
      <w:lvlText w:val="(%1)"/>
      <w:numFmt w:val="upperLetter"/>
      <w:start w:val="4"/>
    </w:lvl>
  </w:abstractNum>
  <w:abstractNum w:abstractNumId="38">
    <w:nsid w:val="6DE91B18"/>
    <w:multiLevelType w:val="hybridMultilevel"/>
    <w:lvl w:ilvl="0">
      <w:lvlJc w:val="left"/>
      <w:lvlText w:val="(%1)"/>
      <w:numFmt w:val="decimal"/>
      <w:start w:val="3"/>
    </w:lvl>
    <w:lvl w:ilvl="1">
      <w:lvlJc w:val="left"/>
      <w:lvlText w:val="(%2)"/>
      <w:numFmt w:val="upperLetter"/>
      <w:start w:val="1"/>
    </w:lvl>
  </w:abstractNum>
  <w:abstractNum w:abstractNumId="39">
    <w:nsid w:val="38437FDB"/>
    <w:multiLevelType w:val="hybridMultilevel"/>
    <w:lvl w:ilvl="0">
      <w:lvlJc w:val="left"/>
      <w:lvlText w:val="(%1)"/>
      <w:numFmt w:val="upperLetter"/>
      <w:start w:val="4"/>
    </w:lvl>
  </w:abstractNum>
  <w:abstractNum w:abstractNumId="40">
    <w:nsid w:val="7644A45C"/>
    <w:multiLevelType w:val="hybridMultilevel"/>
    <w:lvl w:ilvl="0">
      <w:lvlJc w:val="left"/>
      <w:lvlText w:val="%1."/>
      <w:numFmt w:val="decimal"/>
      <w:start w:val="3"/>
    </w:lvl>
    <w:lvl w:ilvl="1">
      <w:lvlJc w:val="left"/>
      <w:lvlText w:val="(%2)"/>
      <w:numFmt w:val="lowerLetter"/>
      <w:start w:val="1"/>
    </w:lvl>
  </w:abstractNum>
  <w:abstractNum w:abstractNumId="41">
    <w:nsid w:val="32FFF902"/>
    <w:multiLevelType w:val="hybridMultilevel"/>
    <w:lvl w:ilvl="0">
      <w:lvlJc w:val="left"/>
      <w:lvlText w:val="%1."/>
      <w:numFmt w:val="decimal"/>
      <w:start w:val="9"/>
    </w:lvl>
  </w:abstractNum>
  <w:abstractNum w:abstractNumId="42">
    <w:nsid w:val="684A481A"/>
    <w:multiLevelType w:val="hybridMultilevel"/>
    <w:lvl w:ilvl="0">
      <w:lvlJc w:val="left"/>
      <w:lvlText w:val="%1."/>
      <w:numFmt w:val="decimal"/>
      <w:start w:val="11"/>
    </w:lvl>
    <w:lvl w:ilvl="1">
      <w:lvlJc w:val="left"/>
      <w:lvlText w:val="(%2)"/>
      <w:numFmt w:val="lowerLetter"/>
      <w:start w:val="1"/>
    </w:lvl>
  </w:abstractNum>
  <w:abstractNum w:abstractNumId="43">
    <w:nsid w:val="579478FE"/>
    <w:multiLevelType w:val="hybridMultilevel"/>
    <w:lvl w:ilvl="0">
      <w:lvlJc w:val="left"/>
      <w:lvlText w:val="(%1)"/>
      <w:numFmt w:val="lowerLetter"/>
      <w:start w:val="5"/>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2"/>
    </w:lvl>
    <w:lvl w:ilvl="1">
      <w:lvlJc w:val="left"/>
      <w:lvlText w:val="(%2)"/>
      <w:numFmt w:val="lowerLetter"/>
      <w:start w:val="1"/>
    </w:lvl>
  </w:abstractNum>
  <w:abstractNum w:abstractNumId="46">
    <w:nsid w:val="1BA026FA"/>
    <w:multiLevelType w:val="hybridMultilevel"/>
    <w:lvl w:ilvl="0">
      <w:lvlJc w:val="left"/>
      <w:lvlText w:val="(%1)"/>
      <w:numFmt w:val="upperLetter"/>
      <w:start w:val="1"/>
    </w:lvl>
  </w:abstractNum>
  <w:abstractNum w:abstractNumId="47">
    <w:nsid w:val="79A1DEAA"/>
    <w:multiLevelType w:val="hybridMultilevel"/>
    <w:lvl w:ilvl="0">
      <w:lvlJc w:val="left"/>
      <w:lvlText w:val="%1."/>
      <w:numFmt w:val="decimal"/>
      <w:start w:val="3"/>
    </w:lvl>
    <w:lvl w:ilvl="1">
      <w:lvlJc w:val="left"/>
      <w:lvlText w:val="(%2)"/>
      <w:numFmt w:val="lowerLetter"/>
      <w:start w:val="1"/>
    </w:lvl>
  </w:abstractNum>
  <w:abstractNum w:abstractNumId="48">
    <w:nsid w:val="75C6C33A"/>
    <w:multiLevelType w:val="hybridMultilevel"/>
    <w:lvl w:ilvl="0">
      <w:lvlJc w:val="left"/>
      <w:lvlText w:val="%1."/>
      <w:numFmt w:val="decimal"/>
      <w:start w:val="9"/>
    </w:lvl>
  </w:abstractNum>
  <w:abstractNum w:abstractNumId="49">
    <w:nsid w:val="12E685FB"/>
    <w:multiLevelType w:val="hybridMultilevel"/>
    <w:lvl w:ilvl="0">
      <w:lvlJc w:val="left"/>
      <w:lvlText w:val="%1."/>
      <w:numFmt w:val="decimal"/>
      <w:start w:val="10"/>
    </w:lvl>
  </w:abstractNum>
  <w:abstractNum w:abstractNumId="50">
    <w:nsid w:val="70C6A529"/>
    <w:multiLevelType w:val="hybridMultilevel"/>
    <w:lvl w:ilvl="0">
      <w:lvlJc w:val="left"/>
      <w:lvlText w:val="%1."/>
      <w:numFmt w:val="decimal"/>
      <w:start w:val="11"/>
    </w:lvl>
    <w:lvl w:ilvl="1">
      <w:lvlJc w:val="left"/>
      <w:lvlText w:val="(%2)"/>
      <w:numFmt w:val="lowerLetter"/>
      <w:start w:val="1"/>
    </w:lvl>
  </w:abstractNum>
  <w:abstractNum w:abstractNumId="51">
    <w:nsid w:val="520EEDD1"/>
    <w:multiLevelType w:val="hybridMultilevel"/>
    <w:lvl w:ilvl="0">
      <w:lvlJc w:val="left"/>
      <w:lvlText w:val="(%1)"/>
      <w:numFmt w:val="lowerLetter"/>
      <w:start w:val="4"/>
    </w:lvl>
    <w:lvl w:ilvl="1">
      <w:lvlJc w:val="left"/>
      <w:lvlText w:val="(%2)"/>
      <w:numFmt w:val="lowerLetter"/>
      <w:start w:val="5"/>
    </w:lvl>
  </w:abstractNum>
  <w:abstractNum w:abstractNumId="52">
    <w:nsid w:val="374A3FE6"/>
    <w:multiLevelType w:val="hybridMultilevel"/>
    <w:lvl w:ilvl="0">
      <w:lvlJc w:val="left"/>
      <w:lvlText w:val="(%1)"/>
      <w:numFmt w:val="lowerLetter"/>
      <w:start w:val="6"/>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3" Type="http://schemas.openxmlformats.org/officeDocument/2006/relationships/hyperlink" Target="http://www.sec.gov/Archives/edgar/data/313143/000031314318000046/exhibit31-restatedarticles.htm" TargetMode="External"/><Relationship Id="rId14" Type="http://schemas.openxmlformats.org/officeDocument/2006/relationships/hyperlink" Target="http://www.sec.gov/Archives/edgar/data/313143/000031314318000046/exhibit33-byxlawsasamended.htm" TargetMode="External"/><Relationship Id="rId15" Type="http://schemas.openxmlformats.org/officeDocument/2006/relationships/hyperlink" Target="http://www.sec.gov/Archives/edgar/data/313143/000031314318000040/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2019-12-28T20:33:01Z</dcterms:created>
  <dcterms:modified xsi:type="dcterms:W3CDTF">2019-12-28T20:33:01Z</dcterms:modified>
</cp:coreProperties>
</file>