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DArecca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 SUMMER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HAEMONETICS CORP</w:t>
              </w:r>
            </w:hyperlink>
            <w:r>
              <w:rPr/>
              <w:t xml:space="preserve"> [ </w:t>
            </w:r>
            <w:r>
              <w:rPr>
                <w:rFonts w:ascii="Times;serif" w:hAnsi="Times;serif"/>
                <w:color w:val="0000FF"/>
                <w:sz w:val="24"/>
                <w:shd w:fill="FFFFFF" w:val="clear"/>
              </w:rPr>
              <w:t>HAE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2,505</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56.29</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25,132</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29,312</w:t>
            </w:r>
            <w:r>
              <w:rPr>
                <w:rFonts w:ascii="Times;serif" w:hAnsi="Times;serif"/>
                <w:color w:val="008000"/>
                <w:position w:val="7"/>
                <w:sz w:val="16"/>
                <w:sz w:val="20"/>
                <w:shd w:fill="FFFFFF" w:val="clear"/>
              </w:rPr>
              <w:t>(3)</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54,444</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for tax obligations in connection with the vesting of certain restricted stock units ("RSUs") previously reported in Table 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includes unvested RSUs previously reported.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awarded are in the form of RSUs issued pursuant to the Haemonetics Corporation Amended and Restated 2019 Long-Term Incentive Compensation Plan. The RSUs vest in three annual installments with forty percent of the total award vesting on the first anniversary of the date of grant, forty percent vesting on the second anniversary of the date of grant and the remaining twenty percent vesting on the third anniversary of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RSU represents a contingent right to receive one (1) share of the Issuer's common stock when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V. Powers, attorney-in-fact for Mr. D'Arecca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3903" TargetMode="External"/><Relationship Id="rId5" Type="http://schemas.openxmlformats.org/officeDocument/2006/relationships/hyperlink" Target="http://www.sec.gov/cgi-bin/browse-edgar?action=getcompany&amp;CIK=00003131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3764</Characters>
  <CharactersWithSpaces>4393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