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27,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September 27, 2014: 51,336,678</w:t>
      </w:r>
    </w:p>
    <w:p>
      <w:pPr>
        <w:sectPr>
          <w:pgSz w:w="11900" w:h="16838" w:orient="portrait"/>
          <w:cols w:equalWidth="0" w:num="1">
            <w:col w:w="11420"/>
          </w:cols>
          <w:pgMar w:left="240" w:top="225"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Insert Title Here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10360" w:type="dxa"/>
            <w:vAlign w:val="bottom"/>
            <w:gridSpan w:val="18"/>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520"/>
        </w:trPr>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800" w:type="dxa"/>
            <w:vAlign w:val="bottom"/>
            <w:tcBorders>
              <w:top w:val="single" w:sz="8" w:color="0000FF"/>
            </w:tcBorders>
            <w:gridSpan w:val="4"/>
          </w:tcPr>
          <w:p>
            <w:pPr>
              <w:spacing w:after="0"/>
              <w:rPr>
                <w:sz w:val="24"/>
                <w:szCs w:val="24"/>
                <w:color w:val="auto"/>
              </w:rPr>
            </w:pPr>
          </w:p>
        </w:tc>
        <w:tc>
          <w:tcPr>
            <w:tcW w:w="72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0"/>
        </w:trPr>
        <w:tc>
          <w:tcPr>
            <w:tcW w:w="140" w:type="dxa"/>
            <w:vAlign w:val="bottom"/>
          </w:tcPr>
          <w:p>
            <w:pPr>
              <w:spacing w:after="0"/>
              <w:rPr>
                <w:sz w:val="24"/>
                <w:szCs w:val="24"/>
                <w:color w:val="auto"/>
              </w:rPr>
            </w:pPr>
          </w:p>
        </w:tc>
        <w:tc>
          <w:tcPr>
            <w:tcW w:w="10220" w:type="dxa"/>
            <w:vAlign w:val="bottom"/>
            <w:gridSpan w:val="17"/>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Unaudited Consolidated Statements of Income and Comprehensive Income - Three and Six Months Ended September 27, 2014 and</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September 28, 2013</w:t>
              </w:r>
            </w:hyperlink>
          </w:p>
        </w:tc>
        <w:tc>
          <w:tcPr>
            <w:tcW w:w="8020" w:type="dxa"/>
            <w:vAlign w:val="bottom"/>
            <w:tcBorders>
              <w:top w:val="single" w:sz="8" w:color="0000EE"/>
            </w:tcBorders>
            <w:gridSpan w:val="13"/>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140" w:type="dxa"/>
            <w:vAlign w:val="bottom"/>
          </w:tcPr>
          <w:p>
            <w:pPr>
              <w:spacing w:after="0"/>
              <w:rPr>
                <w:sz w:val="21"/>
                <w:szCs w:val="21"/>
                <w:color w:val="auto"/>
              </w:rPr>
            </w:pPr>
          </w:p>
        </w:tc>
        <w:tc>
          <w:tcPr>
            <w:tcW w:w="102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 - September 27, 2014 and Audited Consolidated Balance Sheet - March 29, 2014</w:t>
              </w:r>
            </w:hyperlink>
          </w:p>
        </w:tc>
        <w:tc>
          <w:tcPr>
            <w:tcW w:w="600" w:type="dxa"/>
            <w:vAlign w:val="bottom"/>
            <w:gridSpan w:val="2"/>
          </w:tcPr>
          <w:p>
            <w:pPr>
              <w:jc w:val="center"/>
              <w:ind w:left="33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8680" w:type="dxa"/>
            <w:vAlign w:val="bottom"/>
            <w:tcBorders>
              <w:top w:val="single" w:sz="8" w:color="0000EE"/>
            </w:tcBorders>
            <w:gridSpan w:val="1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Consolidated Statements of Cash Flows - Six Months Ended September 27, 2014 and September 28, 2013</w:t>
              </w:r>
            </w:hyperlink>
          </w:p>
        </w:tc>
        <w:tc>
          <w:tcPr>
            <w:tcW w:w="154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2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3940" w:type="dxa"/>
            <w:vAlign w:val="bottom"/>
            <w:tcBorders>
              <w:top w:val="single" w:sz="8" w:color="0000EE"/>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4480" w:type="dxa"/>
            <w:vAlign w:val="bottom"/>
            <w:tcBorders>
              <w:top w:val="single" w:sz="8" w:color="0000EE"/>
            </w:tcBorders>
            <w:gridSpan w:val="3"/>
          </w:tcPr>
          <w:p>
            <w:pPr>
              <w:spacing w:after="0"/>
              <w:rPr>
                <w:sz w:val="21"/>
                <w:szCs w:val="21"/>
                <w:color w:val="auto"/>
              </w:rPr>
            </w:pPr>
          </w:p>
        </w:tc>
        <w:tc>
          <w:tcPr>
            <w:tcW w:w="180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20" w:type="dxa"/>
            <w:vAlign w:val="bottom"/>
          </w:tcPr>
          <w:p>
            <w:pPr>
              <w:spacing w:after="0"/>
              <w:rPr>
                <w:sz w:val="21"/>
                <w:szCs w:val="2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w w:val="90"/>
              </w:rPr>
            </w:pPr>
            <w:hyperlink w:anchor="page18">
              <w:r>
                <w:rPr>
                  <w:rFonts w:ascii="Arial" w:cs="Arial" w:eastAsia="Arial" w:hAnsi="Arial"/>
                  <w:sz w:val="18"/>
                  <w:szCs w:val="18"/>
                  <w:b w:val="1"/>
                  <w:bCs w:val="1"/>
                  <w:color w:val="0000FF"/>
                  <w:w w:val="90"/>
                </w:rPr>
                <w:t>ITEM 2. Management's Discussion and Analysis of Financial Condition and Results of Operations</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80" w:type="dxa"/>
            <w:vAlign w:val="bottom"/>
            <w:tcBorders>
              <w:left w:val="single" w:sz="8" w:color="0000FF"/>
            </w:tcBorders>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7540" w:type="dxa"/>
            <w:vAlign w:val="bottom"/>
            <w:gridSpan w:val="14"/>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Quantitative and Qualitative Disclosures about Market Risk</w:t>
              </w:r>
            </w:hyperlink>
          </w:p>
        </w:tc>
        <w:tc>
          <w:tcPr>
            <w:tcW w:w="2820" w:type="dxa"/>
            <w:vAlign w:val="bottom"/>
            <w:gridSpan w:val="4"/>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4"/>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760" w:type="dxa"/>
            <w:vAlign w:val="bottom"/>
            <w:gridSpan w:val="10"/>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8"/>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100" w:type="dxa"/>
            <w:vAlign w:val="bottom"/>
            <w:gridSpan w:val="6"/>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2"/>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3120" w:type="dxa"/>
            <w:vAlign w:val="bottom"/>
            <w:gridSpan w:val="11"/>
          </w:tcPr>
          <w:p>
            <w:pPr>
              <w:spacing w:after="0"/>
              <w:rPr>
                <w:rFonts w:ascii="Arial" w:cs="Arial" w:eastAsia="Arial" w:hAnsi="Arial"/>
                <w:sz w:val="18"/>
                <w:szCs w:val="18"/>
                <w:b w:val="1"/>
                <w:bCs w:val="1"/>
                <w:color w:val="0000FF"/>
                <w:w w:val="90"/>
              </w:rPr>
            </w:pPr>
            <w:hyperlink w:anchor="page31">
              <w:r>
                <w:rPr>
                  <w:rFonts w:ascii="Arial" w:cs="Arial" w:eastAsia="Arial" w:hAnsi="Arial"/>
                  <w:sz w:val="18"/>
                  <w:szCs w:val="18"/>
                  <w:b w:val="1"/>
                  <w:bCs w:val="1"/>
                  <w:color w:val="0000FF"/>
                  <w:w w:val="90"/>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540" w:type="dxa"/>
            <w:vAlign w:val="bottom"/>
            <w:gridSpan w:val="8"/>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4. Mine Safety Disclosures</w:t>
              </w:r>
            </w:hyperlink>
          </w:p>
        </w:tc>
        <w:tc>
          <w:tcPr>
            <w:tcW w:w="580" w:type="dxa"/>
            <w:vAlign w:val="bottom"/>
            <w:gridSpan w:val="3"/>
          </w:tcPr>
          <w:p>
            <w:pPr>
              <w:spacing w:after="0"/>
              <w:rPr>
                <w:sz w:val="24"/>
                <w:szCs w:val="24"/>
                <w:color w:val="auto"/>
              </w:rPr>
            </w:pPr>
          </w:p>
        </w:tc>
        <w:tc>
          <w:tcPr>
            <w:tcW w:w="7240" w:type="dxa"/>
            <w:vAlign w:val="bottom"/>
            <w:gridSpan w:val="7"/>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0360" w:type="dxa"/>
            <w:vAlign w:val="bottom"/>
            <w:gridSpan w:val="18"/>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2620" w:type="dxa"/>
            <w:vAlign w:val="bottom"/>
            <w:gridSpan w:val="9"/>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ITEM 6. Exhibits</w:t>
              </w:r>
            </w:hyperlink>
          </w:p>
        </w:tc>
        <w:tc>
          <w:tcPr>
            <w:tcW w:w="7740" w:type="dxa"/>
            <w:vAlign w:val="bottom"/>
            <w:gridSpan w:val="9"/>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420" w:type="dxa"/>
            <w:vAlign w:val="bottom"/>
          </w:tcPr>
          <w:p>
            <w:pPr>
              <w:spacing w:after="0"/>
              <w:rPr>
                <w:sz w:val="24"/>
                <w:szCs w:val="24"/>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5"/>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520"/>
        </w:trPr>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9020" w:type="dxa"/>
            <w:vAlign w:val="bottom"/>
            <w:gridSpan w:val="15"/>
          </w:tcPr>
          <w:p>
            <w:pPr>
              <w:spacing w:after="0"/>
              <w:rPr>
                <w:sz w:val="24"/>
                <w:szCs w:val="24"/>
                <w:color w:val="auto"/>
              </w:rPr>
            </w:pPr>
          </w:p>
        </w:tc>
        <w:tc>
          <w:tcPr>
            <w:tcW w:w="600" w:type="dxa"/>
            <w:vAlign w:val="bottom"/>
            <w:gridSpan w:val="2"/>
          </w:tcPr>
          <w:p>
            <w:pPr>
              <w:jc w:val="center"/>
              <w:ind w:left="33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91"/>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0"/>
        </w:trPr>
        <w:tc>
          <w:tcPr>
            <w:tcW w:w="10360" w:type="dxa"/>
            <w:vAlign w:val="bottom"/>
            <w:gridSpan w:val="18"/>
          </w:tcPr>
          <w:p>
            <w:pPr>
              <w:ind w:left="20"/>
              <w:spacing w:after="0"/>
              <w:rPr>
                <w:sz w:val="20"/>
                <w:szCs w:val="20"/>
                <w:color w:val="auto"/>
              </w:rPr>
            </w:pPr>
            <w:r>
              <w:rPr>
                <w:rFonts w:ascii="Arial" w:cs="Arial" w:eastAsia="Arial" w:hAnsi="Arial"/>
                <w:sz w:val="18"/>
                <w:szCs w:val="18"/>
                <w:color w:val="auto"/>
              </w:rPr>
              <w:t>EX-31.2</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8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3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28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4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455,297</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119,466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115,871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237,676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224,002</w:t>
            </w: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231,295</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84,769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81,508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177,331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188,318</w:t>
            </w:r>
          </w:p>
        </w:tc>
      </w:tr>
      <w:tr>
        <w:trPr>
          <w:trHeight w:val="27"/>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95,707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203,650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214,473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16,822</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(5,183)</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11,639</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2,965</w:t>
            </w: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7,487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16,548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3,839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8,674</w:t>
            </w:r>
          </w:p>
        </w:tc>
      </w:tr>
      <w:tr>
        <w:trPr>
          <w:trHeight w:val="311"/>
        </w:trPr>
        <w:tc>
          <w:tcPr>
            <w:tcW w:w="4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0.17</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r>
      <w:tr>
        <w:trPr>
          <w:trHeight w:val="324"/>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51,391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51,492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51,360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52,361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52,200</w:t>
            </w:r>
          </w:p>
        </w:tc>
      </w:tr>
      <w:tr>
        <w:trPr>
          <w:trHeight w:val="324"/>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7,174</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4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27,</w:t>
            </w:r>
          </w:p>
        </w:tc>
        <w:tc>
          <w:tcPr>
            <w:tcW w:w="28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(Unaudited)</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129,971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192,469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 less allowance of $2,067 at September 27, 2014 and $1,676 at March 29, 2014</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151,055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164,603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197,661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14,149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14,144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52,366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54,099</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556,959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622,976</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311,999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271,437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w w:val="94"/>
              </w:rPr>
              <w:t>Intangible assets, less accumulated amortization of $117,770 at September 27, 2014 and $101,694 at March 29, 2014</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257,544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271,159</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336,301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336,768</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1,184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10,654</w:t>
            </w:r>
          </w:p>
        </w:tc>
      </w:tr>
      <w:tr>
        <w:trPr>
          <w:trHeight w:val="284"/>
        </w:trPr>
        <w:tc>
          <w:tcPr>
            <w:tcW w:w="8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1,474,545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1,514,178</w:t>
            </w:r>
          </w:p>
        </w:tc>
      </w:tr>
      <w:tr>
        <w:trPr>
          <w:trHeight w:val="22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45,630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44,173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53,562</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54,913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3,113</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59,710</w:t>
            </w:r>
          </w:p>
        </w:tc>
      </w:tr>
      <w:tr>
        <w:trPr>
          <w:trHeight w:val="217"/>
        </w:trPr>
        <w:tc>
          <w:tcPr>
            <w:tcW w:w="812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165,056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216,928</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428,253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392,057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deferred tax liability</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26,911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29,664</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37,641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$0.01 par value; Authorized — 150,000,000 shares; Issued and outstanding — 51,336,678 shares at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September 27, 2014 and 52,041,189 shares at March 29, 2014</w:t>
            </w:r>
          </w:p>
        </w:tc>
        <w:tc>
          <w:tcPr>
            <w:tcW w:w="2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408,940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402,611</w:t>
            </w: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433,347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0"/>
                <w:szCs w:val="20"/>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1,410</w:t>
            </w:r>
          </w:p>
        </w:tc>
      </w:tr>
      <w:tr>
        <w:trPr>
          <w:trHeight w:val="33"/>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820,718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837,888</w:t>
            </w:r>
          </w:p>
        </w:tc>
      </w:tr>
      <w:tr>
        <w:trPr>
          <w:trHeight w:val="244"/>
        </w:trPr>
        <w:tc>
          <w:tcPr>
            <w:tcW w:w="812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4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1,474,545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1,514,178</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3"/>
                <w:szCs w:val="13"/>
                <w:color w:val="auto"/>
              </w:rPr>
            </w:pPr>
          </w:p>
        </w:tc>
        <w:tc>
          <w:tcPr>
            <w:tcW w:w="136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September 28,</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Non-cash items: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Amortization of financing costs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Purchase of in-process R&amp;D</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loss from hedging activities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Asset write-down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 in accounts receivable,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10,145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(19,338)</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Increase in prepaid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(Decrease)/Increase in other assets and 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Increase/(Decrease) in accounts payable and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42,762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(28,202)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 of Hemerus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acquisitions and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(8,707)</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in short-term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Repayment of term loan borrowings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8,117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Share repurchases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192,469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179,120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129,971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159,148</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inventory to fixed assets for placement of Haemonetics equipment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120" w:type="dxa"/>
            <w:vAlign w:val="bottom"/>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3,666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intercompany transactions have been eliminated. Operating results for the six months ended are not necessarily indicative of the results that may be expected for the full fiscal year ending March 28, 2015, or any other interim period. These unaudited consolidated financial statements should be read in conjunction with our audited consolidated financial statements and footnotes included in our annual report on Form 10-K for the fiscal year ended March 29, 2014.</w:t>
      </w:r>
    </w:p>
    <w:p>
      <w:pPr>
        <w:spacing w:after="0" w:line="17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We consider events or transactions that occur after the balance sheet date but prior to the issuance of the financial statements to provide additional evidence relative to certain estimates or to identify matters that require additional disclosure. We had no significant subsequent events.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2015 and 2014 include 52 weeks with each quarter having 13 weeks.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22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 prospectively for reporting periods beginning on or after December 15, 2014, with early adoption permitted. Management does not believe that the adoption of ASU 2014-08 will have a material effect on our Financial Statements.</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will be effective for the Company retrospectively beginning April 2, 2017, with early adoption not permitted. The impact on our Financial Statements of adopting ASU 2014-09 is being assessed by management.</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June 2014, the FASB issued Accounting Standards Update No. 2014-12, Accounting for Share-Based Payments When the Terms of an Award Provide That a Performance Target Could Be Achieved after the Requisite Service Period ("ASU 2014-12"). ASU 2014-12 requires that a performance target that affects vesting and could be achieved after the requisite service period be treated as a performance condition. A reporting entity should apply existing guidance in ASC 718, Compensation—Stock Compensation, as it relates to such awards. ASU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2014-12 as an adjustment to the opening retained earnings balance as of the beginning of the earliest annual period presented in the financial statements. Management does not believe that the adoption of ASU 2014-08 will have a material effect on our Financial Statements.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August 2014, the FASB issued ASU 2014-15, Presentation of Financial Statements-Going Concern (Subtopic 205-40): Disclosure of Uncertainties about an Entity’s Ability to Continue as a Going Concern. ("ASU 2014-15") ASU 2014-15 defines management's responsibility to assess an entity's ability to continue as a going concern, and to provide related footnote disclosures in certain circumstances. This guidance will be effective for all entities in the first annual period ending after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6" w:name="page7"/>
    <w:bookmarkEnd w:id="6"/>
    <w:p>
      <w:pPr>
        <w:ind w:right="100"/>
        <w:spacing w:after="0" w:line="277" w:lineRule="auto"/>
        <w:rPr>
          <w:sz w:val="20"/>
          <w:szCs w:val="20"/>
          <w:color w:val="auto"/>
        </w:rPr>
      </w:pPr>
      <w:r>
        <w:rPr>
          <w:rFonts w:ascii="Arial" w:cs="Arial" w:eastAsia="Arial" w:hAnsi="Arial"/>
          <w:sz w:val="18"/>
          <w:szCs w:val="18"/>
          <w:color w:val="auto"/>
        </w:rPr>
        <w:t>December 15, 2016; however, early adoption is permitted. Management does not believe that the adoption of ASU 2014-15 will have a material effect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16,548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51,492</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0.15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0.32</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16,548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51,492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869</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52,361</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0.32</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602"/>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8,674</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51,360</w:t>
            </w:r>
          </w:p>
        </w:tc>
      </w:tr>
      <w:tr>
        <w:trPr>
          <w:trHeight w:val="297"/>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Basic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0.07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0.17</w:t>
            </w:r>
          </w:p>
        </w:tc>
      </w:tr>
      <w:tr>
        <w:trPr>
          <w:trHeight w:val="23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8,674</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51,360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840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52,200</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income per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0.07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0.17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1.6 million shares for the three and six months ended September 27, 2014, and a negligible number and 0.8 million shares for the three and six months ended September 28, 2013, respectively, because these securities were anti-dilutive during the noted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Stock-based compensation expense of $6.9 million and $6.4 million was recognized for the six months ended September 27, 2014 and September 28, 2013, respectively. The related income tax benefit recognized was $2.2 million and $2.1 million for the six months ended September 27, 2014 and September 28, 2013,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ind w:right="620"/>
        <w:spacing w:after="0" w:line="308" w:lineRule="auto"/>
        <w:rPr>
          <w:sz w:val="20"/>
          <w:szCs w:val="20"/>
          <w:color w:val="auto"/>
        </w:rPr>
      </w:pPr>
      <w:r>
        <w:rPr>
          <w:rFonts w:ascii="Arial" w:cs="Arial" w:eastAsia="Arial" w:hAnsi="Arial"/>
          <w:sz w:val="17"/>
          <w:szCs w:val="17"/>
          <w:color w:val="auto"/>
        </w:rPr>
        <w:t>The weighted average fair value for our options granted was $8.08 and $10.98 for the six months ended September 27, 2014 and September 28, 2013, respectively. The assumptions utilized for estimating the fair value of option grants during the periods presented are as follows:</w:t>
      </w:r>
    </w:p>
    <w:p>
      <w:pPr>
        <w:spacing w:after="0" w:line="152"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23495</wp:posOffset>
            </wp:positionV>
            <wp:extent cx="2178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ind w:left="380"/>
              <w:spacing w:after="0"/>
              <w:rPr>
                <w:sz w:val="20"/>
                <w:szCs w:val="20"/>
                <w:color w:val="auto"/>
              </w:rPr>
            </w:pPr>
            <w:r>
              <w:rPr>
                <w:rFonts w:ascii="Arial" w:cs="Arial" w:eastAsia="Arial" w:hAnsi="Arial"/>
                <w:sz w:val="14"/>
                <w:szCs w:val="14"/>
                <w:b w:val="1"/>
                <w:bCs w:val="1"/>
                <w:color w:val="auto"/>
              </w:rPr>
              <w:t>September 27,</w:t>
            </w:r>
          </w:p>
        </w:tc>
        <w:tc>
          <w:tcPr>
            <w:tcW w:w="1660" w:type="dxa"/>
            <w:vAlign w:val="bottom"/>
          </w:tcPr>
          <w:p>
            <w:pPr>
              <w:jc w:val="right"/>
              <w:ind w:right="336"/>
              <w:spacing w:after="0"/>
              <w:rPr>
                <w:sz w:val="20"/>
                <w:szCs w:val="20"/>
                <w:color w:val="auto"/>
              </w:rPr>
            </w:pPr>
            <w:r>
              <w:rPr>
                <w:rFonts w:ascii="Arial" w:cs="Arial" w:eastAsia="Arial" w:hAnsi="Arial"/>
                <w:sz w:val="14"/>
                <w:szCs w:val="14"/>
                <w:b w:val="1"/>
                <w:bCs w:val="1"/>
                <w:color w:val="auto"/>
              </w:rPr>
              <w:t>September 28,</w:t>
            </w:r>
          </w:p>
        </w:tc>
      </w:tr>
      <w:tr>
        <w:trPr>
          <w:trHeight w:val="192"/>
        </w:trPr>
        <w:tc>
          <w:tcPr>
            <w:tcW w:w="7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2013</w:t>
            </w:r>
          </w:p>
        </w:tc>
      </w:tr>
      <w:tr>
        <w:trPr>
          <w:trHeight w:val="250"/>
        </w:trPr>
        <w:tc>
          <w:tcPr>
            <w:tcW w:w="7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Volatility</w:t>
            </w:r>
          </w:p>
        </w:tc>
        <w:tc>
          <w:tcPr>
            <w:tcW w:w="1680" w:type="dxa"/>
            <w:vAlign w:val="bottom"/>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25.49%</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w:t>
            </w:r>
          </w:p>
        </w:tc>
      </w:tr>
      <w:tr>
        <w:trPr>
          <w:trHeight w:val="243"/>
        </w:trPr>
        <w:tc>
          <w:tcPr>
            <w:tcW w:w="7980" w:type="dxa"/>
            <w:vAlign w:val="bottom"/>
            <w:gridSpan w:val="2"/>
          </w:tcPr>
          <w:p>
            <w:pPr>
              <w:ind w:left="180"/>
              <w:spacing w:after="0"/>
              <w:rPr>
                <w:sz w:val="20"/>
                <w:szCs w:val="20"/>
                <w:color w:val="auto"/>
              </w:rPr>
            </w:pPr>
            <w:r>
              <w:rPr>
                <w:rFonts w:ascii="Arial" w:cs="Arial" w:eastAsia="Arial" w:hAnsi="Arial"/>
                <w:sz w:val="18"/>
                <w:szCs w:val="18"/>
                <w:color w:val="auto"/>
              </w:rPr>
              <w:t>Risk-free interest rate</w:t>
            </w:r>
          </w:p>
        </w:tc>
        <w:tc>
          <w:tcPr>
            <w:tcW w:w="16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
        </w:trPr>
        <w:tc>
          <w:tcPr>
            <w:tcW w:w="7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43"/>
        </w:trPr>
        <w:tc>
          <w:tcPr>
            <w:tcW w:w="7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As of September 27, 2014, there was $22.5 million of total unrecognized compensation cost related to non-vested equity based compensation, including stock options, restricted stock units and markets stock units. This cost is expected to be recognized over a weighted average period of 2.18 years.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six months ended September 27, 2014 and September 28, 2013, there were 97,415 and 81,465 shares, respectively, purchased under the Employee Stock Purchase Plan at an average price of $25.85 and $32.73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PRODUCT WARRANTIES</w:t>
      </w:r>
    </w:p>
    <w:p>
      <w:pPr>
        <w:spacing w:after="0" w:line="229"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76"/>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240" w:type="dxa"/>
            <w:vAlign w:val="bottom"/>
          </w:tcPr>
          <w:p>
            <w:pPr>
              <w:spacing w:after="0"/>
              <w:rPr>
                <w:sz w:val="13"/>
                <w:szCs w:val="13"/>
                <w:color w:val="auto"/>
              </w:rPr>
            </w:pPr>
          </w:p>
        </w:tc>
        <w:tc>
          <w:tcPr>
            <w:tcW w:w="136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September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673</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21"/>
                <w:szCs w:val="21"/>
                <w:color w:val="auto"/>
              </w:rPr>
            </w:pPr>
          </w:p>
        </w:tc>
        <w:tc>
          <w:tcPr>
            <w:tcW w:w="1360" w:type="dxa"/>
            <w:vAlign w:val="bottom"/>
          </w:tcPr>
          <w:p>
            <w:pPr>
              <w:jc w:val="right"/>
              <w:ind w:right="18"/>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775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572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725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w:t>
            </w:r>
          </w:p>
        </w:tc>
        <w:tc>
          <w:tcPr>
            <w:tcW w:w="300" w:type="dxa"/>
            <w:vAlign w:val="bottom"/>
          </w:tcPr>
          <w:p>
            <w:pPr>
              <w:spacing w:after="0"/>
              <w:rPr>
                <w:sz w:val="14"/>
                <w:szCs w:val="14"/>
                <w:color w:val="auto"/>
              </w:rPr>
            </w:pPr>
          </w:p>
        </w:tc>
        <w:tc>
          <w:tcPr>
            <w:tcW w:w="1300" w:type="dxa"/>
            <w:vAlign w:val="bottom"/>
          </w:tcPr>
          <w:p>
            <w:pPr>
              <w:jc w:val="right"/>
              <w:ind w:right="41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72,508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6,789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7,383</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127,149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117,770</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209,418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197,661</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FAIR VALUE MEASUREMENTS</w:t>
      </w:r>
    </w:p>
    <w:p>
      <w:pPr>
        <w:spacing w:after="0" w:line="229" w:lineRule="exact"/>
        <w:rPr>
          <w:sz w:val="20"/>
          <w:szCs w:val="20"/>
          <w:color w:val="auto"/>
        </w:rPr>
      </w:pPr>
    </w:p>
    <w:p>
      <w:pPr>
        <w:jc w:val="both"/>
        <w:ind w:right="420"/>
        <w:spacing w:after="0" w:line="342" w:lineRule="auto"/>
        <w:rPr>
          <w:sz w:val="20"/>
          <w:szCs w:val="20"/>
          <w:color w:val="auto"/>
        </w:rPr>
      </w:pPr>
      <w:r>
        <w:rPr>
          <w:rFonts w:ascii="Arial" w:cs="Arial" w:eastAsia="Arial" w:hAnsi="Arial"/>
          <w:sz w:val="16"/>
          <w:szCs w:val="16"/>
          <w:color w:val="auto"/>
        </w:rPr>
        <w:t>We manufacture, market and sell our products globally. For the six months ended September 27, 2014, approximately 45.8% of our sales were generated outside the US, generally in local currencies. We also incur certain manufacturing, marketing and selling costs in international markets in local currency.</w:t>
      </w:r>
    </w:p>
    <w:p>
      <w:pPr>
        <w:spacing w:after="0" w:line="12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Japanese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ind w:right="300"/>
        <w:spacing w:after="0" w:line="264" w:lineRule="auto"/>
        <w:rPr>
          <w:sz w:val="20"/>
          <w:szCs w:val="20"/>
          <w:color w:val="auto"/>
        </w:rPr>
      </w:pPr>
      <w:r>
        <w:rPr>
          <w:rFonts w:ascii="Arial" w:cs="Arial" w:eastAsia="Arial" w:hAnsi="Arial"/>
          <w:sz w:val="18"/>
          <w:szCs w:val="18"/>
          <w:color w:val="auto"/>
        </w:rPr>
        <w:t>Yen and Euro, and to a lesser extent Swiss Francs, British Pounds, Australian Dollars, Canadian Dollars and Mexican Pesos. This does not eliminate the impact of the volatility of foreign exchange rates, but because we generally enter into forward contracts one year out, rates are fixed for a one-year period, thereby facilitating financial planning and resource allocation.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Designated Foreign Currency Hedge Contracts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All of our designated foreign currency hedge contracts as of September 27, 2014 and March 29, 2014 were cash flow hedges under ASC 815, </w:t>
      </w:r>
      <w:r>
        <w:rPr>
          <w:rFonts w:ascii="Arial" w:cs="Arial" w:eastAsia="Arial" w:hAnsi="Arial"/>
          <w:sz w:val="16"/>
          <w:szCs w:val="16"/>
          <w:i w:val="1"/>
          <w:iCs w:val="1"/>
          <w:color w:val="auto"/>
        </w:rPr>
        <w:t>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w:t>
      </w:r>
      <w:r>
        <w:rPr>
          <w:rFonts w:ascii="Arial" w:cs="Arial" w:eastAsia="Arial" w:hAnsi="Arial"/>
          <w:sz w:val="16"/>
          <w:szCs w:val="16"/>
          <w:color w:val="auto"/>
        </w:rPr>
        <w:t>. We record the effective portion of any change in the fair value of designated foreign currency hedge contracts in Other Comprehensive Income until</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$145.2 million as of September 27, 2014 and $157.9 million as of March 29, 2014.</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During the six months ended September 27, 2014, we recognized net gains of $1.6 million in earnings on our cash flow hedges, compared to recognized net gains of $1.7 million during the six months ended September 28, 2013. For the six months ended September 27, 2014, a $4.4 million gain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gain of $1.7 million, net of tax, for the six months ended September 28, 2013. At September 27, 2014, gains of $4.4 million, net of tax, may be reclassified to earnings within the next twelve months. All currency cash flow hedges outstanding as of September 27, 2014 mature within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Non-Designated Foreign Currency Contracts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We had non-designated foreign currency hedge contracts under ASC 815 outstanding in the contract amount of $63.0 million as of September 27, 2014 and $72.9 million as of March 29,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1, 2012, we entered into a credit agreement which provided for a $475.0 million term loan (“Credit Agreement”). Under the terms of this Credit Agreement, we may borrow at a spread to an index, including the LIBOR index of 1-month, 3-months, 6-months, etc. From the date of the Credit Agreement, we have chosen to borrow against the 1-month USD-LIBOR-BBA rounded up, if necessary, to the nearest 1/16th of 1% (“Adjusted LIBOR”). The terms of the Credit Agreement also allow us to borrow in multiple tranches. As of September 27, 2014, we had three tranches outstanding, each based on Adjusted LIBOR. On June 30, 2014, we modified our Credit Agreement by extending the maturity date to July 1, 2019. Extending the principal repayments of the Term Loan, and modifying certain restrictive covenants to allow greater operational flexibility and enhanced near term liquidity. The interest rates and LIBOR spreads remained the same in the modified Credit Agreement.</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We formally document our hedge relationships (including identifying the hedged instrument and hedged item) at hedge inception to ensure that our interest rate swaps qualify for hedge accounting.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21, 2012, we entered into two interest rate swap agreements (the "Swaps"), whereby we receive Adjusted LIBOR and pay an average fixed rate of 0.68% on a total notional amount of $250.0 million of debt. The Swaps mature on August 1, 2017. We designated the Swaps as cash flow hedges of variable interest rate risk associated with $250.0 million of indebtedness. For the six months ended September 27, 2014, a loss of $0.1 million, net of tax, was recorded in Accumulated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Other Comprehensive Income to recognize the effective portion of the fair value of interest rate swaps that qualify as cash flow hedges.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229"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following table presents the effect of our derivative instruments designated as cash flow hedges and those not designated as hedging instruments under ASC 815 in our consolidated statements of income and comprehensive income for the six months ended September 27, 2014.</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Amount of</w:t>
            </w:r>
          </w:p>
        </w:tc>
        <w:tc>
          <w:tcPr>
            <w:tcW w:w="12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Amount of Gain/(Loss)</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Location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Amount of</w:t>
            </w: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7"/>
              </w:rPr>
              <w:t>Location in</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3"/>
              </w:rPr>
              <w:t>Gain/(Loss)</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5"/>
              </w:rPr>
              <w:t>Reclassified</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Gain/(Loss)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 of</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Consolidated Statements of</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1"/>
              </w:rPr>
              <w:t>Recognized</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6"/>
              </w:rPr>
              <w:t>Excluded from</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2"/>
              </w:rPr>
              <w:t>Income and Comprehensive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Income and Comprehensive</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rPr>
              <w:t>in AOCI</w:t>
            </w:r>
          </w:p>
        </w:tc>
        <w:tc>
          <w:tcPr>
            <w:tcW w:w="120" w:type="dxa"/>
            <w:vAlign w:val="bottom"/>
          </w:tcPr>
          <w:p>
            <w:pPr>
              <w:spacing w:after="0"/>
              <w:rPr>
                <w:sz w:val="5"/>
                <w:szCs w:val="5"/>
                <w:color w:val="auto"/>
              </w:rPr>
            </w:pPr>
          </w:p>
        </w:tc>
        <w:tc>
          <w:tcPr>
            <w:tcW w:w="15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Effectiveness</w:t>
            </w: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Income</w:t>
            </w:r>
          </w:p>
        </w:tc>
        <w:tc>
          <w:tcPr>
            <w:tcW w:w="1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01"/>
        </w:trPr>
        <w:tc>
          <w:tcPr>
            <w:tcW w:w="2520" w:type="dxa"/>
            <w:vAlign w:val="bottom"/>
            <w:vMerge w:val="restart"/>
          </w:tcPr>
          <w:p>
            <w:pPr>
              <w:ind w:left="40"/>
              <w:spacing w:after="0"/>
              <w:rPr>
                <w:sz w:val="20"/>
                <w:szCs w:val="20"/>
                <w:color w:val="auto"/>
              </w:rPr>
            </w:pPr>
            <w:r>
              <w:rPr>
                <w:rFonts w:ascii="Arial" w:cs="Arial" w:eastAsia="Arial" w:hAnsi="Arial"/>
                <w:sz w:val="14"/>
                <w:szCs w:val="14"/>
                <w:color w:val="auto"/>
              </w:rPr>
              <w:t>Derivative Instruments</w:t>
            </w:r>
          </w:p>
        </w:tc>
        <w:tc>
          <w:tcPr>
            <w:tcW w:w="1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vMerge w:val="restart"/>
          </w:tcPr>
          <w:p>
            <w:pPr>
              <w:jc w:val="center"/>
              <w:ind w:right="12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center"/>
              <w:ind w:right="41"/>
              <w:spacing w:after="0"/>
              <w:rPr>
                <w:sz w:val="20"/>
                <w:szCs w:val="20"/>
                <w:color w:val="auto"/>
              </w:rPr>
            </w:pPr>
            <w:r>
              <w:rPr>
                <w:rFonts w:ascii="Arial" w:cs="Arial" w:eastAsia="Arial" w:hAnsi="Arial"/>
                <w:sz w:val="14"/>
                <w:szCs w:val="14"/>
                <w:color w:val="auto"/>
                <w:w w:val="97"/>
              </w:rPr>
              <w:t>(Effective Portion)</w:t>
            </w:r>
          </w:p>
        </w:tc>
        <w:tc>
          <w:tcPr>
            <w:tcW w:w="100" w:type="dxa"/>
            <w:vAlign w:val="bottom"/>
            <w:vMerge w:val="restart"/>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color w:val="auto"/>
                <w:w w:val="97"/>
              </w:rPr>
              <w:t>Testing *</w:t>
            </w:r>
          </w:p>
        </w:tc>
        <w:tc>
          <w:tcPr>
            <w:tcW w:w="120" w:type="dxa"/>
            <w:vAlign w:val="bottom"/>
            <w:vMerge w:val="restart"/>
          </w:tcPr>
          <w:p>
            <w:pPr>
              <w:spacing w:after="0"/>
              <w:rPr>
                <w:sz w:val="8"/>
                <w:szCs w:val="8"/>
                <w:color w:val="auto"/>
              </w:rPr>
            </w:pPr>
          </w:p>
        </w:tc>
        <w:tc>
          <w:tcPr>
            <w:tcW w:w="1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2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Net revenues, COGS, and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hedge 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w w:val="98"/>
              </w:rPr>
              <w:t>Non-designated foreign currency</w:t>
            </w: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Interest and other</w:t>
            </w: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hedge contracts</w:t>
            </w:r>
          </w:p>
        </w:tc>
        <w:tc>
          <w:tcPr>
            <w:tcW w:w="20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2,680</w:t>
            </w:r>
          </w:p>
        </w:tc>
        <w:tc>
          <w:tcPr>
            <w:tcW w:w="12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and other</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of tax</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September 27, 2014 or March 29, 2014.</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27, 2014, the amount recognized as a deferred tax asset for designated foreign currency hedges was $0.4 million and the amount recognized as a deferred tax liability for interest rate swap hedges was $0.4 million.</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ASC 815 requires all derivative instruments to be recognized at their fair values as either assets or liabilities on the balance sheet. We determine the fair value of our derivative instruments using the framework prescribed by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27, 2014, we have classified our derivative assets and liabilities within Level 2 of the fair value hierarchy prescribed by ASC 815, as discussed below, because these observable inputs are available for substantially the full term of our derivative instruments.</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September 27, 2014 by type of contract and whether it is a qualifying hedge under ASC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Location in</w:t>
            </w:r>
          </w:p>
        </w:tc>
        <w:tc>
          <w:tcPr>
            <w:tcW w:w="160" w:type="dxa"/>
            <w:vAlign w:val="bottom"/>
          </w:tcPr>
          <w:p>
            <w:pPr>
              <w:spacing w:after="0"/>
              <w:rPr>
                <w:sz w:val="14"/>
                <w:szCs w:val="14"/>
                <w:color w:val="auto"/>
              </w:rPr>
            </w:pPr>
          </w:p>
        </w:tc>
        <w:tc>
          <w:tcPr>
            <w:tcW w:w="14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3"/>
              </w:rPr>
              <w:t>September 27, 2014</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March 29, 2014</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swaps</w:t>
            </w:r>
          </w:p>
        </w:tc>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6,149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3,824</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62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1,255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in accordance with US GAAP, and expands disclosures about fair value measurements. ASC 820 does not require any new fair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ind w:right="40"/>
        <w:spacing w:after="0" w:line="259" w:lineRule="auto"/>
        <w:rPr>
          <w:sz w:val="20"/>
          <w:szCs w:val="20"/>
          <w:color w:val="auto"/>
        </w:rPr>
      </w:pPr>
      <w:r>
        <w:rPr>
          <w:rFonts w:ascii="Arial" w:cs="Arial" w:eastAsia="Arial" w:hAnsi="Arial"/>
          <w:sz w:val="18"/>
          <w:szCs w:val="18"/>
          <w:color w:val="auto"/>
        </w:rPr>
        <w:t>value measurements; rather, it applies to other accounting pronouncements that require or permit fair value measurements. In accordance with ASC 820, for the six months ended September 27, 2014, we applied the requirements under ASC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ASC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Measured on a Recurring Basis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September 27,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Quoted Market</w:t>
            </w: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Significant</w:t>
            </w:r>
          </w:p>
        </w:tc>
        <w:tc>
          <w:tcPr>
            <w:tcW w:w="240" w:type="dxa"/>
            <w:vAlign w:val="bottom"/>
          </w:tcPr>
          <w:p>
            <w:pPr>
              <w:spacing w:after="0"/>
              <w:rPr>
                <w:sz w:val="14"/>
                <w:szCs w:val="14"/>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Prices for</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90,349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90,349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5,069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90,349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6,149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96,498</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1,054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8,105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9,159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Contingent consideration liabilities are measured at fair value using projected revenues, discount rates, probabilities of payment and projected payment 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Level 3 fair value measurement was performed using a probability-weighted discounted cash flow over a ten year period.</w:t>
      </w:r>
    </w:p>
    <w:p>
      <w:pPr>
        <w:spacing w:after="0" w:line="1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Increases or decreases in the fair value of our contingent consideration liability can result from changes in discount periods and rates, as well as changes in the timing and amount of revenue estimates or likelihood of earning revenue. Projected revenues are based on our most recent internal operational budgets.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table below provides a reconciliation of the beginning and ending Level 3 liabilities for the quarter ended September 27,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9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as of March 29,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 interest expense</w:t>
            </w:r>
          </w:p>
        </w:tc>
        <w:tc>
          <w:tcPr>
            <w:tcW w:w="14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8,105</w:t>
            </w:r>
          </w:p>
        </w:tc>
        <w:tc>
          <w:tcPr>
            <w:tcW w:w="0" w:type="dxa"/>
            <w:vAlign w:val="bottom"/>
          </w:tcPr>
          <w:p>
            <w:pPr>
              <w:spacing w:after="0"/>
              <w:rPr>
                <w:sz w:val="1"/>
                <w:szCs w:val="1"/>
                <w:color w:val="auto"/>
              </w:rPr>
            </w:pPr>
          </w:p>
        </w:tc>
      </w:tr>
      <w:tr>
        <w:trPr>
          <w:trHeight w:val="20"/>
        </w:trPr>
        <w:tc>
          <w:tcPr>
            <w:tcW w:w="9820" w:type="dxa"/>
            <w:vAlign w:val="bottom"/>
            <w:gridSpan w:val="2"/>
            <w:vMerge w:val="restart"/>
          </w:tcPr>
          <w:p>
            <w:pPr>
              <w:spacing w:after="0"/>
              <w:rPr>
                <w:sz w:val="20"/>
                <w:szCs w:val="20"/>
                <w:color w:val="auto"/>
              </w:rPr>
            </w:pPr>
            <w:r>
              <w:rPr>
                <w:rFonts w:ascii="Arial" w:cs="Arial" w:eastAsia="Arial" w:hAnsi="Arial"/>
                <w:sz w:val="18"/>
                <w:szCs w:val="18"/>
                <w:color w:val="auto"/>
              </w:rPr>
              <w:t>The interest expense recognized on the contingent consideration is reflected in the "interest and other expense, net" on the</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9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Consolidated Statements of Income and Comprehensive Income.</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Other Fair Value Disclosures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color w:val="auto"/>
              </w:rPr>
              <w:t>The Term Loan which is carried at amortized cost and accounts receivable and accounts payable approximate fair value.</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8. INCOME TAXES</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income tax rate is lower than the US federal statutory rate in all reported periods primarily as a result of being subject to lower income tax rates in the foreign jurisdictions where we operate.</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reported income tax rate for the six months ended September 27, 2014 was 30.9%, as compared to a reported income tax rate of 25.5% for the six months ended September 28, 2013. Our reported income tax rate is lower than the US federal statutory tax rate in both periods primarily as a result of being subject to lower income tax rates in the foreign jurisdictions where we operate. In addition, during the current period we recorded pre-tax losses in Scotland and Malaysia due to restructuring costs associated with our manufacturing transformation, and we did not record a corresponding tax benefit due to uncertainty around our ability to realize a tax benefit in both jurisdictions. Similarly in the prior period, we recorded pre-tax losses in Italy associated with restructuring costs, and we did not recognize a tax benefit due to the full valuation allowance maintained against our Italian deferred tax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matured on August 1, 2017. Interest was based on the Adjusted LIBOR plus a range of 1.125% to 1.500% depending on achievement of leverage ratios and customary credit terms which included financial and negative covenants.</w:t>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June 30, 2014,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September 27, 2014. We were in compliance with the leverage and interest coverage ratios specified in the credit agreement as well as all other bank covenants as of September 27, 2014.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The modified maturity profile is as follows:</w:t>
            </w: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b w:val="1"/>
                <w:bCs w:val="1"/>
                <w:i w:val="1"/>
                <w:iCs w:val="1"/>
                <w:color w:val="auto"/>
              </w:rPr>
              <w:t>(in thousands)</w:t>
            </w:r>
          </w:p>
        </w:tc>
        <w:tc>
          <w:tcPr>
            <w:tcW w:w="420" w:type="dxa"/>
            <w:vAlign w:val="bottom"/>
          </w:tcPr>
          <w:p>
            <w:pPr>
              <w:spacing w:after="0"/>
              <w:rPr>
                <w:sz w:val="24"/>
                <w:szCs w:val="24"/>
                <w:color w:val="auto"/>
              </w:rPr>
            </w:pPr>
          </w:p>
        </w:tc>
        <w:tc>
          <w:tcPr>
            <w:tcW w:w="1860" w:type="dxa"/>
            <w:vAlign w:val="bottom"/>
          </w:tcPr>
          <w:p>
            <w:pPr>
              <w:jc w:val="right"/>
              <w:ind w:right="630"/>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9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2015</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14,227</w:t>
            </w:r>
          </w:p>
        </w:tc>
      </w:tr>
      <w:tr>
        <w:trPr>
          <w:trHeight w:val="27"/>
        </w:trPr>
        <w:tc>
          <w:tcPr>
            <w:tcW w:w="91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37,941</w:t>
            </w:r>
          </w:p>
        </w:tc>
      </w:tr>
      <w:tr>
        <w:trPr>
          <w:trHeight w:val="243"/>
        </w:trPr>
        <w:tc>
          <w:tcPr>
            <w:tcW w:w="912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73,510</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9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and beyond</w:t>
            </w:r>
          </w:p>
        </w:tc>
        <w:tc>
          <w:tcPr>
            <w:tcW w:w="4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303,728</w:t>
            </w:r>
          </w:p>
        </w:tc>
      </w:tr>
      <w:tr>
        <w:trPr>
          <w:trHeight w:val="237"/>
        </w:trPr>
        <w:tc>
          <w:tcPr>
            <w:tcW w:w="4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429,406</w:t>
            </w:r>
          </w:p>
        </w:tc>
      </w:tr>
      <w:tr>
        <w:trPr>
          <w:trHeight w:val="27"/>
        </w:trPr>
        <w:tc>
          <w:tcPr>
            <w:tcW w:w="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Italian Employment Litigation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received notices of claimed violations of employment related contracts from some employees of the facility in Ascoli-Piceno, Italy where we have ceased manufacturing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As of September 27, 2014, the total amount of damages claimed by the plaintiffs in these matters is approximately $4.3 million; however, it is not possible at this point in the proceedings to accurately evaluate the likelihood or amount of any potential losses. We believe these claims are without merit, and intend to defend against them. As such, no amounts have been accrued related to these claims. We may receive other, similar claims in the future.</w:t>
      </w:r>
    </w:p>
    <w:p>
      <w:pPr>
        <w:spacing w:after="0" w:line="143" w:lineRule="exact"/>
        <w:rPr>
          <w:sz w:val="20"/>
          <w:szCs w:val="20"/>
          <w:color w:val="auto"/>
        </w:rPr>
      </w:pPr>
    </w:p>
    <w:p>
      <w:pPr>
        <w:ind w:right="8880" w:firstLine="8"/>
        <w:spacing w:after="0" w:line="503"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Segment Definition Criteria</w:t>
      </w:r>
    </w:p>
    <w:p>
      <w:pPr>
        <w:spacing w:after="0" w:line="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manage a global business which designs, manufactures and markets blood management solutions. Our solutions are marketed through operating units organized based primarily on geography: North America Plasma, North America Blood Center and Hospital, Europe, Asia Pacific and Japan.</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permits aggregation of segments which are economically similar as well as similar in all of the following areas: (i) the nature of the products and services, (ii) the nature of the production processes, (iii) the type or class of customer for their products and services, (iv) the methods used to distribute their products or provide their services, and (v) the nature of the regulatory environment. We determined each operating segment is similar based on the criteria of ASC 280 and accordingly aggregate our five operating segments into one reportable segment. This conclusion is consistent with how our chief operating decision-maker views the business. Our chief operating decision maker primarily uses consolidated results to make operating and strategic decisions.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Enterprise-Wide Disclosures about Product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four global product families: plasma, blood center, hospital, and software solutions.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products include whole blood disposables, equipment devices and the related disposables used with these devices. Disposables include part of plasma, blood center, and hospital product families. Plasma consists of the disposables used to perform apheresis for the separation of whole blood components and subsequent collection of plasma to be used as a raw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jc w:val="both"/>
        <w:spacing w:after="0" w:line="273" w:lineRule="auto"/>
        <w:rPr>
          <w:sz w:val="20"/>
          <w:szCs w:val="20"/>
          <w:color w:val="auto"/>
        </w:rPr>
      </w:pPr>
      <w:r>
        <w:rPr>
          <w:rFonts w:ascii="Arial" w:cs="Arial" w:eastAsia="Arial" w:hAnsi="Arial"/>
          <w:sz w:val="17"/>
          <w:szCs w:val="17"/>
          <w:color w:val="auto"/>
        </w:rPr>
        <w:t>material for biologically derived pharmaceuticals. Blood center consists of disposables which separate whole blood for the subsequent collection of platelets, plasma, red cells, or a combination of these components for transfusion to patients as well as disposables for manual whole blood collection. Hospital consists of surgical disposables (principally the Cell Saver® autologous blood recovery system targeted to procedures that involve rapid, high volume blood loss such as cardiovascular surgeries), the OrthoPAT® orthopedic perioperative autotransfusion system designed to operate both during and after surgery to recover and wash the patient’s red cells to prepare them for reinfusion, and diagnostics products (principally the TEG® Thrombelastograph® hemostasis analyzer used to help assess a surgical patient’s hemostasis during and after surgery).</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centers, plasma centers, and hospitals to more effectively manage regulatory compliance and operational efficiency.</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Revenues from External Customers: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192"/>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80,355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75,734</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39,370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39,884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10,221</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33,738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47,283</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97,388</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16,351</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6,262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7,985</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30,606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30,598</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203,720</w:t>
            </w:r>
          </w:p>
        </w:tc>
      </w:tr>
      <w:tr>
        <w:trPr>
          <w:trHeight w:val="32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17,120</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15,190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14,915</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227,580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235,755</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656"/>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192"/>
              <w:spacing w:after="0" w:line="153" w:lineRule="exact"/>
              <w:rPr>
                <w:sz w:val="20"/>
                <w:szCs w:val="20"/>
                <w:color w:val="auto"/>
              </w:rPr>
            </w:pPr>
            <w:r>
              <w:rPr>
                <w:rFonts w:ascii="Arial" w:cs="Arial" w:eastAsia="Arial" w:hAnsi="Arial"/>
                <w:sz w:val="14"/>
                <w:szCs w:val="14"/>
                <w:b w:val="1"/>
                <w:bCs w:val="1"/>
                <w:color w:val="auto"/>
                <w:w w:val="91"/>
              </w:rPr>
              <w:t>September 28,</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 revenues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Plasma disposables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159,582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141,070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Platelet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77,541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74,330</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Red cell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20,229</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Whole blood</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71,688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98,537</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169,651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193,096</w:t>
            </w:r>
          </w:p>
        </w:tc>
      </w:tr>
      <w:tr>
        <w:trPr>
          <w:trHeight w:val="237"/>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Hospital disposables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Surgical</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32,441</w:t>
            </w:r>
          </w:p>
        </w:tc>
      </w:tr>
      <w:tr>
        <w:trPr>
          <w:trHeight w:val="243"/>
        </w:trPr>
        <w:tc>
          <w:tcPr>
            <w:tcW w:w="8120" w:type="dxa"/>
            <w:vAlign w:val="bottom"/>
            <w:gridSpan w:val="2"/>
          </w:tcPr>
          <w:p>
            <w:pPr>
              <w:ind w:left="500"/>
              <w:spacing w:after="0"/>
              <w:rPr>
                <w:sz w:val="20"/>
                <w:szCs w:val="20"/>
                <w:color w:val="auto"/>
              </w:rPr>
            </w:pPr>
            <w:r>
              <w:rPr>
                <w:rFonts w:ascii="Arial" w:cs="Arial" w:eastAsia="Arial" w:hAnsi="Arial"/>
                <w:sz w:val="18"/>
                <w:szCs w:val="18"/>
                <w:color w:val="auto"/>
              </w:rPr>
              <w:t>OrthoPAT</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12,581</w:t>
            </w: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Diagnostics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15,579</w:t>
            </w:r>
          </w:p>
        </w:tc>
      </w:tr>
      <w:tr>
        <w:trPr>
          <w:trHeight w:val="237"/>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61,205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60,601</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disposables revenue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390,438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394,767</w:t>
            </w:r>
          </w:p>
        </w:tc>
      </w:tr>
      <w:tr>
        <w:trPr>
          <w:trHeight w:val="324"/>
        </w:trPr>
        <w:tc>
          <w:tcPr>
            <w:tcW w:w="8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 solutions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33,866</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Equipment &amp; other</w:t>
            </w:r>
          </w:p>
        </w:tc>
        <w:tc>
          <w:tcPr>
            <w:tcW w:w="2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25,747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26,664</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452,068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455,297</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On an ongoing basis, we review the global economy, the healthcare industry, and the markets in which we compete. From these reviews we identify opportunities to improve efficiencies, enhance commercial capabilities, better align our resources and offer customers better comprehensive solutions. In order to realize these opportunities, we undertake restructuring and other initiatives to transform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ind w:right="180"/>
        <w:spacing w:after="0" w:line="257" w:lineRule="auto"/>
        <w:rPr>
          <w:sz w:val="20"/>
          <w:szCs w:val="20"/>
          <w:color w:val="auto"/>
        </w:rPr>
      </w:pPr>
      <w:r>
        <w:rPr>
          <w:rFonts w:ascii="Arial" w:cs="Arial" w:eastAsia="Arial" w:hAnsi="Arial"/>
          <w:sz w:val="18"/>
          <w:szCs w:val="18"/>
          <w:color w:val="auto"/>
        </w:rPr>
        <w:t>On May 1, 2013, we announced that our Board of Directors approved a plan to pursue identified Value Creation and Capture ("VCC") opportunities. These include: (i) investment in product line extensions, next generation products and growth platforms; (ii) enhancement of commercial execution capabilities by implementing go-to-market and other strategies to enable global profitable revenue growth; and (iii) transformation of the manufacturing network to best support these commercial strategies while optimizing expense levels. Collectively, these are opportunities to position us for optimal growth and increased competitiveness.</w:t>
      </w:r>
    </w:p>
    <w:p>
      <w:pPr>
        <w:spacing w:after="0" w:line="18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manufacturing network transformation plan, part of our larger VCC activities previously announced, includes (i) discontinuing manufacturing activities at our Braintree, Massachusetts, Ascoli-Piceno, Italy and Bothwell, Scotland facilities, (ii) creating a technology center of excellence for product development, (iii) expanding of our current facility in Tijuana, Mexico, (iv) engaging Sanmina Corporation as a contract manufacturer to produce certain medical equipment, and (v) building a new manufacturing facility in Malaysia closer to our customers in Asia.</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estimate we will incur approximately $74.0 million of restructuring and restructuring related expense and spend approximately $58.0 million on these initiatives in fiscal 2015. We estimate we will spend an additional $10 to $15 million to complete these initiatives through fiscal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six months ended September 27, 2014 and September 28,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September 27, 2014</w:t>
            </w: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29,</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8"/>
              </w:rPr>
              <w:t>Less Payments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27, 2014</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22,971</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23,636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22,933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23,349</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September 28, 2013</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Restructuring Costs</w:t>
            </w: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Less Non-Cash</w:t>
            </w:r>
          </w:p>
        </w:tc>
        <w:tc>
          <w:tcPr>
            <w:tcW w:w="16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 Accrual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Balance at March 30,</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8"/>
              </w:rPr>
              <w:t>Less Payments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Balance at September</w:t>
            </w: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Incurred</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28, 2013</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Severance and other employee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Other costs</w:t>
            </w:r>
          </w:p>
        </w:tc>
        <w:tc>
          <w:tcPr>
            <w:tcW w:w="12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3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Asset write-down</w:t>
            </w:r>
          </w:p>
        </w:tc>
        <w:tc>
          <w:tcPr>
            <w:tcW w:w="1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3,262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30,261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19,790</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We deployed significant financial resources for these activities. Many of the activities necessary to complete the VCC initiatives include severance and other costs which qualify as restructuring expenses under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 We incurred $22.9 million in severance, asset write-offs and other restructuring charges during the six months ended September 27, 2014. In addition, we also incurred $15.4 million of costs that do not constitute restructuring under ASC 420, which we refer to as "Transformation Costs". These costs consist primarily of expenditures directly related to our transformation activities including program management, product line transfer teams and related costs, infrastructure related costs, accelerated depreciation and asset disposals.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41" w:right="239" w:bottom="1440" w:gutter="0" w:footer="0" w:header="0"/>
        </w:sectPr>
      </w:pPr>
    </w:p>
    <w:bookmarkStart w:id="16" w:name="page17"/>
    <w:bookmarkEnd w:id="16"/>
    <w:p>
      <w:pPr>
        <w:jc w:val="both"/>
        <w:ind w:right="60"/>
        <w:spacing w:after="0" w:line="259" w:lineRule="auto"/>
        <w:rPr>
          <w:sz w:val="20"/>
          <w:szCs w:val="20"/>
          <w:color w:val="auto"/>
        </w:rPr>
      </w:pPr>
      <w:r>
        <w:rPr>
          <w:rFonts w:ascii="Arial" w:cs="Arial" w:eastAsia="Arial" w:hAnsi="Arial"/>
          <w:sz w:val="18"/>
          <w:szCs w:val="18"/>
          <w:color w:val="auto"/>
        </w:rPr>
        <w:t>The table below presents transformation and restructuring costs recorded in cost of goods sold, research and development, selling, general and administrative expenses and interest and other expense in our statements of income and comprehensive income for the periods presented. The majority of expenses recorded as Transformation Costs in the prior year relate to the integration of the whole blood acquisition. Transformation Costs in the current year are associated with our VCC initiatives.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Transformation costs</w:t>
            </w:r>
          </w:p>
        </w:tc>
        <w:tc>
          <w:tcPr>
            <w:tcW w:w="2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ind w:right="195"/>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center"/>
              <w:ind w:right="1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Transformation and other costs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7,225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14,987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Restructuring costs</w:t>
            </w: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00" w:type="dxa"/>
            <w:vAlign w:val="bottom"/>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4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36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other employee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costs</w:t>
            </w:r>
          </w:p>
        </w:tc>
        <w:tc>
          <w:tcPr>
            <w:tcW w:w="240" w:type="dxa"/>
            <w:vAlign w:val="bottom"/>
          </w:tcPr>
          <w:p>
            <w:pPr>
              <w:spacing w:after="0"/>
              <w:rPr>
                <w:sz w:val="21"/>
                <w:szCs w:val="21"/>
                <w:color w:val="auto"/>
              </w:rPr>
            </w:pP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4,249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Accelerated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disposal</w:t>
            </w:r>
          </w:p>
        </w:tc>
        <w:tc>
          <w:tcPr>
            <w:tcW w:w="2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6,802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318"/>
        </w:trPr>
        <w:tc>
          <w:tcPr>
            <w:tcW w:w="47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transformation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15,345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18,872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38,338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52,389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For costs incurred related to the development of software to be sold, leased, or otherwise marketed, we apply the provisions of ASC 985-20, </w:t>
      </w:r>
      <w:r>
        <w:rPr>
          <w:rFonts w:ascii="Arial" w:cs="Arial" w:eastAsia="Arial" w:hAnsi="Arial"/>
          <w:sz w:val="18"/>
          <w:szCs w:val="18"/>
          <w:i w:val="1"/>
          <w:iCs w:val="1"/>
          <w:color w:val="auto"/>
        </w:rPr>
        <w:t>Software - Costs</w:t>
      </w:r>
      <w:r>
        <w:rPr>
          <w:rFonts w:ascii="Arial" w:cs="Arial" w:eastAsia="Arial" w:hAnsi="Arial"/>
          <w:sz w:val="18"/>
          <w:szCs w:val="18"/>
          <w:color w:val="auto"/>
        </w:rPr>
        <w:t xml:space="preserve"> </w:t>
      </w:r>
      <w:r>
        <w:rPr>
          <w:rFonts w:ascii="Arial" w:cs="Arial" w:eastAsia="Arial" w:hAnsi="Arial"/>
          <w:sz w:val="18"/>
          <w:szCs w:val="18"/>
          <w:i w:val="1"/>
          <w:iCs w:val="1"/>
          <w:color w:val="auto"/>
        </w:rPr>
        <w:t>of Software to be Sold, Leased or Marketed</w:t>
      </w:r>
      <w:r>
        <w:rPr>
          <w:rFonts w:ascii="Arial" w:cs="Arial" w:eastAsia="Arial" w:hAnsi="Arial"/>
          <w:sz w:val="18"/>
          <w:szCs w:val="18"/>
          <w:color w:val="auto"/>
        </w:rPr>
        <w:t>, which specifies that costs incurred internally in researching and developing a computer software product should</w:t>
      </w:r>
      <w:r>
        <w:rPr>
          <w:rFonts w:ascii="Arial" w:cs="Arial" w:eastAsia="Arial" w:hAnsi="Arial"/>
          <w:sz w:val="18"/>
          <w:szCs w:val="18"/>
          <w:i w:val="1"/>
          <w:iCs w:val="1"/>
          <w:color w:val="auto"/>
        </w:rPr>
        <w:t xml:space="preserve"> </w:t>
      </w:r>
      <w:r>
        <w:rPr>
          <w:rFonts w:ascii="Arial" w:cs="Arial" w:eastAsia="Arial" w:hAnsi="Arial"/>
          <w:sz w:val="18"/>
          <w:szCs w:val="18"/>
          <w:color w:val="auto"/>
        </w:rPr>
        <w:t>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18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capitalized $3.5 million and $2.6 million in software development costs for ongoing initiatives during the six months ended September 27, 2014 and September 28, 2013, respectively. At September 27, 2014 and March 29, 2014, we have a total of $35.2 million and $31.7 million of software costs capitalized, of which $6.7 million and $15.6 million are related to in-process software development initiatives, respectively. During the second quarter of fiscal 2015, our next generation plasma software received 510(k) approval and $12.3 million of capitalized costs was placed into service. The costs capitalized for each project are included in intangible assets in the consolidated financial statements. We review these assets for impairment at least annually.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roll-forward of the components of Accumulated Other Comprehensive Income, net of tax, for the six months ended September 27, 2014: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Defined benefit plans</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Net Unrealized Gain/loss</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on Derivatives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March 29,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September 27,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details about the amount reclassified from Accumulated Other Comprehensive Income for the six months ended September 27, 2014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Amounts Reclassified</w:t>
            </w:r>
          </w:p>
        </w:tc>
        <w:tc>
          <w:tcPr>
            <w:tcW w:w="100" w:type="dxa"/>
            <w:vAlign w:val="bottom"/>
          </w:tcPr>
          <w:p>
            <w:pPr>
              <w:spacing w:after="0"/>
              <w:rPr>
                <w:sz w:val="14"/>
                <w:szCs w:val="14"/>
                <w:color w:val="auto"/>
              </w:rPr>
            </w:pPr>
          </w:p>
        </w:tc>
        <w:tc>
          <w:tcPr>
            <w:tcW w:w="2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in the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6"/>
              </w:rPr>
              <w:t>from Other</w:t>
            </w:r>
          </w:p>
        </w:tc>
        <w:tc>
          <w:tcPr>
            <w:tcW w:w="100" w:type="dxa"/>
            <w:vAlign w:val="bottom"/>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Statement of Income</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Derivative instruments reclassified to income statement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cost of goods sold,</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Realized net gain on derivatives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income/(expense)</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Income tax effect</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2014 Annual Report on Form 10-K filed with the Securities and Exchange Commission (the “SEC”) on May 22, 2014. The following discussion may contain forward-looking statements and should be read in conjunction with the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Haemonetics is a global healthcare company dedicated to providing innovative blood management solutions to our customers. Our comprehensive portfolio of integrated devices, information management, and consulting services offers blood management solutions for each facet of the blood supply chain, helping improve clinical outcomes and reduce costs for blood and plasma collectors, hospitals, and patients around the world. Our products and services help prevent a transfusion to a patient who does not need one and provide the right blood product, at the right time, in the right dose to the patient who does.</w:t>
      </w:r>
    </w:p>
    <w:p>
      <w:pPr>
        <w:spacing w:after="0" w:line="15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Blood and its components (plasma, platelets, and red cells) have many vital and frequently life-saving clinical applications. Plasma is used for patients with major blood loss and is manufactured into pharmaceuticals to treat a variety of illnesses and hereditary disorders such as hemophilia. Red cells treat trauma patients or patients undergoing surgery with high blood loss, such as open heart surgery or organ transplant. Platelets treat cancer patients undergoing chemotherapy. Blood is essential to a modern healthcare system.</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 Creation and Capture Initiatives</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1, 2013, we committed to a plan to pursue identified Value Creation and Capture initiatives ("VCC"). These opportunities include investment in product line extensions and next generation products, enhancement of commercial capabilities and a transformation of our manufacturing network. The transformation of our manufacturing network will take place over three years and includes changes to the current manufacturing footprint and supply chain structure (the "Network Plan"). To implement the Network Plan, we are (i) discontinuing manufacturing activities at our Braintree, Massachusetts, Ascoli-Piceno, Italy and Bothwell, Scotland facilities, (ii) creating a technology center of excellence for product development, (iii) expanding our current facility in Tijuana, Mexico, (iv) engaging Sanmina Corporation as a contract manufacturer to produce certain medical equipment, and (v) building a new manufacturing facility in Malaysia closer to our customers in Asia. See liquidity and capital resources discussion of this MD&amp;A for further discussion of the costs of these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place devices with some of our customers which remain our property. The customer has the right to use these for a period of time as long as certain conditions are met, which, among other things, generally include one or more of the following: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86.4% and 86.7% of our total revenues for the six months ended September 27, 2014 and September 28, 2013,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52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14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w w:val="97"/>
              </w:rPr>
              <w:t>(In thousands, except per share data)</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235,755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452,068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455,297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108,114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119,884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214,392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231,295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95,707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96,454</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203,650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214,473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23,430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16,822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3.7%</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Interest and other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29"/>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before provision for</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9,762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20,888</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5,554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3"/>
              <w:spacing w:after="0"/>
              <w:rPr>
                <w:sz w:val="20"/>
                <w:szCs w:val="20"/>
                <w:color w:val="auto"/>
              </w:rPr>
            </w:pPr>
            <w:r>
              <w:rPr>
                <w:rFonts w:ascii="Arial" w:cs="Arial" w:eastAsia="Arial" w:hAnsi="Arial"/>
                <w:sz w:val="18"/>
                <w:szCs w:val="18"/>
                <w:color w:val="auto"/>
              </w:rPr>
              <w:t>11,639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4,340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20.8%</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16,548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8,674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43"/>
        </w:trPr>
        <w:tc>
          <w:tcPr>
            <w:tcW w:w="2420" w:type="dxa"/>
            <w:vAlign w:val="bottom"/>
            <w:gridSpan w:val="2"/>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459"/>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jc w:val="right"/>
              <w:ind w:right="97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revenues decreased 3.5% and 0.7% for the three and six months ended September 27, 2014, respectively, as compared to the same period of fiscal 2014. Without the effects of foreign exchange, net revenues decreased 2.5% and 0.2% for the three and six months ended September 27, 2014, respectively, as compared to the same period of fiscal 2014. Revenue increases related to plasma and TEG growth were more than offset by declines in the whole blood product line for the three and six months ended September 27, 2014.</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Operating income declined 47.0% and 36.1% for the three and six months ended September 27, 2014, respectively, as compared to the same period of fiscal 2014. Without the effects of foreign exchange, operating income declined 35.9% and 9.3% for the three and six months ended September 27, 2014, respectively, as compared to the same period of fiscal 2014. Operating income decreased primarily due to lower whole blood revenue and the associated reduced manufacturing efficiency and increased variable compensation during the first half of the year. These decreases were partially offset by reduced restructuring and transformation expenses during the periods.</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Net income declined 54.8% and 55.7% for the three and six months ended September 27, 2014, respectively, as compared to the same period of fiscal 2014. Without the effects of foreign exchange, net income decreased 42.1% and 13.2% for the three and six months ended September 27, 2014, respectively, as compared to the same period of fiscal 2014. The change in net income is attributable to the reduction in the operating income described above.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58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Increase/</w:t>
            </w:r>
          </w:p>
        </w:tc>
        <w:tc>
          <w:tcPr>
            <w:tcW w:w="16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20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w w:val="96"/>
              </w:rPr>
              <w:t>September 28,</w:t>
            </w:r>
          </w:p>
        </w:tc>
        <w:tc>
          <w:tcPr>
            <w:tcW w:w="100" w:type="dxa"/>
            <w:vAlign w:val="bottom"/>
          </w:tcPr>
          <w:p>
            <w:pPr>
              <w:spacing w:after="0"/>
              <w:rPr>
                <w:sz w:val="13"/>
                <w:szCs w:val="13"/>
                <w:color w:val="auto"/>
              </w:rPr>
            </w:pPr>
          </w:p>
        </w:tc>
        <w:tc>
          <w:tcPr>
            <w:tcW w:w="1480" w:type="dxa"/>
            <w:vAlign w:val="bottom"/>
          </w:tcPr>
          <w:p>
            <w:pPr>
              <w:jc w:val="right"/>
              <w:ind w:right="288"/>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124,406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125,662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247,807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103,174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110,093</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206,913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207,490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227,580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235,755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452,068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455,297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principal operations are in the US, Europe, Japan and other parts of Asia. Our products are marketed in approximately 100 countries around the world through a combination of our direct sales force, independent distributors and agents. Our revenues generated outside the US approximated 45.8% of total net revenues for the six months ended September 27, 2014. International sales are generally conducted in local currencies, primarily Japanese Yen, Euro, Chinese Yuan and Australian Dollars. Our revenues are impacted by changes in the value of these currencies relative to the US Dollar.</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have placed foreign currency hedges to minimize the risk of currency fluctuations. Relative weakness in the Japanese Yen to the US Dollar has negatively impacted revenue and operating income. We expect this trend to continue through the remainder of fiscal 2015 and into fiscal 2016.</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203,720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390,438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394,767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17,120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33,866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6.0 %</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14,915</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26,664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227,580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235,755</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452,068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455,297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79"/>
        </w:trPr>
        <w:tc>
          <w:tcPr>
            <w:tcW w:w="4000" w:type="dxa"/>
            <w:vAlign w:val="bottom"/>
            <w:gridSpan w:val="6"/>
          </w:tcPr>
          <w:p>
            <w:pPr>
              <w:spacing w:after="0"/>
              <w:rPr>
                <w:sz w:val="20"/>
                <w:szCs w:val="20"/>
                <w:color w:val="auto"/>
              </w:rPr>
            </w:pPr>
            <w:r>
              <w:rPr>
                <w:rFonts w:ascii="Arial" w:cs="Arial" w:eastAsia="Arial" w:hAnsi="Arial"/>
                <w:sz w:val="18"/>
                <w:szCs w:val="18"/>
                <w:i w:val="1"/>
                <w:iCs w:val="1"/>
                <w:color w:val="auto"/>
              </w:rPr>
              <w:t>Disposable Revenues by Product Type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0"/>
        </w:trPr>
        <w:tc>
          <w:tcPr>
            <w:tcW w:w="2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8"/>
              </w:rPr>
              <w:t>Three Months Ended</w:t>
            </w:r>
          </w:p>
        </w:tc>
        <w:tc>
          <w:tcPr>
            <w:tcW w:w="1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160" w:type="dxa"/>
            <w:vAlign w:val="bottom"/>
          </w:tcPr>
          <w:p>
            <w:pPr>
              <w:spacing w:after="0"/>
              <w:rPr>
                <w:sz w:val="13"/>
                <w:szCs w:val="13"/>
                <w:color w:val="auto"/>
              </w:rPr>
            </w:pPr>
          </w:p>
        </w:tc>
        <w:tc>
          <w:tcPr>
            <w:tcW w:w="13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5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60" w:type="dxa"/>
            <w:vAlign w:val="bottom"/>
          </w:tcPr>
          <w:p>
            <w:pPr>
              <w:spacing w:after="0"/>
              <w:rPr>
                <w:sz w:val="13"/>
                <w:szCs w:val="13"/>
                <w:color w:val="auto"/>
              </w:rPr>
            </w:pPr>
          </w:p>
        </w:tc>
        <w:tc>
          <w:tcPr>
            <w:tcW w:w="120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7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75,734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141,070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Blood center disposables</w:t>
            </w:r>
          </w:p>
        </w:tc>
        <w:tc>
          <w:tcPr>
            <w:tcW w:w="1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39,884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74,330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Red cell</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10,221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20,422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20,229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7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47,283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98,537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83,284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97,388</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169,651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193,096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25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Surgical</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15,661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16,351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31,281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32,441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12,581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Diagnostics</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7,985</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15,579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26.1 %</w:t>
            </w: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r>
      <w:tr>
        <w:trPr>
          <w:trHeight w:val="264"/>
        </w:trPr>
        <w:tc>
          <w:tcPr>
            <w:tcW w:w="2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30,598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 %</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5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Total disposables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194,245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203,720</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390,438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394,767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Disposables Revenue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Disposables revenue decreased 4.7% and 1.1% for the three and six months ended September 27, 2014, respectively, as compared to the same period of fiscal 2014. Without the effect of foreign exchange, disposables revenue decreased 3.5% and 0.4% for the three and six months ended September 27, 2014, respectively, as compared to the same period of fiscal 2014. The decrease was driven primarily by significantly reduced whole blood disposable revenue and partially offset by growth in plasma and TEG disposables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Plasma</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Plasma disposables revenue increased 6.1% and 13.1% for the three and six months ended September 27, 2014, respectively, as compared to the same period of fiscal 2014. Without the effect of foreign exchange, plasma revenue increased 6.5% and 13.2% for the three and six months ended September 27, 2014, respectively, as compared to the same period of fiscal 2014. Plasma revenue increased due to higher volumes in the United States associated with end market growth for plasma-derived biopharmaceuticals as well as the result of a transition to a direct sales model in Australia and New Zealand during the second quarter of fiscal 2014, which negatively impacted plasma revenue in the first half of fiscal 2014.</w:t>
      </w:r>
    </w:p>
    <w:p>
      <w:pPr>
        <w:spacing w:after="0" w:line="1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October 2014, we entered into a long-term agreement to supply CSL Plasma Inc. with two pharmaceutical solutions, saline and the anti-coagulant sodium citrate, for use in their plasma collections. We expect to begin to deliver product and recognize revenues from this contract in fiscal 2016.</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Blood Center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Blood center consists of disposables used to collect platelets, red cells and whole blood.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Platelet</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continue to see significant differences in demand for our platelet products in various markets depending on access to health care and adoption of certain efficient collection techniques. In emerging markets, increased access to health care continues to increase the demand for platelet transfusions, while increases in the demand for platelet transfusions in developed markets is modest. Collection efficiencies which increase the yield of platelets per collection and more efficient use of collected platelets reduce the number of collections required to meet market demand. Where we see adoption of these techniques we experience reduced demand for our products, however, not all markets have adopted these collection efficiencies at the same level.</w:t>
      </w:r>
    </w:p>
    <w:p>
      <w:pPr>
        <w:spacing w:after="0" w:line="15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Platelet disposables revenue decreased 1.3% and increased 4.3% for the three and six months ended September 27, 2014, respectively, as compared to the same period of fiscal 2014. Without the effect of foreign exchange, platelet disposable revenue increased 3.7% and 8.0% for the three and six months ended September 27, 2014, respectively, as compared to the same period of fiscal 2014. The quarter over quarter decrease is due primarily to foreign currency fluctuations, while the year to date increase is due to continued growth in emerging markets and lower prior period sales as distributors reduced inventory levels during the first quarter of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 Cell and Whole Blood</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Sales to US blood centers represent approximately 70% of our total red cell and whole blood disposable revenue. The demand for these disposable products in the US declined in fiscal 2014 due to a rapid decline in demand for blood products associated with actions taken by hospitals to improve blood management techniques and protocols. We believe the decline in US blood center collections will be approximately 10% in fiscal 2015, and accordingly will continue to negatively impact red cell and whole blood revenue. Additionally, in response to this trend, certain large US blood center collector groups pursued single source vendors for whole blood collection products which required significant reductions in average selling prices in order to retain or increase our share of their business. We expect these US blood collector groups to pursue similar arrangements that may affect our red cell revenues in the future.</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fiscal 2014 we entered into a multi-year agreement to supply the HemeXcel Purchasing Alliance, LLC with certain whole blood collection components during the calendar years 2014-2016. The agreement includes a reduction in average selling prices which will continue to negatively impact our financial results in fiscal 2015. During March 2014, the American Red Cross selected another exclusive supplier to provide certain whole blood products. We anticipate this will reduce annualized revenues approximately $25.0 million, which we started experiencing in the first quarter of fiscal 2015.</w:t>
      </w:r>
    </w:p>
    <w:p>
      <w:pPr>
        <w:spacing w:after="0" w:line="15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Red cell disposables revenue decreased 0.4% and increased 1.0% for the three and six months ended September 27, 2014, respectively, as compared to the same period of fiscal 2014. Without the effect of foreign exchange, red cell disposables revenue decreased 0.7% and increased 0.7% for the three and six months ended September 27, 2014, respectively, as compared to the same period of fiscal 2014. The decrease in the three months ended September 27, 2014 was due to decreased revenue in Europe, while the increase for the six months ended September 27, 2014 was due to order timing.</w:t>
      </w:r>
    </w:p>
    <w:p>
      <w:pPr>
        <w:spacing w:after="0" w:line="15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Whole blood revenue decreased 28.6% and 27.2% for the three and six months ended September 27, 2014, respectively, as compared to the same period of fiscal 2014. Without the effect of foreign exchange, whole blood revenue decreased 28.7% and 27.5% for the three and six months ended September 27, 2014, respectively, as compared to the same period of fiscal 2014. Revenue for the three and six months ended September 27, 2014, decreased primarily due to the loss of the American Red Cross business noted above and the continued decline in demand, lower market share including the loss of a European tender early in fiscal 2014 and pricing reductions. Order timing in distribution markets outside the US also contributed to the decline in whole blood revenue. We expect that the impact of lower transfusion rates in the United States will moderate in fiscal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Hospital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Surgical disposables revenue consists principally of the Cell Saver and CardioPAT products. Revenues from our surgical disposables decreased 4.2% and 3.6% for the three and six months ended September 27, 2014, respectively, as compared to the same period of fiscal 2014. Without the effect of foreign exchange, surgical disposables revenue decreased 2.0% and 2.2% for the three and six months ended September 27, 2014, respectively, as compared to the same period of fiscal 2014. Surgical disposables grew in emerging markets but declined in mature markets due to a combination of market conditions and competitive pressures.</w:t>
      </w:r>
    </w:p>
    <w:p>
      <w:pPr>
        <w:spacing w:after="0" w:line="18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Revenues from our OrthoPAT disposables decreased 21.8% and 18.3% for the three and six months ended September 27, 2014, respectively, as compared to the same period of fiscal 2014. Without the effect of foreign exchange, OrthoPAT disposables revenue decreased 20.3% and 17.6% for the three and six months ended September 27, 2014, respectively, as compared to the same period of fiscal 2014, as better blood management has reduced orthopedic blood loss and demand for OrthoPAT disposables. Recent trends in blood management, particularly the adoption of tranexamic acid to treat and prevent orthopedic post-operative blood loss, have lessened hospital use of OrthoPAT disposables.</w:t>
      </w:r>
    </w:p>
    <w:p>
      <w:pPr>
        <w:spacing w:after="0" w:line="17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Diagnostics product revenue consists principally of the consumable reagents used with the TEG analyzer. Revenues from our diagnostics products increased 25.8% and 26.1% for the three and six months ended September 27, 2014, respectively, as compared to the same period of fiscal 2014. Without the effect of foreign exchange, diagnostics product revenues increased 22.1% and 22.6% for the three and six months ended September 27, 2014, respectively, as compared to the same period of fiscal 2014. The revenue increase is due to continued adoption of our TEG analyzer, principally in the US and China.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Revenue</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increased 6.0% for both the three and six months ended September 27, 2014, as compared to the same periods of fiscal 2014. Without the effect of foreign exchange, software revenues increased 5.4% and 4.9% for the three and six months ended September 27, 2014, respectively, as compared to the same period of fiscal 2014. Software revenue increased due to strong BloodTrack sales in the US and Europe during the three and six months ended September 27, 2014.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 Revenue</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equipment and other revenues include revenue from equipment sales, repairs performed under preventive maintenance contracts or emergency service visits, spare part sales, and various services and training programs. These revenues are primarily composed of equipment sales, which tend to vary from period to period more than our disposable business due to the timing of order patterns, particularly in our distribution markets. Equipment and other revenues increased 1.8% and decreased 3.4% for the three and six months ended September 27, 2014, respectively, as compared to the same period of fiscal 2014. Without the effect of foreign exchange, equipment and other revenues increased 2.4% and decreased 2.7% for the three and six months ended September 27, 2014, respectively, as compared to the same period of fiscal 2014. The increase in revenues in the three months ended September 27, 2014 is related to military orders in the North American market and plasma equipment sales in Russia. The decline in revenue for the six months ended September 27, 2014 is due primarily to the impact of order timing in global markets. This decline was partially offset by growing service revenue in Australia and New Zealand due to the transition to a direct sales model.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20" w:type="dxa"/>
            <w:vAlign w:val="bottom"/>
            <w:tcBorders>
              <w:bottom w:val="single" w:sz="8" w:color="auto"/>
            </w:tcBorders>
          </w:tcPr>
          <w:p>
            <w:pPr>
              <w:spacing w:after="0"/>
              <w:rPr>
                <w:sz w:val="16"/>
                <w:szCs w:val="16"/>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700" w:type="dxa"/>
            <w:vAlign w:val="bottom"/>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108,114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119,884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  $</w:t>
            </w: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214,392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8"/>
                <w:szCs w:val="18"/>
                <w:color w:val="auto"/>
              </w:rPr>
              <w:t>231,295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Gross profit decreased 9.8% and 7.3% for the three and six months ended September 27, 2014, respectively, as compared to the same periods of fiscal 2014. Without the effect of foreign exchange, gross profit decreased 7.5% and 5.4% for the three and six months ended September 27, 2014, respectively, as compared to the same period of fiscal 2014. The gross profit margin decreased by 340 basis points for the three and six months ended September 27, 2014, as compared to the same periods of fiscal 2014. The decrease in gross profit margin during the three and six months ended September 27, 2014 was primarily due to reduced manufacturing efficiency related to volume and price reductions associated with changes in the whole blood market described above. These decreases were partially offset by cost savings from our VCC initiatives implemented during fiscal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Borders>
              <w:bottom w:val="single" w:sz="8" w:color="auto"/>
            </w:tcBorders>
          </w:tcPr>
          <w:p>
            <w:pPr>
              <w:spacing w:after="0"/>
              <w:rPr>
                <w:sz w:val="16"/>
                <w:szCs w:val="16"/>
                <w:color w:val="auto"/>
              </w:rPr>
            </w:pPr>
          </w:p>
        </w:tc>
      </w:tr>
      <w:tr>
        <w:trPr>
          <w:trHeight w:val="152"/>
        </w:trPr>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28,</w:t>
            </w:r>
          </w:p>
        </w:tc>
        <w:tc>
          <w:tcPr>
            <w:tcW w:w="15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2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1400" w:type="dxa"/>
            <w:vAlign w:val="bottom"/>
          </w:tcPr>
          <w:p>
            <w:pPr>
              <w:jc w:val="right"/>
              <w:ind w:right="263"/>
              <w:spacing w:after="0" w:line="153" w:lineRule="exact"/>
              <w:rPr>
                <w:sz w:val="20"/>
                <w:szCs w:val="20"/>
                <w:color w:val="auto"/>
              </w:rPr>
            </w:pPr>
            <w:r>
              <w:rPr>
                <w:rFonts w:ascii="Arial" w:cs="Arial" w:eastAsia="Arial" w:hAnsi="Arial"/>
                <w:sz w:val="14"/>
                <w:szCs w:val="14"/>
                <w:b w:val="1"/>
                <w:bCs w:val="1"/>
                <w:color w:val="auto"/>
              </w:rPr>
              <w:t>% Increase/</w:t>
            </w:r>
          </w:p>
        </w:tc>
      </w:tr>
      <w:tr>
        <w:trPr>
          <w:trHeight w:val="192"/>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14,946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26,319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26,155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84,769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81,508</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177,331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188,318</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95,707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96,454</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203,650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214,473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43"/>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Research and development expenses decreased 26.8% and increased 0.6% for the three and six months ended September 27, 2014, respectively, as compared to the same period of fiscal 2014. The decrease for the three months ended September 27, 2014 is related the acquisition of certain technology and manufacturing rights to be used in a next generation device, which were expensed as in-process research and development of $3.6 million during the quarter ended September 28, 2013. The increase during the six months ended September 27, 2014 is related to our planned increases in new product development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Selling, general and administrative expenses increased 4.0% and decreased 5.8% for the three and six months ended September 27, 2014, respectively, as compared to the same period of fiscal 2014. The increase for the three months ended September 27, 2014 was due primarily to higher variable compensation expenses during the quarter. The decrease for the six months ended September 27, 2014 was due primarily to lower restructuring and transformation costs primarily due to the timing of manufacturing network optimization activities as well as the completion of the whole blood integration activities during fiscal 2014. Restructuring and transformation costs recorded in selling, general and administrative were $11.2 million and $28.0 million during the three and six months ended September 27, 2014 and $10.8 million and $41.2 million in the respective prior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 Net</w:t>
      </w:r>
    </w:p>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Interest and other expense, net, remained relatively flat for the three and six months ended September 27, 2014, as compared to the same period of fiscal 2014. Interest expense from our term loan borrowings constitutes the majority of expense reported in both periods. The effective interest rate on total debt outstanding for the three months ended September 27, 2014 and the three months ended September 28, 2013 was approximately 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400" w:type="dxa"/>
            <w:vAlign w:val="bottom"/>
            <w:tcBorders>
              <w:bottom w:val="single" w:sz="8" w:color="auto"/>
            </w:tcBorders>
          </w:tcPr>
          <w:p>
            <w:pPr>
              <w:spacing w:after="0"/>
              <w:rPr>
                <w:sz w:val="16"/>
                <w:szCs w:val="16"/>
                <w:color w:val="auto"/>
              </w:rPr>
            </w:pPr>
          </w:p>
        </w:tc>
      </w:tr>
      <w:tr>
        <w:trPr>
          <w:trHeight w:val="152"/>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5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September 28,</w:t>
            </w:r>
          </w:p>
        </w:tc>
        <w:tc>
          <w:tcPr>
            <w:tcW w:w="15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 Increase/</w:t>
            </w:r>
          </w:p>
        </w:tc>
        <w:tc>
          <w:tcPr>
            <w:tcW w:w="15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5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September 28,</w:t>
            </w: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Increase/</w:t>
            </w:r>
          </w:p>
        </w:tc>
      </w:tr>
      <w:tr>
        <w:trPr>
          <w:trHeight w:val="192"/>
        </w:trPr>
        <w:tc>
          <w:tcPr>
            <w:tcW w:w="2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r>
      <w:tr>
        <w:trPr>
          <w:trHeight w:val="243"/>
        </w:trPr>
        <w:tc>
          <w:tcPr>
            <w:tcW w:w="2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conduct business globally, and as a result, report our results of operations in a number of foreign jurisdictions in addition to the United States. Our reported income tax rate is lower than the US federal statutory rate in all reported periods primarily as a result of being subject to lower income tax rates in the foreign jurisdictions where we operate.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reported income tax rate for the six months ended September 27, 2014 was 30.9%, as compared to a reported income tax rate of 25.5% for the six months ended September 28, 2013. Our reported income tax rate is lower than the US federal statutory tax rate in both periods primarily as a result of being subject to lower income tax rates in the foreign jurisdictions where we operate. In addition, during the current period we recorded pre-tax losses in Scotland and Malaysia due to restructuring costs associated with our manufacturing transformation, and we did not record a corresponding tax benefit due to uncertainty around our ability to realize a tax benefit in both jurisdictions. Similarly in the prior period, we recorded pre-tax losses in Italy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associated with restructuring costs, and we did not recognize a tax benefit due to the full valuation allowance maintained against our Italian deferred tax assets.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w:t>
            </w:r>
          </w:p>
        </w:tc>
        <w:tc>
          <w:tcPr>
            <w:tcW w:w="300" w:type="dxa"/>
            <w:vAlign w:val="bottom"/>
          </w:tcPr>
          <w:p>
            <w:pPr>
              <w:spacing w:after="0"/>
              <w:rPr>
                <w:sz w:val="14"/>
                <w:szCs w:val="14"/>
                <w:color w:val="auto"/>
              </w:rPr>
            </w:pPr>
          </w:p>
        </w:tc>
        <w:tc>
          <w:tcPr>
            <w:tcW w:w="1300" w:type="dxa"/>
            <w:vAlign w:val="bottom"/>
          </w:tcPr>
          <w:p>
            <w:pPr>
              <w:jc w:val="right"/>
              <w:ind w:right="41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192,469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391,903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406,048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debt (1)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(299,937)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(245,218)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Net debt position is the sum of cash and cash equivalents less total debt.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capital resources consist of cash and cash equivalents, our ability to generate cash flow from operations and available borrowings under our credit facility and lines of credit. As discussed in Management’s Discussion and Analysis, during fiscal 2014 our business was negatively impacted by changes in blood management practices and actions taken by US blood center customers in response to related reductions in demand for blood products. We expect these trends and the loss of revenues from the American Red Cross whole blood contract to continue to negatively impact revenue and cash flow from operations through the remainder of fiscal 2015.</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fiscal 2014, we commenced the VCC initiatives that include a significant transformation of our manufacturing network designed to reduce product costs and increase the efficiency of our supply chain. The program requires cash expenditures for plant exit and closure costs including separation benefits, new plant construction and temporary increases in inventory levels as manufacturing is transitioned to new facilities. We paid $72.9 million in cash related to restructuring, transformation costs and capital expenditures associated with the VCC initiatives during fiscal 2014. We estimate we will pay $100.0 million in cash in fiscal 2015 related to our VCC initiatives.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28, 2014, we announced a share repurchase plan of up to $100 million worth of shares in the open market. The repurchase program adheres to all debt covenants and is subject to market conditions. During the three months ended September 27, 2014 we repurchased approximately 0.2 million shares at a total cost of $7.2 million. As of September 27, 2014, we had repurchased a total of approximately 1.0 million shares at a total cost of $34.0 million under this plan.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October 2014, we entered into a long term supply agreement to supply CSL Plasma Inc. with two pharmaceutical solutions, saline and the anti-coagulant sodium citrate, for use in their plasma collections. This increased demand will require the expansion of our Union, South Carolina manufacturing facility, for which we expect to deploy cash through fiscal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connection with the acquisition of the whole blood business, we entered into a credit agreement ("Credit Agreement") with certain lenders (together, “Lenders”) which provided for a $475.0 million Term Loan and a $50.0 million revolving loan (the “Revolving Credit Facility”), and together with the Term Loan, (the “Credit Facilities”). The Credit Facilities had a term of five years and matured on August 1, 2017. Interest was based on the Adjusted LIBOR plus a range of 1.125% to 1.500% depending on achievement of leverage ratios and customary credit terms which included financial and negative covenants.</w:t>
      </w:r>
    </w:p>
    <w:p>
      <w:pPr>
        <w:spacing w:after="0" w:line="15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June 30, 2014, we modified our existing Credit Facilities by extending the maturity date to July 1, 2019, extending the principal repayments of the Term Loan, and modifying certain restrictive covenants to allow greater operational flexibility and enhanced near term liquidity. In addition, the amended Credit Agreement provides for a $100.0 million revolving credit facility and establishes interest rates in the range of LIBOR plus 1.125% – 1.500%, depending on certain conditions. At June 30, 2014, $379.4 million was outstanding under the term loan and $50.0 million was outstanding on the Revolving Credit Facility, both with an interest rate of 1.5625%. No additional amounts were borrowed as a result of this modification. The fair value of debt approximates its current value of approximately $429.4 million as of September 27, 2014. We were in compliance with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leverage and interest coverage ratios specified in the credit agreement as well as all other bank covenants as of September 27, 2014.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6"/>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ind w:left="120"/>
              <w:spacing w:after="0" w:line="147"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2"/>
                <w:szCs w:val="12"/>
                <w:color w:val="auto"/>
              </w:rPr>
            </w:pPr>
          </w:p>
        </w:tc>
        <w:tc>
          <w:tcPr>
            <w:tcW w:w="156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2"/>
                <w:szCs w:val="12"/>
                <w:color w:val="auto"/>
              </w:rPr>
            </w:pPr>
          </w:p>
        </w:tc>
        <w:tc>
          <w:tcPr>
            <w:tcW w:w="1300" w:type="dxa"/>
            <w:vAlign w:val="bottom"/>
          </w:tcPr>
          <w:p>
            <w:pPr>
              <w:jc w:val="right"/>
              <w:ind w:right="435"/>
              <w:spacing w:after="0" w:line="147" w:lineRule="exact"/>
              <w:rPr>
                <w:sz w:val="20"/>
                <w:szCs w:val="20"/>
                <w:color w:val="auto"/>
              </w:rPr>
            </w:pPr>
            <w:r>
              <w:rPr>
                <w:rFonts w:ascii="Arial" w:cs="Arial" w:eastAsia="Arial" w:hAnsi="Arial"/>
                <w:sz w:val="14"/>
                <w:szCs w:val="14"/>
                <w:b w:val="1"/>
                <w:bCs w:val="1"/>
                <w:color w:val="auto"/>
              </w:rPr>
              <w:t>Increase/</w:t>
            </w:r>
          </w:p>
        </w:tc>
      </w:t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44,980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42,762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2,218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(11,104)</w:t>
            </w:r>
          </w:p>
        </w:tc>
      </w:tr>
      <w:tr>
        <w:trPr>
          <w:trHeight w:val="243"/>
        </w:trPr>
        <w:tc>
          <w:tcPr>
            <w:tcW w:w="640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(31,588)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(42,526)</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US GAAP, we have removed the effect of foreign currency throughout our cash flow statement, except for its effect on our cash and cash equivalents.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operating activities increased by $2.2 million during the six months ended September 27, 2014, as compared to the six months ended September 28, 2013. Cash provided by operating activities increased primarily due to improved collection activities, lower inventory purchases and timing of liability payments, partially offset by lower earnings.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Net cash used in investing activities increased by $11.1 million during the six months ended September 27, 2014, as compared to the six months ended September 28, 2013. The six months ended September 28, 2013 include $23.1 million paid for the acquisition of Hemerus Medical, LLC. Excluding this acquisition, net cash used in investing activities increased $34.2 million during the six months ended September 27, 2014, as compared to the six months ended September 28, 2013. This increase was due primarily to plant construction activities in Malaysia and Tijuana as part of our VCC initiatives and the purchase of two previously leased facilities: our manufacturing facility in Salt Lake City and an administrative office at our corporate headquarters in Braintree.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Net cash used in financing activities increased by $31.6 million during the six months ended September 27, 2014, as compared to the six months ended September 28, 2013, due primarily to $33.8 million of share repurchases. This was partially offset by lower term loan repayments during the six months ended September 27, 2014 due to our debt restructuring.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22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During the six months ended September 27, 2014, approximately 45.8% of our sales were generated outside the US, generally in foreign currencies, yet our reporting currency is the US Dollar. We also incur certain manufacturing, marketing and selling costs in international markets in local currency. Our primary foreign currency exposures relate to sales denominated in Euro, Japanese Yen, Chinese Yuan and Australian Dollars. We also have foreign currency exposure related to manufacturing and other operational costs denominated in Swiss Francs, British Pounds, Canadian Dollars and Mexican Pesos. The Yen, Euro, Yuan and Australian Dollar sales exposure is partially mitigated by costs and expenses for foreign operations and sourcing products denominated in foreign currencies. Since our foreign currency denominated Yen, Euro, Yuan and Australian Dollar sales exceed the foreign currency denominated costs, whenever the US Dollar strengthens relative to the Yen, Euro, Yuan or Australian Dollar, there is an adverse effect on our results of operations and, conversely, whenever the US Dollar weakens relative to the Yen, Euro, Yuan or Australian Dollar, there is a positive effect on our results of operations. For Swiss Francs, British Pounds, Canadian Dollars and Mexican Pesos,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Swiss Francs, British Pounds, Australian Dollars, Canadian Dollars and Mexican Pesos. This does not eliminate the volatility of foreign exchange rates, but because we generally enter into forward contracts one year out, rates are fixed for a one-year period, thereby facilitating financial planning and resource allocation.</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18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Presented below are the spot rates for our Euro, Japanese Yen, Australian Dollar, Canadian Dollar, British Pound, Swiss Franc and Mexican Peso cash flow hedges that settled during fiscal years 2013, 2014 and 2015 or are presently outstanding. These hedges cover our long foreign currency positions that result from our sales designated in Euro, Japanese Yen and Australian Dollars. These hedges also include our short positions associated with costs incurred in Canadian Dollars, British Pounds, Swiss Francs and Mexican Pesos.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960" w:type="dxa"/>
            <w:vAlign w:val="bottom"/>
          </w:tcPr>
          <w:p>
            <w:pPr>
              <w:jc w:val="right"/>
              <w:ind w:right="279"/>
              <w:spacing w:after="0"/>
              <w:rPr>
                <w:sz w:val="20"/>
                <w:szCs w:val="20"/>
                <w:color w:val="auto"/>
              </w:rPr>
            </w:pPr>
            <w:r>
              <w:rPr>
                <w:rFonts w:ascii="Arial" w:cs="Arial" w:eastAsia="Arial" w:hAnsi="Arial"/>
                <w:sz w:val="13"/>
                <w:szCs w:val="13"/>
                <w:color w:val="auto"/>
              </w:rPr>
              <w:t>First</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80" w:type="dxa"/>
            <w:vAlign w:val="bottom"/>
          </w:tcPr>
          <w:p>
            <w:pPr>
              <w:jc w:val="right"/>
              <w:ind w:right="219"/>
              <w:spacing w:after="0"/>
              <w:rPr>
                <w:sz w:val="20"/>
                <w:szCs w:val="20"/>
                <w:color w:val="auto"/>
              </w:rPr>
            </w:pPr>
            <w:r>
              <w:rPr>
                <w:rFonts w:ascii="Arial" w:cs="Arial" w:eastAsia="Arial" w:hAnsi="Arial"/>
                <w:sz w:val="13"/>
                <w:szCs w:val="13"/>
                <w:color w:val="auto"/>
              </w:rPr>
              <w:t>Second</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80" w:type="dxa"/>
            <w:vAlign w:val="bottom"/>
          </w:tcPr>
          <w:p>
            <w:pPr>
              <w:jc w:val="right"/>
              <w:ind w:right="279"/>
              <w:spacing w:after="0"/>
              <w:rPr>
                <w:sz w:val="20"/>
                <w:szCs w:val="20"/>
                <w:color w:val="auto"/>
              </w:rPr>
            </w:pPr>
            <w:r>
              <w:rPr>
                <w:rFonts w:ascii="Arial" w:cs="Arial" w:eastAsia="Arial" w:hAnsi="Arial"/>
                <w:sz w:val="13"/>
                <w:szCs w:val="13"/>
                <w:color w:val="auto"/>
              </w:rPr>
              <w:t>Third</w:t>
            </w:r>
          </w:p>
        </w:tc>
        <w:tc>
          <w:tcPr>
            <w:tcW w:w="1360" w:type="dxa"/>
            <w:vAlign w:val="bottom"/>
          </w:tcPr>
          <w:p>
            <w:pPr>
              <w:jc w:val="right"/>
              <w:ind w:right="319"/>
              <w:spacing w:after="0"/>
              <w:rPr>
                <w:sz w:val="20"/>
                <w:szCs w:val="20"/>
                <w:color w:val="auto"/>
              </w:rPr>
            </w:pPr>
            <w:r>
              <w:rPr>
                <w:rFonts w:ascii="Arial" w:cs="Arial" w:eastAsia="Arial" w:hAnsi="Arial"/>
                <w:sz w:val="13"/>
                <w:szCs w:val="13"/>
                <w:color w:val="auto"/>
              </w:rPr>
              <w:t>Favorable /</w:t>
            </w:r>
          </w:p>
        </w:tc>
        <w:tc>
          <w:tcPr>
            <w:tcW w:w="980" w:type="dxa"/>
            <w:vAlign w:val="bottom"/>
          </w:tcPr>
          <w:p>
            <w:pPr>
              <w:jc w:val="right"/>
              <w:ind w:right="239"/>
              <w:spacing w:after="0"/>
              <w:rPr>
                <w:sz w:val="20"/>
                <w:szCs w:val="20"/>
                <w:color w:val="auto"/>
              </w:rPr>
            </w:pPr>
            <w:r>
              <w:rPr>
                <w:rFonts w:ascii="Arial" w:cs="Arial" w:eastAsia="Arial" w:hAnsi="Arial"/>
                <w:sz w:val="13"/>
                <w:szCs w:val="13"/>
                <w:color w:val="auto"/>
              </w:rPr>
              <w:t>Fourth</w:t>
            </w:r>
          </w:p>
        </w:tc>
        <w:tc>
          <w:tcPr>
            <w:tcW w:w="1240" w:type="dxa"/>
            <w:vAlign w:val="bottom"/>
          </w:tcPr>
          <w:p>
            <w:pPr>
              <w:jc w:val="right"/>
              <w:ind w:right="199"/>
              <w:spacing w:after="0"/>
              <w:rPr>
                <w:sz w:val="20"/>
                <w:szCs w:val="20"/>
                <w:color w:val="auto"/>
              </w:rPr>
            </w:pPr>
            <w:r>
              <w:rPr>
                <w:rFonts w:ascii="Arial" w:cs="Arial" w:eastAsia="Arial" w:hAnsi="Arial"/>
                <w:sz w:val="13"/>
                <w:szCs w:val="13"/>
                <w:color w:val="auto"/>
              </w:rPr>
              <w:t>Favorable /</w:t>
            </w:r>
          </w:p>
        </w:tc>
      </w:tr>
      <w:tr>
        <w:trPr>
          <w:trHeight w:val="170"/>
        </w:trPr>
        <w:tc>
          <w:tcPr>
            <w:tcW w:w="22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360" w:type="dxa"/>
            <w:vAlign w:val="bottom"/>
            <w:tcBorders>
              <w:bottom w:val="single" w:sz="8" w:color="CCEEFF"/>
            </w:tcBorders>
          </w:tcPr>
          <w:p>
            <w:pPr>
              <w:jc w:val="right"/>
              <w:ind w:right="239"/>
              <w:spacing w:after="0"/>
              <w:rPr>
                <w:sz w:val="20"/>
                <w:szCs w:val="20"/>
                <w:color w:val="auto"/>
              </w:rPr>
            </w:pPr>
            <w:r>
              <w:rPr>
                <w:rFonts w:ascii="Arial" w:cs="Arial" w:eastAsia="Arial" w:hAnsi="Arial"/>
                <w:sz w:val="13"/>
                <w:szCs w:val="13"/>
                <w:color w:val="auto"/>
              </w:rPr>
              <w:t>(Unfavorable)</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color w:val="auto"/>
              </w:rPr>
              <w:t>Quarter</w:t>
            </w:r>
          </w:p>
        </w:tc>
        <w:tc>
          <w:tcPr>
            <w:tcW w:w="1240" w:type="dxa"/>
            <w:vAlign w:val="bottom"/>
            <w:tcBorders>
              <w:bottom w:val="single" w:sz="8" w:color="CCEEFF"/>
            </w:tcBorders>
          </w:tcPr>
          <w:p>
            <w:pPr>
              <w:jc w:val="right"/>
              <w:ind w:right="139"/>
              <w:spacing w:after="0"/>
              <w:rPr>
                <w:sz w:val="20"/>
                <w:szCs w:val="20"/>
                <w:color w:val="auto"/>
              </w:rPr>
            </w:pPr>
            <w:r>
              <w:rPr>
                <w:rFonts w:ascii="Arial" w:cs="Arial" w:eastAsia="Arial" w:hAnsi="Arial"/>
                <w:sz w:val="13"/>
                <w:szCs w:val="13"/>
                <w:color w:val="auto"/>
              </w:rPr>
              <w:t>(Unfavorable)</w:t>
            </w: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Sales Hedges</w:t>
            </w:r>
          </w:p>
        </w:tc>
        <w:tc>
          <w:tcPr>
            <w:tcW w:w="9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1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Euro - Hedge Spot Rate (US$ per Euro)</w:t>
            </w: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15 %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9 %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1.36</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FY14</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1.27</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(11)%</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1.25</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1.29</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(5)%</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1.33</w:t>
            </w: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2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8 %</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5 %</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FY16</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1.35</w:t>
            </w:r>
          </w:p>
        </w:tc>
        <w:tc>
          <w:tcPr>
            <w:tcW w:w="1360" w:type="dxa"/>
            <w:vAlign w:val="bottom"/>
          </w:tcPr>
          <w:p>
            <w:pPr>
              <w:jc w:val="right"/>
              <w:ind w:right="79"/>
              <w:spacing w:after="0"/>
              <w:rPr>
                <w:sz w:val="20"/>
                <w:szCs w:val="20"/>
                <w:color w:val="auto"/>
              </w:rPr>
            </w:pPr>
            <w:r>
              <w:rPr>
                <w:rFonts w:ascii="Arial" w:cs="Arial" w:eastAsia="Arial" w:hAnsi="Arial"/>
                <w:sz w:val="18"/>
                <w:szCs w:val="18"/>
                <w:color w:val="auto"/>
              </w:rPr>
              <w:t>2 %</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1.29</w:t>
            </w:r>
          </w:p>
        </w:tc>
        <w:tc>
          <w:tcPr>
            <w:tcW w:w="1360" w:type="dxa"/>
            <w:vAlign w:val="bottom"/>
          </w:tcPr>
          <w:p>
            <w:pPr>
              <w:jc w:val="right"/>
              <w:ind w:right="59"/>
              <w:spacing w:after="0"/>
              <w:rPr>
                <w:sz w:val="20"/>
                <w:szCs w:val="20"/>
                <w:color w:val="auto"/>
              </w:rPr>
            </w:pPr>
            <w:r>
              <w:rPr>
                <w:rFonts w:ascii="Arial" w:cs="Arial" w:eastAsia="Arial" w:hAnsi="Arial"/>
                <w:sz w:val="18"/>
                <w:szCs w:val="18"/>
                <w:color w:val="auto"/>
              </w:rPr>
              <w:t>(4)%</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tcPr>
          <w:p>
            <w:pPr>
              <w:ind w:left="40"/>
              <w:spacing w:after="0"/>
              <w:rPr>
                <w:sz w:val="20"/>
                <w:szCs w:val="20"/>
                <w:color w:val="auto"/>
              </w:rPr>
            </w:pPr>
            <w:r>
              <w:rPr>
                <w:rFonts w:ascii="Arial" w:cs="Arial" w:eastAsia="Arial" w:hAnsi="Arial"/>
                <w:sz w:val="18"/>
                <w:szCs w:val="18"/>
                <w:color w:val="auto"/>
              </w:rPr>
              <w:t>FY13</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79.40</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76.65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77.58</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78.69</w:t>
            </w:r>
          </w:p>
        </w:tc>
        <w:tc>
          <w:tcPr>
            <w:tcW w:w="9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79.85</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79.68</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84.32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93.92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97.16</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(22)%</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98.18</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101.09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102.44</w:t>
            </w: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102.05</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106.84</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b w:val="1"/>
                <w:bCs w:val="1"/>
                <w:color w:val="auto"/>
              </w:rPr>
              <w:t>Australian Dollar - Hedge Spot Rate (US$ per AUD)</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0.91</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0.90</w:t>
            </w:r>
          </w:p>
        </w:tc>
        <w:tc>
          <w:tcPr>
            <w:tcW w:w="7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0.94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2 %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0.94</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3 %</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0.94</w:t>
            </w:r>
          </w:p>
        </w:tc>
        <w:tc>
          <w:tcPr>
            <w:tcW w:w="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4 %</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0.91</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324"/>
        </w:trPr>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Hedges</w:t>
            </w:r>
          </w:p>
        </w:tc>
        <w:tc>
          <w:tcPr>
            <w:tcW w:w="18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3"/>
          </w:tcPr>
          <w:p>
            <w:pPr>
              <w:ind w:left="40"/>
              <w:spacing w:after="0"/>
              <w:rPr>
                <w:sz w:val="20"/>
                <w:szCs w:val="20"/>
                <w:color w:val="auto"/>
              </w:rPr>
            </w:pPr>
            <w:r>
              <w:rPr>
                <w:rFonts w:ascii="Arial" w:cs="Arial" w:eastAsia="Arial" w:hAnsi="Arial"/>
                <w:sz w:val="18"/>
                <w:szCs w:val="18"/>
                <w:b w:val="1"/>
                <w:bCs w:val="1"/>
                <w:color w:val="auto"/>
              </w:rPr>
              <w:t>Canadian Dollar - Hedge Spot Rate (CAD per US$)</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0.98</w:t>
            </w:r>
          </w:p>
        </w:tc>
        <w:tc>
          <w:tcPr>
            <w:tcW w:w="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0.99</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1.01</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FY14</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1.01</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3 %</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1 %</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FY16</w:t>
            </w:r>
          </w:p>
        </w:tc>
        <w:tc>
          <w:tcPr>
            <w:tcW w:w="188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38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3"/>
              </w:rPr>
              <w:t>British Pound - Hedge Spot Rate (US$ per GBP)</w:t>
            </w:r>
          </w:p>
        </w:tc>
        <w:tc>
          <w:tcPr>
            <w:tcW w:w="7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FY13</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1.62</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1.63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9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8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1.59</w:t>
            </w:r>
          </w:p>
        </w:tc>
        <w:tc>
          <w:tcPr>
            <w:tcW w:w="7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2 %</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1.55</w:t>
            </w:r>
          </w:p>
        </w:tc>
        <w:tc>
          <w:tcPr>
            <w:tcW w:w="11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11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5 %</w:t>
            </w:r>
          </w:p>
        </w:tc>
        <w:tc>
          <w:tcPr>
            <w:tcW w:w="11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1.54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FY15</w:t>
            </w:r>
          </w:p>
        </w:tc>
        <w:tc>
          <w:tcPr>
            <w:tcW w:w="1880" w:type="dxa"/>
            <w:vAlign w:val="bottom"/>
          </w:tcPr>
          <w:p>
            <w:pPr>
              <w:jc w:val="right"/>
              <w:ind w:right="710"/>
              <w:spacing w:after="0"/>
              <w:rPr>
                <w:sz w:val="20"/>
                <w:szCs w:val="20"/>
                <w:color w:val="auto"/>
              </w:rPr>
            </w:pPr>
            <w:r>
              <w:rPr>
                <w:rFonts w:ascii="Arial" w:cs="Arial" w:eastAsia="Arial" w:hAnsi="Arial"/>
                <w:sz w:val="18"/>
                <w:szCs w:val="18"/>
                <w:color w:val="auto"/>
              </w:rPr>
              <w:t>1.56</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2 %</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1.62</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(7)%</w:t>
            </w:r>
          </w:p>
        </w:tc>
        <w:tc>
          <w:tcPr>
            <w:tcW w:w="1180" w:type="dxa"/>
            <w:vAlign w:val="bottom"/>
          </w:tcPr>
          <w:p>
            <w:pPr>
              <w:jc w:val="right"/>
              <w:ind w:right="350"/>
              <w:spacing w:after="0"/>
              <w:rPr>
                <w:sz w:val="20"/>
                <w:szCs w:val="20"/>
                <w:color w:val="auto"/>
              </w:rPr>
            </w:pPr>
            <w:r>
              <w:rPr>
                <w:rFonts w:ascii="Arial" w:cs="Arial" w:eastAsia="Arial" w:hAnsi="Arial"/>
                <w:sz w:val="18"/>
                <w:szCs w:val="18"/>
                <w:color w:val="auto"/>
              </w:rPr>
              <w:t>1.65</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1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FY16</w:t>
            </w:r>
          </w:p>
        </w:tc>
        <w:tc>
          <w:tcPr>
            <w:tcW w:w="18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0.82</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(16)%</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0.96</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17 %</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0.95</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0.92</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0.93</w:t>
            </w: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0.94</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0.90</w:t>
            </w:r>
          </w:p>
        </w:tc>
        <w:tc>
          <w:tcPr>
            <w:tcW w:w="12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0.89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FY16</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0.90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0.93</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Mexican Peso - Hedge Spot Rate (MXN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FY14</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12.34</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12.35</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12.22</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12.20</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FY15</w:t>
            </w:r>
          </w:p>
        </w:tc>
        <w:tc>
          <w:tcPr>
            <w:tcW w:w="19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12.40</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13.06</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13.09</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7 %</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13.08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1560" w:type="dxa"/>
            <w:vAlign w:val="bottom"/>
          </w:tcPr>
          <w:p>
            <w:pPr>
              <w:ind w:left="40"/>
              <w:spacing w:after="0"/>
              <w:rPr>
                <w:sz w:val="20"/>
                <w:szCs w:val="20"/>
                <w:color w:val="auto"/>
              </w:rPr>
            </w:pPr>
            <w:r>
              <w:rPr>
                <w:rFonts w:ascii="Arial" w:cs="Arial" w:eastAsia="Arial" w:hAnsi="Arial"/>
                <w:sz w:val="18"/>
                <w:szCs w:val="18"/>
                <w:color w:val="auto"/>
              </w:rPr>
              <w:t>FY16</w:t>
            </w:r>
          </w:p>
        </w:tc>
        <w:tc>
          <w:tcPr>
            <w:tcW w:w="1960" w:type="dxa"/>
            <w:vAlign w:val="bottom"/>
          </w:tcPr>
          <w:p>
            <w:pPr>
              <w:jc w:val="right"/>
              <w:ind w:right="370"/>
              <w:spacing w:after="0"/>
              <w:rPr>
                <w:sz w:val="20"/>
                <w:szCs w:val="20"/>
                <w:color w:val="auto"/>
              </w:rPr>
            </w:pPr>
            <w:r>
              <w:rPr>
                <w:rFonts w:ascii="Arial" w:cs="Arial" w:eastAsia="Arial" w:hAnsi="Arial"/>
                <w:sz w:val="18"/>
                <w:szCs w:val="18"/>
                <w:color w:val="auto"/>
              </w:rPr>
              <w:t>13.10</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6 %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13.07</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 %</w:t>
            </w: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13.20</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generally place our cash flow hedge contracts on a rolling twelve month basis.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April 2014, the Financial Accounting Standards Board (“FASB”) issued Accounting Standards Update (“ASU”) No. 2014-08, “Presentation of Financial Statements (Topic 205) and Property, Plant, and Equipment (Topic 360): Reporting Discontinued Operations and Disclosures of Disposals of Components of an Entity” (“ASU 2014-08”).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The amendments in this ASU are effective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prospectively for reporting periods beginning on or after December 15, 2014, with early adoption permitted. Management does not believe that the adoption of ASU 2014-08 will have a material effect on our Financial Statements.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stipulates that an entity should recognize revenue to depict the transfer of promised goods or services to customers in an amount that reflects the consideration to which the entity expects to be entitled in exchange for those goods or services. To achieve this core principle, an entity should apply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ASU 2014-09 will be effective for the Company retrospectively beginning April 2, 2017, with early adoption not permitted. The impact on our Financial Statements of adopting ASU 2014-09 is being assessed by management.</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June 2014, the FASB issued Accounting Standards Update No. 2014-12, Accounting for Share-Based Payments When the Terms of an Award Provide That a Performance Target Could Be Achieved after the Requisite Service Period ("ASU 2014-12"). ASU 2014-12 requires that a performance target that affects vesting and could be achieved after the requisite service period be treated as a performance condition. A reporting entity should apply existing guidance in ASC 718, Compensation—Stock Compensation, as it relates to such awards. ASU 2014-12 is effective in our first quarter of fiscal 2017 with early adoption permitted using either of two methods: (i) prospective to all awards granted or modified after the effective date; or (ii) retrospective to all awards with performance targets that are outstanding as of the beginning of the earliest annual period presented in the financial statements and to all new or modified awards thereafter, with the cumulative effect of applying ASU 2014-12 as an adjustment to the opening retained earnings balance as of the beginning of the earliest annual period presented in the financial statements. Management does not believe that the adoption of ASU 2014-08 will have a material effect on our Financial Statements.</w:t>
      </w:r>
    </w:p>
    <w:p>
      <w:pPr>
        <w:spacing w:after="0" w:line="19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August 2014, the FASB issued ASU 2014-15, Presentation of Financial Statements-Going Concern (Subtopic 205-40): Disclosure of Uncertainties about an Entity’s Ability to Continue as a Going Concern. ("ASU 2014-15") ASU 2014-15 defines management's responsibility to assess an entity's ability to continue as a going concern, and to provide related footnote disclosures in certain circumstances. This guidance will be effective for all entities in the first annual period ending after December 15, 2016; however, early adoption is permitted. Management does not believe that the adoption of ASU 2014-15 will have a material effect on our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including: the effects of disruption from the manufacturing transformation making it more difficult to maintain relationships with employees and timely deliver high quality products, unexpected expenses incurred during our VCC initiatives, technological advances in the medical field and standards for transfusion medicine, our ability to successfully implement products that incorporate such advances and standards, demand for whole blood and blood components, product quality, market acceptance, regulatory uncertainties, the ability of our contract manufacturing vendors to timely supply high quality goods, the effect of economic and political conditions, the impact of competitive products and pricing, blood product reimbursement policies and practices, foreign currency exchange rates, changes in customers’ ordering patterns including single-source tenders, the effect of industry consolidation as seen in the plasma and blood center markets, the effect of communicable diseases and the effect of uncertainties in markets outside the US (including Europe and Asia) in which we operate and such other risks described under Item 1A. Risk Factors included in this report. The foregoing list should not be construed as exhaustive.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exposure relative to market risk is due to foreign exchange risk and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expenses. We do not use the financial instruments for speculative purposes. 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$9.2 million increase in the fair value of the forward contracts; whereas a 10% weakening of the US Dollar would result in a $9.5 million decrease in the fair value of the forward contracts.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exposure to changes in interest rates is associated with borrowings on our credit facility, all of which is variable rate debt. All other long-term debt is at fixed rates. Total outstanding debt under our credit facility as of September 27, 2014 was $429.4 million with an interest rate of 1.5625% based on prevailing LIBOR rates. An increase of 100 basis points in LIBOR rates would result in additional annual interest expense of $4.3 million.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an evaluation, as of September 27, 2014,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September 27, 2014. There has been no change in our internal control over financial reporting during the quarter ended September 27, 2014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Italian Employment Litigation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received notices of claimed violations of employment related contracts from some employees of the facility in Ascoli-Piceno, Italy where we have ceased manufacturing operations. These include actions claiming (i) working conditions and minimum salaries should have been established by different national collective bargaining agreements than those used over prior years, (ii) certain solidarity agreements, which are arrangements between the company, employees and the government to continue full pay and benefits for employees who would otherwise be terminated in times of low demand, are void, and (iii) payment of the extra time used for changing into and out of the working clothes at the beginning and end of each shift.</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a union represented in the Ascoli plant has filed an action claiming that the company discriminated against it in favor of three other represented unions by (i) interfering with an employee referendum, (ii) interfering with an employee petition to recall union representatives from office, and (iii) excluding the union from certain meetings.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27, 2014, the total amount of damages claimed by the plaintiffs in these matters is approximately $4.3 million; however, it is not possible at this point in the proceedings to accurately evaluate the likelihood or amount of any potential losses. We believe these claims are without merit, and intend to defend against them. As such, no losses have been accrued related to these claims in our financial statements. We may receive other, similar claims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29, 2014, which could materially affect the Company's business, financial condition or future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an April 28, 2014 press release, the Company announced that its Board of Directors approved the repurchase of up to $100.0 million worth of Company shares, subject to compliance with its loan covenants. Through September 27, 2014, the Company repurchased 1,034,816 shares of its common stock for an aggregate purchase price of $34.0 million. We reflect stock repurchases in our financial statements on a “trade date” basis and as Authorized Unissued (Haemonetics is a Massachusetts company and under Massachusetts law repurchased shares are treated as authorized but unissued).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year were made under the publicly announced program and were made in the open market.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Total Dollar Value</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of Shares Purchased</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per Share</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 Publicly</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of Shares</w:t>
            </w: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including</w:t>
            </w: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Announced Plans</w:t>
            </w:r>
          </w:p>
        </w:tc>
        <w:tc>
          <w:tcPr>
            <w:tcW w:w="1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the</w:t>
            </w:r>
          </w:p>
        </w:tc>
      </w:tr>
      <w:tr>
        <w:trPr>
          <w:trHeight w:val="234"/>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Period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Repurchased</w:t>
            </w:r>
          </w:p>
        </w:tc>
        <w:tc>
          <w:tcPr>
            <w:tcW w:w="2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Commissions</w:t>
            </w:r>
          </w:p>
        </w:tc>
        <w:tc>
          <w:tcPr>
            <w:tcW w:w="120" w:type="dxa"/>
            <w:vAlign w:val="bottom"/>
          </w:tcPr>
          <w:p>
            <w:pPr>
              <w:spacing w:after="0"/>
              <w:rPr>
                <w:sz w:val="20"/>
                <w:szCs w:val="20"/>
                <w:color w:val="auto"/>
              </w:rPr>
            </w:pPr>
          </w:p>
        </w:tc>
        <w:tc>
          <w:tcPr>
            <w:tcW w:w="17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or Programs</w:t>
            </w:r>
          </w:p>
        </w:tc>
        <w:tc>
          <w:tcPr>
            <w:tcW w:w="1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27, 2014 - May 24,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694,162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22,079,008</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77,920,992</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May 25, 2014 - June 28, 2014</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139,595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4,778,988</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73,142,004</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29, 2014 - July 26,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2,668,606</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70,473,398</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July 27, 2014 - August 23, 2014</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63,730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2,302,197</w:t>
            </w:r>
          </w:p>
        </w:tc>
        <w:tc>
          <w:tcPr>
            <w:tcW w:w="1920" w:type="dxa"/>
            <w:vAlign w:val="bottom"/>
            <w:gridSpan w:val="2"/>
          </w:tcPr>
          <w:p>
            <w:pPr>
              <w:jc w:val="right"/>
              <w:ind w:right="10"/>
              <w:spacing w:after="0"/>
              <w:rPr>
                <w:sz w:val="20"/>
                <w:szCs w:val="20"/>
                <w:color w:val="auto"/>
              </w:rPr>
            </w:pPr>
            <w:r>
              <w:rPr>
                <w:rFonts w:ascii="Arial" w:cs="Arial" w:eastAsia="Arial" w:hAnsi="Arial"/>
                <w:sz w:val="18"/>
                <w:szCs w:val="18"/>
                <w:color w:val="auto"/>
              </w:rPr>
              <w:t>68,171,201</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August 24, 2014 - September 27, 2014</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2,209,060</w:t>
            </w:r>
          </w:p>
        </w:tc>
        <w:tc>
          <w:tcPr>
            <w:tcW w:w="1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65,962,141</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1,034,816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34,037,859</w:t>
            </w:r>
          </w:p>
        </w:tc>
        <w:tc>
          <w:tcPr>
            <w:tcW w:w="12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2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[Removed and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10A</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Credit Agreement dated as of June 30, 2014 among Haemonetics Corporation and the Lenders listen therein and JPMorgan Chase Bank,</w:t>
            </w:r>
          </w:p>
        </w:tc>
      </w:tr>
      <w:tr>
        <w:trPr>
          <w:trHeight w:val="243"/>
        </w:trPr>
        <w:tc>
          <w:tcPr>
            <w:tcW w:w="820" w:type="dxa"/>
            <w:vAlign w:val="bottom"/>
          </w:tcPr>
          <w:p>
            <w:pPr>
              <w:spacing w:after="0"/>
              <w:rPr>
                <w:sz w:val="21"/>
                <w:szCs w:val="21"/>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N.A. as Administrative Agent (filed as Exhibit 10.1 to the Company's Form 8-K dated July 7, 2014 and incorporated by reference herein).</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10B†</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Pro Forma Non-Qualified Deferred Compensation Plan made effective on July 24, 2013 (filed as Exhibit 10B to the Company's Form10-Q</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for the quarter ended September 27, 2014).</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Certification pursuant to Section 302 of Sarbanes-Oxley Act of 2002, of Brian Concannon, President and Chief Executive Officer of the</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Company</w:t>
            </w:r>
          </w:p>
        </w:tc>
      </w:tr>
      <w:tr>
        <w:trPr>
          <w:trHeight w:val="52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20" w:type="dxa"/>
            <w:vAlign w:val="bottom"/>
          </w:tcPr>
          <w:p>
            <w:pPr>
              <w:ind w:left="440"/>
              <w:spacing w:after="0"/>
              <w:rPr>
                <w:sz w:val="20"/>
                <w:szCs w:val="20"/>
                <w:color w:val="auto"/>
              </w:rPr>
            </w:pPr>
            <w:r>
              <w:rPr>
                <w:rFonts w:ascii="Arial" w:cs="Arial" w:eastAsia="Arial" w:hAnsi="Arial"/>
                <w:sz w:val="18"/>
                <w:szCs w:val="18"/>
                <w:color w:val="auto"/>
                <w:w w:val="96"/>
              </w:rPr>
              <w:t>Certification pursuant to Section 302 of Sarbanes-Oxley of 2002, of Christopher Lindop, Chief Financial Officer and Executive Vice</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President Business Development of the Company</w:t>
            </w:r>
          </w:p>
        </w:tc>
      </w:tr>
      <w:tr>
        <w:trPr>
          <w:trHeight w:val="526"/>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Certification Pursuant to 18 United States Code Section 1350, as adopted Pursuant to Section 906 of the Sarbanes-Oxley Act of 2002, of</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Christopher Lindop, Chief Financial Officer and Executive Vice President Business Development of the Company</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The following materials from Haemonetics Corporation on Form 10-Q for the quarter ended September 27, 2014, formatted in Extensible</w:t>
            </w:r>
          </w:p>
        </w:tc>
      </w:tr>
      <w:tr>
        <w:trPr>
          <w:trHeight w:val="216"/>
        </w:trPr>
        <w:tc>
          <w:tcPr>
            <w:tcW w:w="82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3"/>
              </w:rPr>
              <w:t>Business Reporting Language (XBRL); (i) Consolidated Statements of Income and Comprehensive Income, (ii) Consolidated Balance</w:t>
            </w:r>
          </w:p>
        </w:tc>
      </w:tr>
      <w:tr>
        <w:trPr>
          <w:trHeight w:val="230"/>
        </w:trPr>
        <w:tc>
          <w:tcPr>
            <w:tcW w:w="820" w:type="dxa"/>
            <w:vAlign w:val="bottom"/>
          </w:tcPr>
          <w:p>
            <w:pPr>
              <w:spacing w:after="0"/>
              <w:rPr>
                <w:sz w:val="20"/>
                <w:szCs w:val="20"/>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right="240" w:hanging="685"/>
        <w:spacing w:after="0" w:line="264"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Agreement, plan, or arrangement related to the compensation of officers or directors</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121" w:right="379" w:bottom="1440" w:gutter="0" w:footer="0" w:header="0"/>
        </w:sectPr>
      </w:pPr>
    </w:p>
    <w:bookmarkStart w:id="32" w:name="page33"/>
    <w:bookmarkEnd w:id="3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November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November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Executive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1" w:right="379" w:bottom="1440" w:gutter="0" w:footer="0" w:header="0"/>
        </w:sectPr>
      </w:pPr>
    </w:p>
    <w:bookmarkStart w:id="33" w:name="page34"/>
    <w:bookmarkEnd w:id="33"/>
    <w:p>
      <w:pPr>
        <w:jc w:val="center"/>
        <w:ind w:right="60"/>
        <w:spacing w:after="0"/>
        <w:rPr>
          <w:sz w:val="20"/>
          <w:szCs w:val="20"/>
          <w:color w:val="auto"/>
        </w:rPr>
      </w:pPr>
      <w:r>
        <w:rPr>
          <w:rFonts w:ascii="Arial" w:cs="Arial" w:eastAsia="Arial" w:hAnsi="Arial"/>
          <w:sz w:val="22"/>
          <w:szCs w:val="22"/>
          <w:b w:val="1"/>
          <w:bCs w:val="1"/>
          <w:color w:val="auto"/>
        </w:rPr>
        <w:t>HAEMONETICS CORPORATION</w:t>
      </w:r>
    </w:p>
    <w:p>
      <w:pPr>
        <w:spacing w:after="0" w:line="2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NON-QUALIFIED DEFERRED COMPENSATION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as of July 24, 2013)</w:t>
      </w:r>
    </w:p>
    <w:p>
      <w:pPr>
        <w:spacing w:after="0" w:line="202"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Haemonetics Corporation</w:t>
      </w:r>
      <w:r>
        <w:rPr>
          <w:rFonts w:ascii="Arial" w:cs="Arial" w:eastAsia="Arial" w:hAnsi="Arial"/>
          <w:sz w:val="19"/>
          <w:szCs w:val="19"/>
          <w:i w:val="1"/>
          <w:iCs w:val="1"/>
          <w:color w:val="auto"/>
        </w:rPr>
        <w:t>,</w:t>
      </w:r>
      <w:r>
        <w:rPr>
          <w:rFonts w:ascii="Arial" w:cs="Arial" w:eastAsia="Arial" w:hAnsi="Arial"/>
          <w:sz w:val="19"/>
          <w:szCs w:val="19"/>
          <w:color w:val="auto"/>
        </w:rPr>
        <w:t xml:space="preserve"> a Massachusetts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hereby amends and restates this Non-Qualified Deferred Compensation Plan (the “</w:t>
      </w:r>
      <w:r>
        <w:rPr>
          <w:rFonts w:ascii="Arial" w:cs="Arial" w:eastAsia="Arial" w:hAnsi="Arial"/>
          <w:sz w:val="19"/>
          <w:szCs w:val="19"/>
          <w:u w:val="single" w:color="auto"/>
          <w:color w:val="auto"/>
        </w:rPr>
        <w:t>Plan</w:t>
      </w:r>
      <w:r>
        <w:rPr>
          <w:rFonts w:ascii="Arial" w:cs="Arial" w:eastAsia="Arial" w:hAnsi="Arial"/>
          <w:sz w:val="19"/>
          <w:szCs w:val="19"/>
          <w:color w:val="auto"/>
        </w:rPr>
        <w:t>”), originally effective as of July 27, 2012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for the purpose of promoting the interests of the Company and its stockholders by enabling the Company to attract and retain well-qualified executives and directors. The Plan is intended to, and shall be interpreted to, comply in all respects with Code Section 409A and those provisions of ERISA applicable to “a plan which is unfunded and is maintained by an employer primarily for the purpose of providing deferred compensation benefits for a select group of “management or highly compensated employees.”</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-13970</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TITLE AND DEFINITIONS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Account</w:t>
      </w:r>
      <w:r>
        <w:rPr>
          <w:rFonts w:ascii="Arial" w:cs="Arial" w:eastAsia="Arial" w:hAnsi="Arial"/>
          <w:sz w:val="22"/>
          <w:szCs w:val="22"/>
          <w:color w:val="auto"/>
        </w:rPr>
        <w:t>” or “</w:t>
      </w:r>
      <w:r>
        <w:rPr>
          <w:rFonts w:ascii="Arial" w:cs="Arial" w:eastAsia="Arial" w:hAnsi="Arial"/>
          <w:sz w:val="22"/>
          <w:szCs w:val="22"/>
          <w:b w:val="1"/>
          <w:bCs w:val="1"/>
          <w:color w:val="auto"/>
        </w:rPr>
        <w:t>Accounts</w:t>
      </w:r>
      <w:r>
        <w:rPr>
          <w:rFonts w:ascii="Arial" w:cs="Arial" w:eastAsia="Arial" w:hAnsi="Arial"/>
          <w:sz w:val="22"/>
          <w:szCs w:val="22"/>
          <w:color w:val="auto"/>
        </w:rPr>
        <w:t>” shall mean the bookkeeping account or accounts established under this Plan pursuant to Article 4.</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color w:val="auto"/>
        </w:rPr>
        <w:t>Base Salary</w:t>
      </w:r>
      <w:r>
        <w:rPr>
          <w:rFonts w:ascii="Arial" w:cs="Arial" w:eastAsia="Arial" w:hAnsi="Arial"/>
          <w:sz w:val="22"/>
          <w:szCs w:val="22"/>
          <w:color w:val="auto"/>
        </w:rPr>
        <w:t>” shall mean a Participant’s annual base salary, excluding incentive and discretionary bonuses, commissions, reimbursements and other non-regular remuneration, received from the Company prior to reduction for any salary deferrals under benefit plans sponsored by the Company, including but not limited to, plans established pursuant to Code Section 125 or qualified pursuant to Code Section 401(k).</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Beneficiary</w:t>
      </w:r>
      <w:r>
        <w:rPr>
          <w:rFonts w:ascii="Arial" w:cs="Arial" w:eastAsia="Arial" w:hAnsi="Arial"/>
          <w:sz w:val="19"/>
          <w:szCs w:val="19"/>
          <w:color w:val="auto"/>
        </w:rPr>
        <w:t>” or “</w:t>
      </w:r>
      <w:r>
        <w:rPr>
          <w:rFonts w:ascii="Arial" w:cs="Arial" w:eastAsia="Arial" w:hAnsi="Arial"/>
          <w:sz w:val="19"/>
          <w:szCs w:val="19"/>
          <w:b w:val="1"/>
          <w:bCs w:val="1"/>
          <w:color w:val="auto"/>
        </w:rPr>
        <w:t>Beneficiaries</w:t>
      </w:r>
      <w:r>
        <w:rPr>
          <w:rFonts w:ascii="Arial" w:cs="Arial" w:eastAsia="Arial" w:hAnsi="Arial"/>
          <w:sz w:val="19"/>
          <w:szCs w:val="19"/>
          <w:color w:val="auto"/>
        </w:rPr>
        <w:t>” shall mean the person, persons or entity designated as such pursuant to Section 7.1.</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shall mean the Board of Directors of Company.</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Bonus(es)</w:t>
      </w:r>
      <w:r>
        <w:rPr>
          <w:rFonts w:ascii="Arial" w:cs="Arial" w:eastAsia="Arial" w:hAnsi="Arial"/>
          <w:sz w:val="22"/>
          <w:szCs w:val="22"/>
          <w:color w:val="auto"/>
        </w:rPr>
        <w:t>” shall mean amounts paid to the Participant by the Company annually in the form of discretionary or incentive compensation or any other bonus designated by the Committee before reductions for contributions to or deferrals under any pension, deferred compensation or benefit plans sponsored by the Company.</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Code</w:t>
      </w:r>
      <w:r>
        <w:rPr>
          <w:rFonts w:ascii="Arial" w:cs="Arial" w:eastAsia="Arial" w:hAnsi="Arial"/>
          <w:sz w:val="22"/>
          <w:szCs w:val="22"/>
          <w:color w:val="auto"/>
        </w:rPr>
        <w:t>” shall mean the Internal Revenue Code of 1986, as amended, as interpreted by Treasury regulations and applicable authorities promulgated thereunder.</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color w:val="auto"/>
        </w:rPr>
        <w:t>Committee</w:t>
      </w:r>
      <w:r>
        <w:rPr>
          <w:rFonts w:ascii="Arial" w:cs="Arial" w:eastAsia="Arial" w:hAnsi="Arial"/>
          <w:sz w:val="22"/>
          <w:szCs w:val="22"/>
          <w:color w:val="auto"/>
        </w:rPr>
        <w:t>” shall mean the person or persons appointed by the Board to administer the Plan in accordance with Article 8.</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1.8 </w:t>
      </w:r>
      <w:r>
        <w:rPr>
          <w:rFonts w:ascii="Arial" w:cs="Arial" w:eastAsia="Arial" w:hAnsi="Arial"/>
          <w:sz w:val="22"/>
          <w:szCs w:val="22"/>
          <w:b w:val="1"/>
          <w:bCs w:val="1"/>
          <w:color w:val="auto"/>
        </w:rPr>
        <w:t>“Commissions”</w:t>
      </w:r>
      <w:r>
        <w:rPr>
          <w:rFonts w:ascii="Arial" w:cs="Arial" w:eastAsia="Arial" w:hAnsi="Arial"/>
          <w:sz w:val="22"/>
          <w:szCs w:val="22"/>
          <w:color w:val="auto"/>
        </w:rPr>
        <w:t xml:space="preserve"> shall mean commissions payable to the Participant for the applicable Plan Year (as determined by the Committee in compliance with Code Section 409A) before reductions for contributions to or deferrals under any pension, deferred compensation or benefit plans sponsored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85" w:right="239" w:bottom="1440" w:gutter="0" w:footer="0" w:header="0"/>
        </w:sectPr>
      </w:pPr>
    </w:p>
    <w:bookmarkStart w:id="34" w:name="page35"/>
    <w:bookmarkEnd w:id="34"/>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 Contributions</w:t>
      </w:r>
      <w:r>
        <w:rPr>
          <w:rFonts w:ascii="Arial" w:cs="Arial" w:eastAsia="Arial" w:hAnsi="Arial"/>
          <w:sz w:val="19"/>
          <w:szCs w:val="19"/>
          <w:color w:val="auto"/>
        </w:rPr>
        <w:t>” shall mean the contributions, if any, made by the Company pursuant to Section 3.2.</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b w:val="1"/>
          <w:bCs w:val="1"/>
          <w:color w:val="auto"/>
        </w:rPr>
        <w:t>Company Contribution Account</w:t>
      </w:r>
      <w:r>
        <w:rPr>
          <w:rFonts w:ascii="Arial" w:cs="Arial" w:eastAsia="Arial" w:hAnsi="Arial"/>
          <w:sz w:val="22"/>
          <w:szCs w:val="22"/>
          <w:color w:val="auto"/>
        </w:rPr>
        <w:t>” shall mean the Account maintained for the benefit of the Participant which is credited with Company Contributions, if any, pursuant to Section 4.2.</w:t>
      </w:r>
    </w:p>
    <w:p>
      <w:pPr>
        <w:spacing w:after="0" w:line="14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Compensation</w:t>
      </w:r>
      <w:r>
        <w:rPr>
          <w:rFonts w:ascii="Arial" w:cs="Arial" w:eastAsia="Arial" w:hAnsi="Arial"/>
          <w:sz w:val="19"/>
          <w:szCs w:val="19"/>
          <w:color w:val="auto"/>
        </w:rPr>
        <w:t>” shall mean all amounts eligible for deferral for a particular Plan Year under Section 3.1(a).</w:t>
      </w:r>
    </w:p>
    <w:p>
      <w:pPr>
        <w:spacing w:after="0" w:line="2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color w:val="auto"/>
        </w:rPr>
        <w:t>Crediting Rate</w:t>
      </w:r>
      <w:r>
        <w:rPr>
          <w:rFonts w:ascii="Arial" w:cs="Arial" w:eastAsia="Arial" w:hAnsi="Arial"/>
          <w:sz w:val="22"/>
          <w:szCs w:val="22"/>
          <w:color w:val="auto"/>
        </w:rPr>
        <w:t>” shall mean the notional gains and losses credited on the Participant’s Account balance which are based on the Participant’s choice among the investment alternatives made available by the Committee pursuant to Section 3.3 of the Plan.</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Deferral Account</w:t>
      </w:r>
      <w:r>
        <w:rPr>
          <w:rFonts w:ascii="Arial" w:cs="Arial" w:eastAsia="Arial" w:hAnsi="Arial"/>
          <w:sz w:val="22"/>
          <w:szCs w:val="22"/>
          <w:color w:val="auto"/>
        </w:rPr>
        <w:t>” shall mean the Account maintained for each Participant which is credited with Participant deferrals pursuant to Section 4.1.</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b w:val="1"/>
          <w:bCs w:val="1"/>
          <w:color w:val="auto"/>
        </w:rPr>
        <w:t xml:space="preserve">“Director” </w:t>
      </w:r>
      <w:r>
        <w:rPr>
          <w:rFonts w:ascii="Arial" w:cs="Arial" w:eastAsia="Arial" w:hAnsi="Arial"/>
          <w:sz w:val="19"/>
          <w:szCs w:val="19"/>
          <w:color w:val="auto"/>
        </w:rPr>
        <w:t>shall mean a member of the Board.</w:t>
      </w:r>
    </w:p>
    <w:p>
      <w:pPr>
        <w:spacing w:after="0" w:line="233" w:lineRule="exact"/>
        <w:rPr>
          <w:sz w:val="20"/>
          <w:szCs w:val="20"/>
          <w:color w:val="auto"/>
        </w:rPr>
      </w:pPr>
    </w:p>
    <w:p>
      <w:pPr>
        <w:jc w:val="both"/>
        <w:ind w:firstLine="648"/>
        <w:spacing w:after="0" w:line="269" w:lineRule="exact"/>
        <w:rPr>
          <w:sz w:val="20"/>
          <w:szCs w:val="20"/>
          <w:color w:val="auto"/>
        </w:rPr>
      </w:pPr>
      <w:r>
        <w:rPr>
          <w:rFonts w:ascii="Arial" w:cs="Arial" w:eastAsia="Arial" w:hAnsi="Arial"/>
          <w:sz w:val="22"/>
          <w:szCs w:val="22"/>
          <w:color w:val="auto"/>
        </w:rPr>
        <w:t xml:space="preserve">1.15 </w:t>
      </w:r>
      <w:r>
        <w:rPr>
          <w:rFonts w:ascii="Arial" w:cs="Arial" w:eastAsia="Arial" w:hAnsi="Arial"/>
          <w:sz w:val="22"/>
          <w:szCs w:val="22"/>
          <w:b w:val="1"/>
          <w:bCs w:val="1"/>
          <w:color w:val="auto"/>
        </w:rPr>
        <w:t>“Directors Fees”</w:t>
      </w:r>
      <w:r>
        <w:rPr>
          <w:rFonts w:ascii="Arial" w:cs="Arial" w:eastAsia="Arial" w:hAnsi="Arial"/>
          <w:sz w:val="22"/>
          <w:szCs w:val="22"/>
          <w:color w:val="auto"/>
        </w:rPr>
        <w:t xml:space="preserve"> shall mean compensation for services as a member of the Board of Directors of the Company excluding reimbursement of expenses or other non</w:t>
      </w:r>
      <w:r>
        <w:rPr>
          <w:rFonts w:ascii="MS PGothic" w:cs="MS PGothic" w:eastAsia="MS PGothic" w:hAnsi="MS PGothic"/>
          <w:sz w:val="22"/>
          <w:szCs w:val="22"/>
          <w:color w:val="auto"/>
        </w:rPr>
        <w:t>‑</w:t>
      </w:r>
      <w:r>
        <w:rPr>
          <w:rFonts w:ascii="Arial" w:cs="Arial" w:eastAsia="Arial" w:hAnsi="Arial"/>
          <w:sz w:val="22"/>
          <w:szCs w:val="22"/>
          <w:color w:val="auto"/>
        </w:rPr>
        <w:t>regular forms of compensation, before reductions for contributions to or deferrals under any deferred compensation plan sponsored by the Company.</w:t>
      </w:r>
    </w:p>
    <w:p>
      <w:pPr>
        <w:spacing w:after="0" w:line="19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b w:val="1"/>
          <w:bCs w:val="1"/>
          <w:color w:val="auto"/>
        </w:rPr>
        <w:t>Disability</w:t>
      </w:r>
      <w:r>
        <w:rPr>
          <w:rFonts w:ascii="Arial" w:cs="Arial" w:eastAsia="Arial" w:hAnsi="Arial"/>
          <w:sz w:val="19"/>
          <w:szCs w:val="19"/>
          <w:color w:val="auto"/>
        </w:rPr>
        <w:t>” shall mean (consistent with the requirements of Section 409A) that the Participant (i) is unable to engage in any substantial gainful activity by reason of any medically determinable physical or mental impairment which can be expected to result in death or can be expected to last for a continuous period of not less than 12 months, or (ii)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 The Committee may require that the Participant submit evidence of such qualification for disability benefits in order to determine that the Participant is disabled under this Plan.</w:t>
      </w:r>
    </w:p>
    <w:p>
      <w:pPr>
        <w:spacing w:after="0" w:line="14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Distributable Amount</w:t>
      </w:r>
      <w:r>
        <w:rPr>
          <w:rFonts w:ascii="Arial" w:cs="Arial" w:eastAsia="Arial" w:hAnsi="Arial"/>
          <w:sz w:val="19"/>
          <w:szCs w:val="19"/>
          <w:color w:val="auto"/>
        </w:rPr>
        <w:t>” shall mean the vested balance in the applicable Account as determined under Article 4.</w:t>
      </w:r>
    </w:p>
    <w:p>
      <w:pPr>
        <w:spacing w:after="0" w:line="233"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Eligible Executive</w:t>
      </w:r>
      <w:r>
        <w:rPr>
          <w:rFonts w:ascii="Arial" w:cs="Arial" w:eastAsia="Arial" w:hAnsi="Arial"/>
          <w:sz w:val="22"/>
          <w:szCs w:val="22"/>
          <w:color w:val="auto"/>
        </w:rPr>
        <w:t>” shall mean a highly compensated or management level employee or Director of the Company selected by the Committee to be eligible to participate in the Plan.</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ERISA</w:t>
      </w:r>
      <w:r>
        <w:rPr>
          <w:rFonts w:ascii="Arial" w:cs="Arial" w:eastAsia="Arial" w:hAnsi="Arial"/>
          <w:sz w:val="22"/>
          <w:szCs w:val="22"/>
          <w:color w:val="auto"/>
        </w:rPr>
        <w:t>” shall mean the Employee Retirement Income Security Act of 1974, as amended, including Department of Labor and Treasury regulations and applicable authorities promulgated thereunder.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85" w:right="239" w:bottom="1440" w:gutter="0" w:footer="0" w:header="0"/>
        </w:sectPr>
      </w:pPr>
    </w:p>
    <w:bookmarkStart w:id="35" w:name="page36"/>
    <w:bookmarkEnd w:id="35"/>
    <w:p>
      <w:pPr>
        <w:jc w:val="both"/>
        <w:ind w:firstLine="648"/>
        <w:spacing w:after="0" w:line="302" w:lineRule="auto"/>
        <w:rPr>
          <w:sz w:val="20"/>
          <w:szCs w:val="20"/>
          <w:color w:val="auto"/>
        </w:rPr>
      </w:pPr>
      <w:r>
        <w:rPr>
          <w:rFonts w:ascii="Arial" w:cs="Arial" w:eastAsia="Arial" w:hAnsi="Arial"/>
          <w:sz w:val="19"/>
          <w:szCs w:val="19"/>
          <w:color w:val="auto"/>
        </w:rPr>
        <w:t>1.20 “</w:t>
      </w:r>
      <w:r>
        <w:rPr>
          <w:rFonts w:ascii="Arial" w:cs="Arial" w:eastAsia="Arial" w:hAnsi="Arial"/>
          <w:sz w:val="19"/>
          <w:szCs w:val="19"/>
          <w:b w:val="1"/>
          <w:bCs w:val="1"/>
          <w:color w:val="auto"/>
        </w:rPr>
        <w:t>Financial Hardship</w:t>
      </w:r>
      <w:r>
        <w:rPr>
          <w:rFonts w:ascii="Arial" w:cs="Arial" w:eastAsia="Arial" w:hAnsi="Arial"/>
          <w:sz w:val="19"/>
          <w:szCs w:val="19"/>
          <w:color w:val="auto"/>
        </w:rPr>
        <w:t>” shall mean a severe financial hardship to the Participant resulting from an illness or accident of the Participant, the Participant’s spouse, or a dependent (as defined in IRC Section 152(a)) of the Participant, loss of the Participant’s property due to casualty, or other similar extraordinary and unforeseeable circumstances arising as a result of events beyond the control of the Participant, (but shall in all events correspond to the meaning of the term “unforeseeable emergency” under Code Section 409A(a)(2)(v)). The need to purchase a home or pay college tuition are not unforeseeable emergencies.</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Fund</w:t>
      </w:r>
      <w:r>
        <w:rPr>
          <w:rFonts w:ascii="Arial" w:cs="Arial" w:eastAsia="Arial" w:hAnsi="Arial"/>
          <w:sz w:val="22"/>
          <w:szCs w:val="22"/>
          <w:color w:val="auto"/>
        </w:rPr>
        <w:t>” or “</w:t>
      </w:r>
      <w:r>
        <w:rPr>
          <w:rFonts w:ascii="Arial" w:cs="Arial" w:eastAsia="Arial" w:hAnsi="Arial"/>
          <w:sz w:val="22"/>
          <w:szCs w:val="22"/>
          <w:b w:val="1"/>
          <w:bCs w:val="1"/>
          <w:color w:val="auto"/>
        </w:rPr>
        <w:t>Funds</w:t>
      </w:r>
      <w:r>
        <w:rPr>
          <w:rFonts w:ascii="Arial" w:cs="Arial" w:eastAsia="Arial" w:hAnsi="Arial"/>
          <w:sz w:val="22"/>
          <w:szCs w:val="22"/>
          <w:color w:val="auto"/>
        </w:rPr>
        <w:t>” shall mean one or more of the investments selected by the Committee pursuant to Section 3.3 of the Plan.</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22"/>
          <w:szCs w:val="22"/>
          <w:color w:val="auto"/>
        </w:rPr>
        <w:t>1.22 “</w:t>
      </w:r>
      <w:r>
        <w:rPr>
          <w:rFonts w:ascii="Arial" w:cs="Arial" w:eastAsia="Arial" w:hAnsi="Arial"/>
          <w:sz w:val="22"/>
          <w:szCs w:val="22"/>
          <w:b w:val="1"/>
          <w:bCs w:val="1"/>
          <w:color w:val="auto"/>
        </w:rPr>
        <w:t>Hardship Distribution</w:t>
      </w:r>
      <w:r>
        <w:rPr>
          <w:rFonts w:ascii="Arial" w:cs="Arial" w:eastAsia="Arial" w:hAnsi="Arial"/>
          <w:sz w:val="22"/>
          <w:szCs w:val="22"/>
          <w:color w:val="auto"/>
        </w:rPr>
        <w:t>” shall mean an accelerated distribution of benefits or a reduction or cessation of current deferrals pursuant to Section 6.5 to a Participant who has suffered a Financial Hardship.</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b w:val="1"/>
          <w:bCs w:val="1"/>
          <w:color w:val="auto"/>
        </w:rPr>
        <w:t>Interest Rate</w:t>
      </w:r>
      <w:r>
        <w:rPr>
          <w:rFonts w:ascii="Arial" w:cs="Arial" w:eastAsia="Arial" w:hAnsi="Arial"/>
          <w:sz w:val="22"/>
          <w:szCs w:val="22"/>
          <w:color w:val="auto"/>
        </w:rPr>
        <w:t>” shall mean, for each Fund, an amount equal to the net gain or loss on the assets of such Fund during each month, as determined by the Committee.</w:t>
      </w:r>
    </w:p>
    <w:p>
      <w:pPr>
        <w:spacing w:after="0" w:line="14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Long-Term Cash Award</w:t>
      </w:r>
      <w:r>
        <w:rPr>
          <w:rFonts w:ascii="Arial" w:cs="Arial" w:eastAsia="Arial" w:hAnsi="Arial"/>
          <w:sz w:val="19"/>
          <w:szCs w:val="19"/>
          <w:color w:val="auto"/>
        </w:rPr>
        <w:t>” shall mean long-term cash awards designated as such by the Company.</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b w:val="1"/>
          <w:bCs w:val="1"/>
          <w:color w:val="auto"/>
        </w:rPr>
        <w:t>“Other Stock Unit Award”</w:t>
      </w:r>
      <w:r>
        <w:rPr>
          <w:rFonts w:ascii="Arial" w:cs="Arial" w:eastAsia="Arial" w:hAnsi="Arial"/>
          <w:sz w:val="22"/>
          <w:szCs w:val="22"/>
          <w:color w:val="auto"/>
        </w:rPr>
        <w:t xml:space="preserve"> shall mean an other stock unit award granted under the Haemonetics Corporation 2005 Long-Term Incentive Compensation Plan, or any successor plan.</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shall mean any Eligible Executive who becomes a Participant in this Plan in accordance with Article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Participant Election(s)</w:t>
      </w:r>
      <w:r>
        <w:rPr>
          <w:rFonts w:ascii="Arial" w:cs="Arial" w:eastAsia="Arial" w:hAnsi="Arial"/>
          <w:sz w:val="19"/>
          <w:szCs w:val="19"/>
          <w:color w:val="auto"/>
        </w:rPr>
        <w:t>” shall mean the forms or procedures by which a Participant makes elections with respect to</w:t>
      </w:r>
    </w:p>
    <w:p>
      <w:pPr>
        <w:spacing w:after="0" w:line="28" w:lineRule="exact"/>
        <w:rPr>
          <w:sz w:val="20"/>
          <w:szCs w:val="20"/>
          <w:color w:val="auto"/>
        </w:rPr>
      </w:pPr>
    </w:p>
    <w:p>
      <w:pPr>
        <w:jc w:val="both"/>
        <w:ind w:firstLine="8"/>
        <w:spacing w:after="0" w:line="310" w:lineRule="auto"/>
        <w:tabs>
          <w:tab w:leader="none" w:pos="322" w:val="left"/>
        </w:tabs>
        <w:numPr>
          <w:ilvl w:val="0"/>
          <w:numId w:val="6"/>
        </w:numPr>
        <w:rPr>
          <w:rFonts w:ascii="Arial" w:cs="Arial" w:eastAsia="Arial" w:hAnsi="Arial"/>
          <w:sz w:val="19"/>
          <w:szCs w:val="19"/>
          <w:color w:val="auto"/>
        </w:rPr>
      </w:pPr>
      <w:r>
        <w:rPr>
          <w:rFonts w:ascii="Arial" w:cs="Arial" w:eastAsia="Arial" w:hAnsi="Arial"/>
          <w:sz w:val="19"/>
          <w:szCs w:val="19"/>
          <w:color w:val="auto"/>
        </w:rPr>
        <w:t>voluntary deferrals of his/her Compensation, (2) the investment Funds which shall act as the basis for crediting of interest on Account balances, and (3) the form and timing of distributions from Accounts. Participant Elections may take the form of an electronic communication followed by appropriate confirmation according to specifications established by the Committee.</w:t>
      </w:r>
    </w:p>
    <w:p>
      <w:pPr>
        <w:spacing w:after="0" w:line="12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b w:val="1"/>
          <w:bCs w:val="1"/>
          <w:color w:val="auto"/>
        </w:rPr>
        <w:t>Payment Date</w:t>
      </w:r>
      <w:r>
        <w:rPr>
          <w:rFonts w:ascii="Arial" w:cs="Arial" w:eastAsia="Arial" w:hAnsi="Arial"/>
          <w:sz w:val="21"/>
          <w:szCs w:val="21"/>
          <w:color w:val="auto"/>
        </w:rPr>
        <w:t>” shall mean the date by which a total distribution of the Distributable Amount shall be made or the date by which installment payments of the Distributable Amount shall commence. Unless otherwise specified, the Payment Date shall be the first day of the seventh (7</w:t>
      </w:r>
      <w:r>
        <w:rPr>
          <w:rFonts w:ascii="Arial" w:cs="Arial" w:eastAsia="Arial" w:hAnsi="Arial"/>
          <w:sz w:val="27"/>
          <w:szCs w:val="27"/>
          <w:color w:val="auto"/>
          <w:vertAlign w:val="superscript"/>
        </w:rPr>
        <w:t>th</w:t>
      </w:r>
      <w:r>
        <w:rPr>
          <w:rFonts w:ascii="Arial" w:cs="Arial" w:eastAsia="Arial" w:hAnsi="Arial"/>
          <w:sz w:val="21"/>
          <w:szCs w:val="21"/>
          <w:color w:val="auto"/>
        </w:rPr>
        <w:t>) month commencing after the event triggering the payout occurs. Subsequent installments shall be made in April of each succeeding Plan Year. In the case of death, the Committee shall be provided with documentation reasonably necessary to establish the fact of the Participant’s death. The Payment Date of a Scheduled Distribution shall be April of the Plan Year in which the distribution is scheduled to commence. Notwithstanding the foregoing, the Payment Date shall not be before the earliest date on which benefits may be distributed under Code Section 409A without violation of the provisions thereof as reasonably determined by the Committee.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85" w:right="239" w:bottom="1440" w:gutter="0" w:footer="0" w:header="0"/>
        </w:sectPr>
      </w:pPr>
    </w:p>
    <w:bookmarkStart w:id="36" w:name="page37"/>
    <w:bookmarkEnd w:id="36"/>
    <w:p>
      <w:pPr>
        <w:ind w:left="660"/>
        <w:spacing w:after="0"/>
        <w:tabs>
          <w:tab w:leader="none" w:pos="126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19"/>
          <w:szCs w:val="19"/>
          <w:b w:val="1"/>
          <w:bCs w:val="1"/>
          <w:color w:val="auto"/>
        </w:rPr>
        <w:t xml:space="preserve">“Performance Share Award” </w:t>
      </w:r>
      <w:r>
        <w:rPr>
          <w:rFonts w:ascii="Arial" w:cs="Arial" w:eastAsia="Arial" w:hAnsi="Arial"/>
          <w:sz w:val="19"/>
          <w:szCs w:val="19"/>
          <w:color w:val="auto"/>
        </w:rPr>
        <w:t>shall mean a performance share award granted under the Haemonetics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2005 Long-Term Incentive Corporation Plan, or any successor plan.</w:t>
      </w:r>
    </w:p>
    <w:p>
      <w:pPr>
        <w:spacing w:after="0" w:line="20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b w:val="1"/>
          <w:bCs w:val="1"/>
          <w:color w:val="auto"/>
        </w:rPr>
        <w:t>Plan Year</w:t>
      </w:r>
      <w:r>
        <w:rPr>
          <w:rFonts w:ascii="Arial" w:cs="Arial" w:eastAsia="Arial" w:hAnsi="Arial"/>
          <w:sz w:val="22"/>
          <w:szCs w:val="22"/>
          <w:color w:val="auto"/>
        </w:rPr>
        <w:t>” shall mean the calendar year except that the first Plan Year shall begin on the Effective Date and end on the last day of the calendar year in which the Effective Date occurs.</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1.31 “</w:t>
      </w:r>
      <w:r>
        <w:rPr>
          <w:rFonts w:ascii="Arial" w:cs="Arial" w:eastAsia="Arial" w:hAnsi="Arial"/>
          <w:sz w:val="22"/>
          <w:szCs w:val="22"/>
          <w:b w:val="1"/>
          <w:bCs w:val="1"/>
          <w:color w:val="auto"/>
        </w:rPr>
        <w:t>Restricted Stock Unit</w:t>
      </w:r>
      <w:r>
        <w:rPr>
          <w:rFonts w:ascii="Arial" w:cs="Arial" w:eastAsia="Arial" w:hAnsi="Arial"/>
          <w:sz w:val="22"/>
          <w:szCs w:val="22"/>
          <w:color w:val="auto"/>
        </w:rPr>
        <w:t>” shall mean restricted stock unit awards granted under the Haemonetics Corporation 2005 Long-Term Incentive Compensation Plan, or any successor plan.</w:t>
      </w:r>
    </w:p>
    <w:p>
      <w:pPr>
        <w:spacing w:after="0" w:line="148"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1"/>
          <w:szCs w:val="21"/>
          <w:color w:val="auto"/>
        </w:rPr>
        <w:t>1.32 “</w:t>
      </w:r>
      <w:r>
        <w:rPr>
          <w:rFonts w:ascii="Arial" w:cs="Arial" w:eastAsia="Arial" w:hAnsi="Arial"/>
          <w:sz w:val="21"/>
          <w:szCs w:val="21"/>
          <w:b w:val="1"/>
          <w:bCs w:val="1"/>
          <w:color w:val="auto"/>
        </w:rPr>
        <w:t>Scheduled Distribution</w:t>
      </w:r>
      <w:r>
        <w:rPr>
          <w:rFonts w:ascii="Arial" w:cs="Arial" w:eastAsia="Arial" w:hAnsi="Arial"/>
          <w:sz w:val="21"/>
          <w:szCs w:val="21"/>
          <w:color w:val="auto"/>
        </w:rPr>
        <w:t>” shall mean a scheduled distribution date elected by the Participant for distribution of amounts from a specified Deferral Account, including notional earnings thereon, as provided under Section 6.4.</w:t>
      </w:r>
    </w:p>
    <w:p>
      <w:pPr>
        <w:spacing w:after="0" w:line="12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b w:val="1"/>
          <w:bCs w:val="1"/>
          <w:color w:val="auto"/>
        </w:rPr>
        <w:t>Termination of Service</w:t>
      </w:r>
      <w:r>
        <w:rPr>
          <w:rFonts w:ascii="Arial" w:cs="Arial" w:eastAsia="Arial" w:hAnsi="Arial"/>
          <w:sz w:val="22"/>
          <w:szCs w:val="22"/>
          <w:color w:val="auto"/>
        </w:rPr>
        <w:t>” shall mean the date of the cessation of the Participant’s provision of services to the Company that constitutes a “separation from service” as defined under Code Section 409A for any reason whatsoever, whether voluntary or involuntary, including as a result of the Participant’s death or Disability.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1.34 “</w:t>
      </w:r>
      <w:r>
        <w:rPr>
          <w:rFonts w:ascii="Arial" w:cs="Arial" w:eastAsia="Arial" w:hAnsi="Arial"/>
          <w:sz w:val="22"/>
          <w:szCs w:val="22"/>
          <w:b w:val="1"/>
          <w:bCs w:val="1"/>
          <w:color w:val="auto"/>
        </w:rPr>
        <w:t>Years of Service</w:t>
      </w:r>
      <w:r>
        <w:rPr>
          <w:rFonts w:ascii="Arial" w:cs="Arial" w:eastAsia="Arial" w:hAnsi="Arial"/>
          <w:sz w:val="22"/>
          <w:szCs w:val="22"/>
          <w:color w:val="auto"/>
        </w:rPr>
        <w:t>” shall mean the cumulative consecutive years of continuous full-time employment with the Company (including approved leaves of absence of six months or less or legally protected leaves of absence), beginning on the date the Participant first began service with the Company, and counting each anniversary thereof. The Committee may promulgate rules for crediting Years of Service for Participants who commence service with the Company by reason of merger, acquisition, purchase of assets or other similar transaction.</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PARTICIPATION</w:t>
      </w:r>
    </w:p>
    <w:p>
      <w:pPr>
        <w:spacing w:after="0" w:line="21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An Eligible Executive shall become a Participant in the Plan by completing and submitting to the Committee the appropriate Participant Elections, including such other documentation and information as the Committee may reasonably request, during the enrollment period established by the Committee prior to the beginning of the first Plan Year in which the Eligible Executive shall be eligible to participate in the Plan. In the case of the first Plan Year in which an Eligible Executive becomes eligible to participate in the Plan, the Eligible Executive may make an initial deferral election within thirty (30) days after the date the Eligible Executive becomes eligible to participate in the Plan.</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22"/>
          <w:szCs w:val="22"/>
          <w:b w:val="1"/>
          <w:bCs w:val="1"/>
          <w:u w:val="single" w:color="auto"/>
          <w:color w:val="auto"/>
        </w:rPr>
        <w:t>CONTRIBUTIONS &amp; DEFERRAL ELECTIONS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Elections to Defer Compensation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57"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Form of Elections</w:t>
      </w:r>
      <w:r>
        <w:rPr>
          <w:rFonts w:ascii="Arial" w:cs="Arial" w:eastAsia="Arial" w:hAnsi="Arial"/>
          <w:sz w:val="22"/>
          <w:szCs w:val="22"/>
          <w:color w:val="auto"/>
        </w:rPr>
        <w:t>. A Participant may only elect to defer Compensation attributable to services provided after the time an election is made. Elections shall take the form of a whole percentage (less applicable payroll withholding requirements for Social Security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85" w:right="239" w:bottom="1440" w:gutter="0" w:footer="0" w:header="0"/>
        </w:sectPr>
      </w:pPr>
    </w:p>
    <w:bookmarkStart w:id="37" w:name="page38"/>
    <w:bookmarkEnd w:id="37"/>
    <w:p>
      <w:pPr>
        <w:spacing w:after="0"/>
        <w:rPr>
          <w:sz w:val="20"/>
          <w:szCs w:val="20"/>
          <w:color w:val="auto"/>
        </w:rPr>
      </w:pPr>
      <w:r>
        <w:rPr>
          <w:rFonts w:ascii="Arial" w:cs="Arial" w:eastAsia="Arial" w:hAnsi="Arial"/>
          <w:sz w:val="21"/>
          <w:szCs w:val="21"/>
          <w:color w:val="auto"/>
        </w:rPr>
        <w:t>income taxes and employee benefit plans as determined in the sole and absolute discretion of the Committee) of up to</w:t>
      </w:r>
    </w:p>
    <w:p>
      <w:pPr>
        <w:spacing w:after="0" w:line="231" w:lineRule="exact"/>
        <w:rPr>
          <w:sz w:val="20"/>
          <w:szCs w:val="20"/>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75% of Base Salary (five percent (5%) minimum),</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75% of Bonuses (five percent (5%) minimum),</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Commissions (five percent (5%) minimum),</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Director’s Fees,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Restricted Stock Units,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Performance Shares,</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Other Stock Units, and</w:t>
      </w:r>
    </w:p>
    <w:p>
      <w:pPr>
        <w:spacing w:after="0" w:line="233" w:lineRule="exact"/>
        <w:rPr>
          <w:rFonts w:ascii="Arial" w:cs="Arial" w:eastAsia="Arial" w:hAnsi="Arial"/>
          <w:sz w:val="22"/>
          <w:szCs w:val="22"/>
          <w:color w:val="auto"/>
        </w:rPr>
      </w:pPr>
    </w:p>
    <w:p>
      <w:pPr>
        <w:ind w:left="2380" w:hanging="427"/>
        <w:spacing w:after="0"/>
        <w:tabs>
          <w:tab w:leader="none" w:pos="2380" w:val="left"/>
        </w:tabs>
        <w:numPr>
          <w:ilvl w:val="0"/>
          <w:numId w:val="8"/>
        </w:numPr>
        <w:rPr>
          <w:rFonts w:ascii="Arial" w:cs="Arial" w:eastAsia="Arial" w:hAnsi="Arial"/>
          <w:sz w:val="22"/>
          <w:szCs w:val="22"/>
          <w:color w:val="auto"/>
        </w:rPr>
      </w:pPr>
      <w:r>
        <w:rPr>
          <w:rFonts w:ascii="Arial" w:cs="Arial" w:eastAsia="Arial" w:hAnsi="Arial"/>
          <w:sz w:val="22"/>
          <w:szCs w:val="22"/>
          <w:color w:val="auto"/>
        </w:rPr>
        <w:t>100% of Long-Term Cash Awards.</w:t>
      </w:r>
    </w:p>
    <w:p>
      <w:pPr>
        <w:spacing w:after="0" w:line="233"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The Committee may provide for separate elections for Director’s Fees that are retainers, committee fees, chairman fees and meeting fees, as applicable.</w:t>
      </w:r>
    </w:p>
    <w:p>
      <w:pPr>
        <w:spacing w:after="0" w:line="175" w:lineRule="exact"/>
        <w:rPr>
          <w:sz w:val="20"/>
          <w:szCs w:val="20"/>
          <w:color w:val="auto"/>
        </w:rPr>
      </w:pPr>
    </w:p>
    <w:p>
      <w:pPr>
        <w:jc w:val="both"/>
        <w:ind w:firstLine="1305"/>
        <w:spacing w:after="0" w:line="286" w:lineRule="auto"/>
        <w:tabs>
          <w:tab w:leader="none" w:pos="181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Duration of Compensation Deferral Election</w:t>
      </w:r>
      <w:r>
        <w:rPr>
          <w:rFonts w:ascii="Arial" w:cs="Arial" w:eastAsia="Arial" w:hAnsi="Arial"/>
          <w:sz w:val="19"/>
          <w:szCs w:val="19"/>
          <w:color w:val="auto"/>
        </w:rPr>
        <w:t>. An Eligible Executive’s initial election to defer Compensation shall be made during the enrollment period established by the Committee prior to the Effective Date of the Participant’s commencement of participation in the Plan and shall apply only to Compensation for services performed after such deferral election is processed. A Participant may increase, decrease, terminate or recommence a deferral election with respect to Compensation for any subsequent Plan Year by filing a Participant Election during the enrollment period established by the Committee prior to the beginning of such Plan Year, which election shall be effective on the first day of the next following Plan Year. In the absence of an affirmative election by the Participant to the contrary, the deferral election for the prior Plan Year shall continue in effect for future Plan Years, except with respect to any deferral of Restricted Stock Units, Performance Shares, Other Stock Units, and Long-Term Cash Awards. After the beginning of the Plan Year, deferral elections with respect to Compensation for services performed during such Plan Year shall be irrevocable except in the event of Financial Hardship. Notwithstanding the general requirement that a deferral election be made prior to the beginning of a Plan Year, the Committee may allow a Participant to make an initial deferral election with respect to Compensation that constitutes “performance-based compensation” (as defined in Section 1.409A-1(e) of the regulations for Code Section 409A) on or before the date that is six (6) months before the end of the performance period, provided that the Participant performs services for the Company continuously from the later of the beginning of the performance period or the date that the performance criteria are established through the date the deferral election is made, and further provided that in no event may an election to defer performance-based compensation be made after such Compensation has become “readily ascertainable” for purposes of the Code Section 409A regulations.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38" w:name="page39"/>
    <w:bookmarkEnd w:id="38"/>
    <w:p>
      <w:pPr>
        <w:jc w:val="both"/>
        <w:ind w:firstLine="648"/>
        <w:spacing w:after="0" w:line="29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Company Contributions</w:t>
      </w:r>
      <w:r>
        <w:rPr>
          <w:rFonts w:ascii="Arial" w:cs="Arial" w:eastAsia="Arial" w:hAnsi="Arial"/>
          <w:sz w:val="19"/>
          <w:szCs w:val="19"/>
          <w:color w:val="auto"/>
        </w:rPr>
        <w:t>. The Company shall have the discretion to make Company Contributions to the Plan at any time on behalf of any Participant. Company Contributions shall be made in the complete and sole discretion of the Company and no Participant shall have the right to receive any Company Contribution in any particular Plan Year regardless of whether Company Contributions are made on behalf of other Participants. Such Company Contributions may be made as a matching contribution, a profit-sharing contribution, or in any other manner as the Company may determine from time to time. Company Contributions may be varied among Participants and need not be uniform for similarly-situated Participants.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u w:val="single" w:color="auto"/>
          <w:color w:val="auto"/>
        </w:rPr>
        <w:t>Investment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94" w:lineRule="auto"/>
        <w:tabs>
          <w:tab w:leader="none" w:pos="174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Participant Designation</w:t>
      </w:r>
      <w:r>
        <w:rPr>
          <w:rFonts w:ascii="Arial" w:cs="Arial" w:eastAsia="Arial" w:hAnsi="Arial"/>
          <w:sz w:val="19"/>
          <w:szCs w:val="19"/>
          <w:color w:val="auto"/>
        </w:rPr>
        <w:t>. At the time of entering the Plan and/or of making the deferral election under the Plan, the Participant shall designate, on a Participant Election provided by the Committee, the Funds in which the Participant’s Account or Accounts shall be deemed to be invested for purposes of determining the amount of earnings and losses to be credited to each Account. The Participant may specify that all or any percentage of his or her Account or Accounts shall be deemed to be invested, in whole percentage increments, in one or more of the Funds selected as alternative investments under the Plan from time to time by the Committee pursuant to subsection (b) of this Section. A Participant may change the designation made under this Section at least monthly by filing a revised election, on a Participant Election provided by the Committee.</w:t>
      </w:r>
    </w:p>
    <w:p>
      <w:pPr>
        <w:spacing w:after="0" w:line="152" w:lineRule="exact"/>
        <w:rPr>
          <w:rFonts w:ascii="Arial" w:cs="Arial" w:eastAsia="Arial" w:hAnsi="Arial"/>
          <w:sz w:val="19"/>
          <w:szCs w:val="19"/>
          <w:color w:val="auto"/>
        </w:rPr>
      </w:pPr>
    </w:p>
    <w:p>
      <w:pPr>
        <w:jc w:val="both"/>
        <w:ind w:firstLine="1305"/>
        <w:spacing w:after="0" w:line="294" w:lineRule="auto"/>
        <w:tabs>
          <w:tab w:leader="none" w:pos="1742"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Investment Funds</w:t>
      </w:r>
      <w:r>
        <w:rPr>
          <w:rFonts w:ascii="Arial" w:cs="Arial" w:eastAsia="Arial" w:hAnsi="Arial"/>
          <w:sz w:val="19"/>
          <w:szCs w:val="19"/>
          <w:color w:val="auto"/>
        </w:rPr>
        <w:t>. Prior to the beginning of each Plan Year, the Committee may select, in its sole and absolute discretion, each of the types of commercially available investments communicated to the Participant pursuant to subsection (a) of this Section to be the Funds. The Interest Rate of each such commercially available investment shall be used to determine the amount of earnings or losses to be credited to Participant’s Account under Article IV. The Participant’s choice among investments shall be solely for purposes of calculation of the Crediting Rate on Accounts. The Company shall have no obligation to set aside or invest amounts as directed by the Participant and, if the Company elects to invest amounts as directed by the Participant, the Participant shall have no more right to such investments than any other unsecured general creditor.</w:t>
      </w:r>
    </w:p>
    <w:p>
      <w:pPr>
        <w:spacing w:after="0" w:line="1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Distribution Elections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716"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Initial Election</w:t>
      </w:r>
      <w:r>
        <w:rPr>
          <w:rFonts w:ascii="Arial" w:cs="Arial" w:eastAsia="Arial" w:hAnsi="Arial"/>
          <w:sz w:val="22"/>
          <w:szCs w:val="22"/>
          <w:color w:val="auto"/>
        </w:rPr>
        <w:t>. At the time of making a deferral election under the Plan, the Participant shall designate the time and form of distribution of deferrals made pursuant to such election (together with any earnings credited thereon) from among the alternatives specified in Section 6.1 or 6.4.</w:t>
      </w:r>
    </w:p>
    <w:p>
      <w:pPr>
        <w:spacing w:after="0" w:line="177" w:lineRule="exact"/>
        <w:rPr>
          <w:rFonts w:ascii="Arial" w:cs="Arial" w:eastAsia="Arial" w:hAnsi="Arial"/>
          <w:sz w:val="22"/>
          <w:szCs w:val="22"/>
          <w:color w:val="auto"/>
        </w:rPr>
      </w:pPr>
    </w:p>
    <w:p>
      <w:pPr>
        <w:jc w:val="both"/>
        <w:ind w:firstLine="1305"/>
        <w:spacing w:after="0" w:line="300" w:lineRule="auto"/>
        <w:tabs>
          <w:tab w:leader="none" w:pos="1742"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Modification of Election</w:t>
      </w:r>
      <w:r>
        <w:rPr>
          <w:rFonts w:ascii="Arial" w:cs="Arial" w:eastAsia="Arial" w:hAnsi="Arial"/>
          <w:sz w:val="19"/>
          <w:szCs w:val="19"/>
          <w:color w:val="auto"/>
        </w:rPr>
        <w:t>. A new distribution election may be made at the time of subsequent deferral elections with respect to deferrals in Plan Years beginning after the election is made. However, a distribution election with respect to previously deferred amounts may only be changed under the terms and conditions specified in Code Section 409A. Except as expressly provided in Section 6.3, no acceleration of a distribution is permitted. A subsequent election that delays payment or changes the form of payment shall be permitted if and only if all of the following requirements are met: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39" w:name="page40"/>
    <w:bookmarkEnd w:id="39"/>
    <w:p>
      <w:pPr>
        <w:ind w:left="2420" w:hanging="467"/>
        <w:spacing w:after="0"/>
        <w:tabs>
          <w:tab w:leader="none" w:pos="24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new election does not take effect until at least twelve (12) months after the date on which the new</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election is made;</w:t>
      </w:r>
    </w:p>
    <w:p>
      <w:pPr>
        <w:spacing w:after="0" w:line="215" w:lineRule="exact"/>
        <w:rPr>
          <w:sz w:val="20"/>
          <w:szCs w:val="20"/>
          <w:color w:val="auto"/>
        </w:rPr>
      </w:pPr>
    </w:p>
    <w:p>
      <w:pPr>
        <w:jc w:val="both"/>
        <w:ind w:firstLine="1953"/>
        <w:spacing w:after="0" w:line="260" w:lineRule="auto"/>
        <w:tabs>
          <w:tab w:leader="none" w:pos="2444"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case of payments made on account of Termination of Service or a Scheduled Distribution, the new election delays payment for at least five (5) years from the date that payment would otherwise have been made, absent the new election; and</w:t>
      </w:r>
    </w:p>
    <w:p>
      <w:pPr>
        <w:spacing w:after="0" w:line="177" w:lineRule="exact"/>
        <w:rPr>
          <w:rFonts w:ascii="Arial" w:cs="Arial" w:eastAsia="Arial" w:hAnsi="Arial"/>
          <w:sz w:val="22"/>
          <w:szCs w:val="22"/>
          <w:color w:val="auto"/>
        </w:rPr>
      </w:pPr>
    </w:p>
    <w:p>
      <w:pPr>
        <w:jc w:val="both"/>
        <w:ind w:firstLine="1953"/>
        <w:spacing w:after="0" w:line="260" w:lineRule="auto"/>
        <w:tabs>
          <w:tab w:leader="none" w:pos="2404"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 the case of payments made according to a Scheduled Distribution, the new election is made not less than twelve (12) months before the date on which payment would have been made (or, in the case of installment payments, the first installment payment would have been made) absent the new election.</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For purposes of application of the above change limitations, installment payments shall be treated as a single payment and only one change shall be allowed to be made by a Participant per Deferral Account with respect to form of benefits to be received by such Participant. Election changes made pursuant to this Section shall be made in accordance with rules established by the Committee, and shall comply with all requirement of Code Section 409A and applicable authorities.</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DEFERRAL ACCOUNTS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Deferral Accounts</w:t>
      </w:r>
      <w:r>
        <w:rPr>
          <w:rFonts w:ascii="Arial" w:cs="Arial" w:eastAsia="Arial" w:hAnsi="Arial"/>
          <w:sz w:val="21"/>
          <w:szCs w:val="21"/>
          <w:color w:val="auto"/>
        </w:rPr>
        <w:t>. The Committee shall establish and maintain up to five (5) Deferral Accounts for each Participant under the Plan, two (2) of which may be payable upon Termination of Service as further described in Section 6.1(a) (the “</w:t>
      </w:r>
      <w:r>
        <w:rPr>
          <w:rFonts w:ascii="Arial" w:cs="Arial" w:eastAsia="Arial" w:hAnsi="Arial"/>
          <w:sz w:val="21"/>
          <w:szCs w:val="21"/>
          <w:u w:val="single" w:color="auto"/>
          <w:color w:val="auto"/>
        </w:rPr>
        <w:t>Termination of Service Accounts</w:t>
      </w:r>
      <w:r>
        <w:rPr>
          <w:rFonts w:ascii="Arial" w:cs="Arial" w:eastAsia="Arial" w:hAnsi="Arial"/>
          <w:sz w:val="21"/>
          <w:szCs w:val="21"/>
          <w:color w:val="auto"/>
        </w:rPr>
        <w:t>”) and three (3) of which may be payable on a fixed date or according to a fixed schedule as further described in Section 6.4(a) (the “</w:t>
      </w:r>
      <w:r>
        <w:rPr>
          <w:rFonts w:ascii="Arial" w:cs="Arial" w:eastAsia="Arial" w:hAnsi="Arial"/>
          <w:sz w:val="21"/>
          <w:szCs w:val="21"/>
          <w:u w:val="single" w:color="auto"/>
          <w:color w:val="auto"/>
        </w:rPr>
        <w:t>Scheduled Distribution Accounts</w:t>
      </w:r>
      <w:r>
        <w:rPr>
          <w:rFonts w:ascii="Arial" w:cs="Arial" w:eastAsia="Arial" w:hAnsi="Arial"/>
          <w:sz w:val="21"/>
          <w:szCs w:val="21"/>
          <w:color w:val="auto"/>
        </w:rPr>
        <w:t>”). Each Participant’s Deferral Account shall be further divided into separate subaccounts (“</w:t>
      </w:r>
      <w:r>
        <w:rPr>
          <w:rFonts w:ascii="Arial" w:cs="Arial" w:eastAsia="Arial" w:hAnsi="Arial"/>
          <w:sz w:val="21"/>
          <w:szCs w:val="21"/>
          <w:u w:val="single" w:color="auto"/>
          <w:color w:val="auto"/>
        </w:rPr>
        <w:t>Fund Subaccounts</w:t>
      </w:r>
      <w:r>
        <w:rPr>
          <w:rFonts w:ascii="Arial" w:cs="Arial" w:eastAsia="Arial" w:hAnsi="Arial"/>
          <w:sz w:val="21"/>
          <w:szCs w:val="21"/>
          <w:color w:val="auto"/>
        </w:rPr>
        <w:t>”), each of which corresponds to a Fund elected by the Participant pursuant to Section 3.2. A Participant’s Deferral Account shall be credited as follows:</w:t>
      </w:r>
    </w:p>
    <w:p>
      <w:pPr>
        <w:spacing w:after="0" w:line="175" w:lineRule="exact"/>
        <w:rPr>
          <w:sz w:val="20"/>
          <w:szCs w:val="20"/>
          <w:color w:val="auto"/>
        </w:rPr>
      </w:pPr>
    </w:p>
    <w:p>
      <w:pPr>
        <w:jc w:val="both"/>
        <w:ind w:firstLine="1305"/>
        <w:spacing w:after="0" w:line="251" w:lineRule="auto"/>
        <w:tabs>
          <w:tab w:leader="none" w:pos="1730" w:val="left"/>
        </w:tabs>
        <w:numPr>
          <w:ilvl w:val="0"/>
          <w:numId w:val="14"/>
        </w:numPr>
        <w:rPr>
          <w:rFonts w:ascii="Arial" w:cs="Arial" w:eastAsia="Arial" w:hAnsi="Arial"/>
          <w:sz w:val="22"/>
          <w:szCs w:val="22"/>
          <w:color w:val="auto"/>
        </w:rPr>
      </w:pPr>
      <w:r>
        <w:rPr>
          <w:rFonts w:ascii="Arial" w:cs="Arial" w:eastAsia="Arial" w:hAnsi="Arial"/>
          <w:sz w:val="22"/>
          <w:szCs w:val="22"/>
          <w:color w:val="auto"/>
        </w:rPr>
        <w:t>As soon as reasonably possible after amounts are withheld and deferred from a Participant’s Compensation, the Committee shall credit the Fund Subaccounts of the Participant’s Deferral Account with an amount equal to Compensation deferred by the Participant in accordance with the Participant’s election under Section 3.2; that is, the portion of the Participant’s deferred Compensation that the Participant has elected to be deemed to be invested in a Fund shall be credited to the Fund Subaccount to be invested in that Fund;</w:t>
      </w:r>
    </w:p>
    <w:p>
      <w:pPr>
        <w:spacing w:after="0" w:line="189" w:lineRule="exact"/>
        <w:rPr>
          <w:rFonts w:ascii="Arial" w:cs="Arial" w:eastAsia="Arial" w:hAnsi="Arial"/>
          <w:sz w:val="22"/>
          <w:szCs w:val="22"/>
          <w:color w:val="auto"/>
        </w:rPr>
      </w:pPr>
    </w:p>
    <w:p>
      <w:pPr>
        <w:jc w:val="both"/>
        <w:ind w:firstLine="1305"/>
        <w:spacing w:after="0" w:line="254" w:lineRule="auto"/>
        <w:tabs>
          <w:tab w:leader="none" w:pos="1756" w:val="left"/>
        </w:tabs>
        <w:numPr>
          <w:ilvl w:val="0"/>
          <w:numId w:val="14"/>
        </w:numPr>
        <w:rPr>
          <w:rFonts w:ascii="Arial" w:cs="Arial" w:eastAsia="Arial" w:hAnsi="Arial"/>
          <w:sz w:val="22"/>
          <w:szCs w:val="22"/>
          <w:color w:val="auto"/>
        </w:rPr>
      </w:pPr>
      <w:r>
        <w:rPr>
          <w:rFonts w:ascii="Arial" w:cs="Arial" w:eastAsia="Arial" w:hAnsi="Arial"/>
          <w:sz w:val="22"/>
          <w:szCs w:val="22"/>
          <w:color w:val="auto"/>
        </w:rPr>
        <w:t>Each business day, each investment fund subaccount of a Participant’s Deferral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 and</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16"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 the event that a Participant elects for a given Plan Year’s deferral of Compensation a Scheduled Distribution, all amounts attributed to the deferral of Compensation for such Plan Year shall be accounted for in a manner which allows separate accounting for the deferral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of Compensation and investment gains and losses associated with amounts allocated to such each separate Scheduled Distribution.</w:t>
      </w:r>
    </w:p>
    <w:p>
      <w:pPr>
        <w:spacing w:after="0" w:line="2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Company Contribution Account</w:t>
      </w:r>
      <w:r>
        <w:rPr>
          <w:rFonts w:ascii="Arial" w:cs="Arial" w:eastAsia="Arial" w:hAnsi="Arial"/>
          <w:sz w:val="22"/>
          <w:szCs w:val="22"/>
          <w:color w:val="auto"/>
        </w:rPr>
        <w:t>. The Committee shall establish and maintain a Company Contribution Account for each Participant under the Plan. Each Participant’s Company Contribution Account shall be further divided into separate Fund Subaccounts corresponding to the investment Fund elected by the Participant pursuant to Section 3.2(a). A Participant’s Company Contribution Account shall be credited as follows:</w:t>
      </w:r>
    </w:p>
    <w:p>
      <w:pPr>
        <w:spacing w:after="0" w:line="185" w:lineRule="exact"/>
        <w:rPr>
          <w:sz w:val="20"/>
          <w:szCs w:val="20"/>
          <w:color w:val="auto"/>
        </w:rPr>
      </w:pPr>
    </w:p>
    <w:p>
      <w:pPr>
        <w:jc w:val="both"/>
        <w:ind w:firstLine="1305"/>
        <w:spacing w:after="0" w:line="297" w:lineRule="auto"/>
        <w:tabs>
          <w:tab w:leader="none" w:pos="1824" w:val="left"/>
        </w:tabs>
        <w:numPr>
          <w:ilvl w:val="0"/>
          <w:numId w:val="15"/>
        </w:numPr>
        <w:rPr>
          <w:rFonts w:ascii="Arial" w:cs="Arial" w:eastAsia="Arial" w:hAnsi="Arial"/>
          <w:sz w:val="19"/>
          <w:szCs w:val="19"/>
          <w:color w:val="auto"/>
        </w:rPr>
      </w:pPr>
      <w:r>
        <w:rPr>
          <w:rFonts w:ascii="Arial" w:cs="Arial" w:eastAsia="Arial" w:hAnsi="Arial"/>
          <w:sz w:val="19"/>
          <w:szCs w:val="19"/>
          <w:color w:val="auto"/>
        </w:rPr>
        <w:t>As soon as reasonably possible after a Company Contribution is made, the Company shall credit the Fund Subaccounts of the Participant’s Company Contribution Account with an amount equal to the Company Contributions, if any, made on behalf of that Participant, that is, the proportion of the Company Contributions, if any, which the Participant has elected to be deemed to be invested in a certain Fund shall be credited to the Fund Subaccount to be invested in that Fund. Unless the Participant elects otherwise, any Company Contribution that may not be deemed invested in such a Fund shall be deemed invested in the default Fund selected by the Committee for such purpose from time to time; and</w:t>
      </w:r>
    </w:p>
    <w:p>
      <w:pPr>
        <w:spacing w:after="0" w:line="146" w:lineRule="exact"/>
        <w:rPr>
          <w:rFonts w:ascii="Arial" w:cs="Arial" w:eastAsia="Arial" w:hAnsi="Arial"/>
          <w:sz w:val="19"/>
          <w:szCs w:val="19"/>
          <w:color w:val="auto"/>
        </w:rPr>
      </w:pPr>
    </w:p>
    <w:p>
      <w:pPr>
        <w:jc w:val="both"/>
        <w:ind w:firstLine="1305"/>
        <w:spacing w:after="0" w:line="254" w:lineRule="auto"/>
        <w:tabs>
          <w:tab w:leader="none" w:pos="1769" w:val="left"/>
        </w:tabs>
        <w:numPr>
          <w:ilvl w:val="0"/>
          <w:numId w:val="15"/>
        </w:numPr>
        <w:rPr>
          <w:rFonts w:ascii="Arial" w:cs="Arial" w:eastAsia="Arial" w:hAnsi="Arial"/>
          <w:sz w:val="22"/>
          <w:szCs w:val="22"/>
          <w:color w:val="auto"/>
        </w:rPr>
      </w:pPr>
      <w:r>
        <w:rPr>
          <w:rFonts w:ascii="Arial" w:cs="Arial" w:eastAsia="Arial" w:hAnsi="Arial"/>
          <w:sz w:val="22"/>
          <w:szCs w:val="22"/>
          <w:color w:val="auto"/>
        </w:rPr>
        <w:t>Each business day, each Fund Subaccount of a Participant’s Company Contribution Account shall be credited with earnings or losses in an amount equal to that determined by multiplying the balance credited to such Fund Subaccount as of the prior day, less any distributions valued as of the end of the prior day, by the Interest Rate for the corresponding Fund as determined by the Committee pursuant to Section 3.2(b).</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Trust</w:t>
      </w:r>
      <w:r>
        <w:rPr>
          <w:rFonts w:ascii="Arial" w:cs="Arial" w:eastAsia="Arial" w:hAnsi="Arial"/>
          <w:sz w:val="22"/>
          <w:szCs w:val="22"/>
          <w:color w:val="auto"/>
        </w:rPr>
        <w:t>. The Company shall be responsible for the payment of all benefits under the Plan. At its discretion, the Company may establish one or more grantor trusts for the purpose of providing for payment of benefits under the Plan. Such trust or trusts may be irrevocable, but the assets thereof shall be subject to the claims of the Company’s creditors. Benefits paid to the Participant from any such trust or trusts shall be considered paid by the Company for purposes of meeting the obligations of the Company under the Plan.</w:t>
      </w:r>
    </w:p>
    <w:p>
      <w:pPr>
        <w:spacing w:after="0" w:line="19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Statement of Accounts</w:t>
      </w:r>
      <w:r>
        <w:rPr>
          <w:rFonts w:ascii="Arial" w:cs="Arial" w:eastAsia="Arial" w:hAnsi="Arial"/>
          <w:sz w:val="22"/>
          <w:szCs w:val="22"/>
          <w:color w:val="auto"/>
        </w:rPr>
        <w:t>. The Committee shall provide each Participant with electronic statements at least quarterly setting forth the Participant’s Account balance as of the end of each calendar quarter.</w:t>
      </w:r>
    </w:p>
    <w:p>
      <w:pPr>
        <w:spacing w:after="0" w:line="155"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color w:val="auto"/>
        </w:rPr>
        <w:t>ARTICLE V</w:t>
      </w:r>
    </w:p>
    <w:p>
      <w:pPr>
        <w:spacing w:after="0" w:line="28" w:lineRule="exact"/>
        <w:rPr>
          <w:sz w:val="20"/>
          <w:szCs w:val="20"/>
          <w:color w:val="auto"/>
        </w:rPr>
      </w:pPr>
    </w:p>
    <w:p>
      <w:pPr>
        <w:jc w:val="right"/>
        <w:ind w:right="5220"/>
        <w:spacing w:after="0"/>
        <w:rPr>
          <w:sz w:val="20"/>
          <w:szCs w:val="20"/>
          <w:color w:val="auto"/>
        </w:rPr>
      </w:pPr>
      <w:r>
        <w:rPr>
          <w:rFonts w:ascii="Arial" w:cs="Arial" w:eastAsia="Arial" w:hAnsi="Arial"/>
          <w:sz w:val="22"/>
          <w:szCs w:val="22"/>
          <w:b w:val="1"/>
          <w:bCs w:val="1"/>
          <w:u w:val="single" w:color="auto"/>
          <w:color w:val="auto"/>
        </w:rPr>
        <w:t>VESTING</w:t>
      </w:r>
    </w:p>
    <w:p>
      <w:pPr>
        <w:spacing w:after="0" w:line="21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Vesting of Deferral Accounts</w:t>
      </w:r>
      <w:r>
        <w:rPr>
          <w:rFonts w:ascii="Arial" w:cs="Arial" w:eastAsia="Arial" w:hAnsi="Arial"/>
          <w:sz w:val="21"/>
          <w:szCs w:val="21"/>
          <w:color w:val="auto"/>
        </w:rPr>
        <w:t>. Except to the extent that an underlying award (such as any Bonus, Restricted Stock Unit, Other Stock Unit, Performance Share, or Long-Term Cash Award) is the subject to a vesting schedule, a Participant shall be vested at all times in amounts credited to the Participant’s Deferral Account or Accounts.</w:t>
      </w:r>
    </w:p>
    <w:p>
      <w:pPr>
        <w:spacing w:after="0" w:line="160"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Vesting of Company Contributions Account</w:t>
      </w:r>
      <w:r>
        <w:rPr>
          <w:rFonts w:ascii="Arial" w:cs="Arial" w:eastAsia="Arial" w:hAnsi="Arial"/>
          <w:sz w:val="22"/>
          <w:szCs w:val="22"/>
          <w:color w:val="auto"/>
        </w:rPr>
        <w:t>. Amounts credited to a Participant’s Company Contributions Account shall be vested based upon a vesting schedule to be determined in writing by the Committee.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1" w:name="page42"/>
    <w:bookmarkEnd w:id="41"/>
    <w:p>
      <w:pPr>
        <w:ind w:left="4960"/>
        <w:spacing w:after="0"/>
        <w:rPr>
          <w:sz w:val="20"/>
          <w:szCs w:val="20"/>
          <w:color w:val="auto"/>
        </w:rPr>
      </w:pPr>
      <w:r>
        <w:rPr>
          <w:rFonts w:ascii="Arial" w:cs="Arial" w:eastAsia="Arial" w:hAnsi="Arial"/>
          <w:sz w:val="22"/>
          <w:szCs w:val="22"/>
          <w:b w:val="1"/>
          <w:bCs w:val="1"/>
          <w:color w:val="auto"/>
        </w:rPr>
        <w:t>ARTICLE VI</w:t>
      </w:r>
    </w:p>
    <w:p>
      <w:pPr>
        <w:spacing w:after="0" w:line="28"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DISTRIBUTIONS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Termination of Service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4" w:lineRule="auto"/>
        <w:tabs>
          <w:tab w:leader="none" w:pos="1716"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Timing and Form of Deferral Account Distributions</w:t>
      </w:r>
      <w:r>
        <w:rPr>
          <w:rFonts w:ascii="Arial" w:cs="Arial" w:eastAsia="Arial" w:hAnsi="Arial"/>
          <w:sz w:val="21"/>
          <w:szCs w:val="21"/>
          <w:color w:val="auto"/>
        </w:rPr>
        <w:t>. Except as otherwise provided in this Plan, in the event of a Participant’s Termination of Service other than by reason of the Participant’s death or Disability, the Distributable Amount credited to the Participant’s Deferral Accounts that are Termination of Service Accounts shall be paid to the Participant in a lump sum on the Payment Date following the Participant’s Termination of Service unless the Participant has made an alternative benefit election on a timely basis pursuant to Section 3.4 to receive substantially equal annual installments over a period following Termination of Service of no less than two (2) years and no more than ten (10) years.</w:t>
      </w:r>
    </w:p>
    <w:p>
      <w:pPr>
        <w:spacing w:after="0" w:line="175" w:lineRule="exact"/>
        <w:rPr>
          <w:rFonts w:ascii="Arial" w:cs="Arial" w:eastAsia="Arial" w:hAnsi="Arial"/>
          <w:sz w:val="21"/>
          <w:szCs w:val="21"/>
          <w:color w:val="auto"/>
        </w:rPr>
      </w:pPr>
    </w:p>
    <w:p>
      <w:pPr>
        <w:jc w:val="both"/>
        <w:ind w:firstLine="1305"/>
        <w:spacing w:after="0" w:line="278" w:lineRule="auto"/>
        <w:tabs>
          <w:tab w:leader="none" w:pos="1742"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Distribution of Company Contributions Account</w:t>
      </w:r>
      <w:r>
        <w:rPr>
          <w:rFonts w:ascii="Arial" w:cs="Arial" w:eastAsia="Arial" w:hAnsi="Arial"/>
          <w:sz w:val="21"/>
          <w:szCs w:val="21"/>
          <w:color w:val="auto"/>
        </w:rPr>
        <w:t>. In the event of a Participant’s Termination of Service for any reason other than death or Disability, the Distributable Amount credited to the Participant’s Company Contribution Account shall be paid in a lump sum on the Payment Date following the Participant’s Termination of Service.</w:t>
      </w:r>
    </w:p>
    <w:p>
      <w:pPr>
        <w:spacing w:after="0" w:line="160" w:lineRule="exact"/>
        <w:rPr>
          <w:rFonts w:ascii="Arial" w:cs="Arial" w:eastAsia="Arial" w:hAnsi="Arial"/>
          <w:sz w:val="21"/>
          <w:szCs w:val="21"/>
          <w:color w:val="auto"/>
        </w:rPr>
      </w:pPr>
    </w:p>
    <w:p>
      <w:pPr>
        <w:jc w:val="both"/>
        <w:ind w:firstLine="1305"/>
        <w:spacing w:after="0" w:line="251" w:lineRule="auto"/>
        <w:tabs>
          <w:tab w:leader="none" w:pos="1743"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Small Benefit Exception</w:t>
      </w:r>
      <w:r>
        <w:rPr>
          <w:rFonts w:ascii="Arial" w:cs="Arial" w:eastAsia="Arial" w:hAnsi="Arial"/>
          <w:sz w:val="22"/>
          <w:szCs w:val="22"/>
          <w:color w:val="auto"/>
        </w:rPr>
        <w:t>. If on commencement of benefits payable from a Termination of Service Account the Distributable Amount from such Account is less than or equal to twenty-five thousand dollars ($25,000), the total Distributable Amount from such Account shall be paid in a lump sum on the scheduled Payment Date. For purposes of this Section 6.1(c) whether a Termination of Service Account equals or exceeds $25,000 shall be determined by combining all Deferral Accounts that are Termination of Service Accounts.</w:t>
      </w:r>
    </w:p>
    <w:p>
      <w:pPr>
        <w:spacing w:after="0" w:line="19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u w:val="single" w:color="auto"/>
          <w:color w:val="auto"/>
        </w:rPr>
        <w:t>Disability Distributions</w:t>
      </w:r>
      <w:r>
        <w:rPr>
          <w:rFonts w:ascii="Arial" w:cs="Arial" w:eastAsia="Arial" w:hAnsi="Arial"/>
          <w:sz w:val="21"/>
          <w:szCs w:val="21"/>
          <w:color w:val="auto"/>
        </w:rPr>
        <w:t>. In the event of a Participant’s Termination of Service by reason of Disability and regardless of the time and form of payment otherwise elected by the Participant, the Distributable Amount credited to all of such Participant’s Accounts shall be paid in a lump sum sixty (60) days after the Participant’s Termination of Service.</w:t>
      </w:r>
    </w:p>
    <w:p>
      <w:pPr>
        <w:spacing w:after="0" w:line="1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Death Benefits</w:t>
      </w:r>
      <w:r>
        <w:rPr>
          <w:rFonts w:ascii="Arial" w:cs="Arial" w:eastAsia="Arial" w:hAnsi="Arial"/>
          <w:sz w:val="22"/>
          <w:szCs w:val="22"/>
          <w:color w:val="auto"/>
        </w:rPr>
        <w:t>. In the event of a Participant’s death and regardless of the time and form of payment otherwise elected by the Participant, the Distributable Amount credited to all of such Participant’s Accounts shall be paid in a lump sum to the Participant’s Beneficiary sixty (60) days after the Participant’s date of death.</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Scheduled Distributions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6" w:lineRule="auto"/>
        <w:tabs>
          <w:tab w:leader="none" w:pos="173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Scheduled Distribution Election</w:t>
      </w:r>
      <w:r>
        <w:rPr>
          <w:rFonts w:ascii="Arial" w:cs="Arial" w:eastAsia="Arial" w:hAnsi="Arial"/>
          <w:sz w:val="21"/>
          <w:szCs w:val="21"/>
          <w:color w:val="auto"/>
        </w:rPr>
        <w:t>. Participants shall be entitled to elect to receive a Scheduled Distribution from a Deferral Account prior to Termination of Service. Except as otherwise provided in this Plan, in the case of a Participant who has elected to receive a Scheduled Distribution, such Participant shall receive the Distributable Amount, with respect to the specified deferrals, including earnings thereon, which have been elected by the Participant to be subject to such Scheduled Distribution election in accordance with Section 3.4 of the Plan. A Participant’s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841" w:right="239" w:bottom="1440" w:gutter="0" w:footer="0" w:header="0"/>
        </w:sectPr>
      </w:pPr>
    </w:p>
    <w:bookmarkStart w:id="42" w:name="page43"/>
    <w:bookmarkEnd w:id="42"/>
    <w:p>
      <w:pPr>
        <w:jc w:val="both"/>
        <w:spacing w:after="0" w:line="263" w:lineRule="auto"/>
        <w:rPr>
          <w:sz w:val="20"/>
          <w:szCs w:val="20"/>
          <w:color w:val="auto"/>
        </w:rPr>
      </w:pPr>
      <w:r>
        <w:rPr>
          <w:rFonts w:ascii="Arial" w:cs="Arial" w:eastAsia="Arial" w:hAnsi="Arial"/>
          <w:sz w:val="21"/>
          <w:szCs w:val="21"/>
          <w:color w:val="auto"/>
        </w:rPr>
        <w:t>Scheduled Distribution commencement date with respect to deferrals of Compensation for a given Plan Year shall be no earlier than two (2) years from the last day of the Plan Year in which the deferrals are credited to the Participant’s Account. The Participant may elect to receive the Scheduled Distribution from the Participant’s Scheduled Distribution Accounts in a single lump sum or substantially equal annual installments over a period of up to five (5) years. A Participant may delay and change the form of a Scheduled Distribution, provided such extension complies with the requirements of Section 3.4.</w:t>
      </w:r>
    </w:p>
    <w:p>
      <w:pPr>
        <w:spacing w:after="0" w:line="176" w:lineRule="exact"/>
        <w:rPr>
          <w:sz w:val="20"/>
          <w:szCs w:val="20"/>
          <w:color w:val="auto"/>
        </w:rPr>
      </w:pPr>
    </w:p>
    <w:p>
      <w:pPr>
        <w:jc w:val="both"/>
        <w:ind w:firstLine="1305"/>
        <w:spacing w:after="0" w:line="294" w:lineRule="auto"/>
        <w:tabs>
          <w:tab w:leader="none" w:pos="1823"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In the event of a Participant’s Termination of Service prior to commencement of a Scheduled Distribution, the Scheduled Distributions shall be distributed from the Participant’s Scheduled Distribution Accounts in the form applicable to such Termination of Service under Sections 6.1, 6.2 or 6.3 above. In the event that a Participant has established two (2) Termination from Service Accounts, the payment will be made in the manner designated for Termination from Service Account number one (1). In the event of a Participant’s Termination of Service for any reason other than death or Disability after a Scheduled Distribution has commenced installment payments, such Scheduled Distribution benefits shall continue to be paid at the same time and in the same form as they would have been paid to the Participant had the Participant not terminated service.</w:t>
      </w:r>
    </w:p>
    <w:p>
      <w:pPr>
        <w:spacing w:after="0" w:line="1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6.5 </w:t>
      </w:r>
      <w:r>
        <w:rPr>
          <w:rFonts w:ascii="Arial" w:cs="Arial" w:eastAsia="Arial" w:hAnsi="Arial"/>
          <w:sz w:val="21"/>
          <w:szCs w:val="21"/>
          <w:u w:val="single" w:color="auto"/>
          <w:color w:val="auto"/>
        </w:rPr>
        <w:t>Hardship Distribution</w:t>
      </w:r>
      <w:r>
        <w:rPr>
          <w:rFonts w:ascii="Arial" w:cs="Arial" w:eastAsia="Arial" w:hAnsi="Arial"/>
          <w:sz w:val="21"/>
          <w:szCs w:val="21"/>
          <w:color w:val="auto"/>
        </w:rPr>
        <w:t>. Upon a finding that the Participant (or, after the Participant’s death, a Beneficiary) has suffered a Financial Hardship, subject to compliance with Code Section 409A the Committee may, at the request of the Participant or Beneficiary, accelerate distribution of benefits or approve reduction or cessation of current deferrals under the Plan in the amount reasonably necessary to alleviate such Financial Hardship subject to the following conditions:</w:t>
      </w:r>
    </w:p>
    <w:p>
      <w:pPr>
        <w:spacing w:after="0" w:line="169" w:lineRule="exact"/>
        <w:rPr>
          <w:sz w:val="20"/>
          <w:szCs w:val="20"/>
          <w:color w:val="auto"/>
        </w:rPr>
      </w:pPr>
    </w:p>
    <w:p>
      <w:pPr>
        <w:ind w:firstLine="1305"/>
        <w:spacing w:after="0" w:line="276" w:lineRule="auto"/>
        <w:tabs>
          <w:tab w:leader="none" w:pos="1824"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request to take a Hardship Distribution shall be made by filing a form provided by and filed with the Committee prior to the end of any calendar month.</w:t>
      </w:r>
    </w:p>
    <w:p>
      <w:pPr>
        <w:spacing w:after="0" w:line="160" w:lineRule="exact"/>
        <w:rPr>
          <w:rFonts w:ascii="Arial" w:cs="Arial" w:eastAsia="Arial" w:hAnsi="Arial"/>
          <w:sz w:val="22"/>
          <w:szCs w:val="22"/>
          <w:color w:val="auto"/>
        </w:rPr>
      </w:pPr>
    </w:p>
    <w:p>
      <w:pPr>
        <w:jc w:val="both"/>
        <w:ind w:firstLine="1305"/>
        <w:spacing w:after="0" w:line="266" w:lineRule="auto"/>
        <w:tabs>
          <w:tab w:leader="none" w:pos="185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amount distributed pursuant to this Section with respect to a Financial Hardship shall not exceed the amount necessary to satisfy such financial emergency plus amounts necessary to pay taxes reasonably anticipated as a result of the distribution, after taking into account the extent to which such hardship is or may be relieved through reimbursement or compensation by insurance or otherwise, by liquidation of the Participant’s assets (to the extent the liquidation of such assets would not itself cause severe financial hardship), or by cessation of deferrals under the Plan.</w:t>
      </w:r>
    </w:p>
    <w:p>
      <w:pPr>
        <w:spacing w:after="0" w:line="174" w:lineRule="exact"/>
        <w:rPr>
          <w:rFonts w:ascii="Arial" w:cs="Arial" w:eastAsia="Arial" w:hAnsi="Arial"/>
          <w:sz w:val="21"/>
          <w:szCs w:val="21"/>
          <w:color w:val="auto"/>
        </w:rPr>
      </w:pPr>
    </w:p>
    <w:p>
      <w:pPr>
        <w:jc w:val="both"/>
        <w:ind w:firstLine="1305"/>
        <w:spacing w:after="0" w:line="260" w:lineRule="auto"/>
        <w:tabs>
          <w:tab w:leader="none" w:pos="177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amount determined by the Committee as a Hardship Distribution shall be paid in a lump sum as soon as practicable after the end of the calendar month in which the Hardship Distribution election is made and approved by the Committee.</w:t>
      </w:r>
    </w:p>
    <w:p>
      <w:pPr>
        <w:spacing w:after="0" w:line="177" w:lineRule="exact"/>
        <w:rPr>
          <w:rFonts w:ascii="Arial" w:cs="Arial" w:eastAsia="Arial" w:hAnsi="Arial"/>
          <w:sz w:val="22"/>
          <w:szCs w:val="22"/>
          <w:color w:val="auto"/>
        </w:rPr>
      </w:pPr>
    </w:p>
    <w:p>
      <w:pPr>
        <w:jc w:val="both"/>
        <w:ind w:firstLine="1305"/>
        <w:spacing w:after="0" w:line="251" w:lineRule="auto"/>
        <w:tabs>
          <w:tab w:leader="none" w:pos="1810" w:val="left"/>
        </w:tabs>
        <w:numPr>
          <w:ilvl w:val="0"/>
          <w:numId w:val="19"/>
        </w:numPr>
        <w:rPr>
          <w:rFonts w:ascii="Arial" w:cs="Arial" w:eastAsia="Arial" w:hAnsi="Arial"/>
          <w:sz w:val="22"/>
          <w:szCs w:val="22"/>
          <w:color w:val="auto"/>
        </w:rPr>
      </w:pPr>
      <w:r>
        <w:rPr>
          <w:rFonts w:ascii="Arial" w:cs="Arial" w:eastAsia="Arial" w:hAnsi="Arial"/>
          <w:sz w:val="22"/>
          <w:szCs w:val="22"/>
          <w:color w:val="auto"/>
        </w:rPr>
        <w:t>Upon a finding that the Participant (or, after the Participant’s death, a Beneficiary) has suffered a Financial Hardship, subject to Treasury Regulations promulgated under Code Section 409A the Committee may at the request of the Participant, accelerate distribution of benefits or approve reduction or cessation of current deferrals under the Plan in the amount reasonably necessary to alleviate such Financial Hardship. The amount distributed pursuant to this Section with respect to an emergency shall not exceed the amount necessary to satisfy such</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3" w:name="page44"/>
    <w:bookmarkEnd w:id="43"/>
    <w:p>
      <w:pPr>
        <w:jc w:val="both"/>
        <w:spacing w:after="0" w:line="312" w:lineRule="auto"/>
        <w:rPr>
          <w:sz w:val="20"/>
          <w:szCs w:val="20"/>
          <w:color w:val="auto"/>
        </w:rPr>
      </w:pPr>
      <w:r>
        <w:rPr>
          <w:rFonts w:ascii="Arial" w:cs="Arial" w:eastAsia="Arial" w:hAnsi="Arial"/>
          <w:sz w:val="19"/>
          <w:szCs w:val="19"/>
          <w:color w:val="auto"/>
        </w:rPr>
        <w:t>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the liquidation of such assets would not itself cause severe financial hardship).</w:t>
      </w:r>
    </w:p>
    <w:p>
      <w:pPr>
        <w:spacing w:after="0" w:line="13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Delay of Distributions Due to Loss of Tax Deduction</w:t>
      </w:r>
      <w:r>
        <w:rPr>
          <w:rFonts w:ascii="Arial" w:cs="Arial" w:eastAsia="Arial" w:hAnsi="Arial"/>
          <w:sz w:val="22"/>
          <w:szCs w:val="22"/>
          <w:color w:val="auto"/>
        </w:rPr>
        <w:t>. Notwithstanding anything to the contrary contained in this Plan, any payment or payments may be delayed to the extent that the Committee reasonably anticipates that if the payments were made as scheduled, the Company’s deduction for federal income tax purposes with respect to such payment would not be permitted due to the application of Code Section 162(m), provided that the payment or payments are made in accordance with the regulations issued under Code Section 409A.</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u w:val="single" w:color="auto"/>
          <w:color w:val="auto"/>
        </w:rPr>
        <w:t>Medium of Payment</w:t>
      </w:r>
      <w:r>
        <w:rPr>
          <w:rFonts w:ascii="Arial" w:cs="Arial" w:eastAsia="Arial" w:hAnsi="Arial"/>
          <w:sz w:val="19"/>
          <w:szCs w:val="19"/>
          <w:color w:val="auto"/>
        </w:rPr>
        <w:t>. Unless the Committee determines otherwise in writing, all distributions shall be payable in cash.</w:t>
      </w: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ARTICLE VII</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22"/>
          <w:szCs w:val="22"/>
          <w:b w:val="1"/>
          <w:bCs w:val="1"/>
          <w:u w:val="single" w:color="auto"/>
          <w:color w:val="auto"/>
        </w:rPr>
        <w:t>PAYEE DESIGNATIONS AND LIMITATIONS</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Beneficiaries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54" w:lineRule="auto"/>
        <w:tabs>
          <w:tab w:leader="none" w:pos="1716"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Beneficiary Designation</w:t>
      </w:r>
      <w:r>
        <w:rPr>
          <w:rFonts w:ascii="Arial" w:cs="Arial" w:eastAsia="Arial" w:hAnsi="Arial"/>
          <w:sz w:val="22"/>
          <w:szCs w:val="22"/>
          <w:color w:val="auto"/>
        </w:rPr>
        <w:t>. The Participant shall have the right, at any time, to designate any person or persons as Beneficiary (both primary and contingent) to whom payment under the Plan shall be made in the event of the Participant’s death. The Beneficiary designation shall be effective when it is submitted to and acknowledged by the Committee during the Participant’s lifetime in the format prescribed by the Committee.</w:t>
      </w:r>
    </w:p>
    <w:p>
      <w:pPr>
        <w:spacing w:after="0" w:line="185" w:lineRule="exact"/>
        <w:rPr>
          <w:rFonts w:ascii="Arial" w:cs="Arial" w:eastAsia="Arial" w:hAnsi="Arial"/>
          <w:sz w:val="22"/>
          <w:szCs w:val="22"/>
          <w:color w:val="auto"/>
        </w:rPr>
      </w:pPr>
    </w:p>
    <w:p>
      <w:pPr>
        <w:jc w:val="both"/>
        <w:ind w:firstLine="1305"/>
        <w:spacing w:after="0" w:line="260" w:lineRule="auto"/>
        <w:tabs>
          <w:tab w:leader="none" w:pos="1783"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Absence of Valid Designation</w:t>
      </w:r>
      <w:r>
        <w:rPr>
          <w:rFonts w:ascii="Arial" w:cs="Arial" w:eastAsia="Arial" w:hAnsi="Arial"/>
          <w:sz w:val="22"/>
          <w:szCs w:val="22"/>
          <w:color w:val="auto"/>
        </w:rPr>
        <w:t>. If a Participant fails to designate a Beneficiary as provided above, or if every person designated as Beneficiary predeceases the Participant or dies prior to complete distribution of the Participant’s benefits, then the Committee shall direct the distribution of such benefits to the Participant’s estate.</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Payments to Minors</w:t>
      </w:r>
      <w:r>
        <w:rPr>
          <w:rFonts w:ascii="Arial" w:cs="Arial" w:eastAsia="Arial" w:hAnsi="Arial"/>
          <w:sz w:val="19"/>
          <w:szCs w:val="19"/>
          <w:color w:val="auto"/>
        </w:rPr>
        <w:t>. In the event any amount is payable under the Plan to a minor, payment shall not be made to the minor, but instead be paid (a) to that person’s living parent(s) to act as custodian, (b) if that person’s parents are then divorced, and one parent is the sole custodial parent, to such custodial parent, to act as custodian, or (c) if no parent of that person is then living, to a custodian selected by the Committee to hold the funds for the minor under the Uniform Transfers or Gifts to Minors Act in effect in the jurisdiction in which the minor resides. If no parent is living and the Committee decides not to select another custodian to hold the funds for the minor, then payment shall be made to the duly appointed and currently acting guardian of the estate for the minor or, if no guardian of the estate for the minor is duly appointed and currently acting within sixty (60) days after the date the amount becomes payable, payment shall be deposited with the court having jurisdiction over the estate of the minor.</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Payments on Behalf of Persons Under Incapacity</w:t>
      </w:r>
      <w:r>
        <w:rPr>
          <w:rFonts w:ascii="Arial" w:cs="Arial" w:eastAsia="Arial" w:hAnsi="Arial"/>
          <w:sz w:val="22"/>
          <w:szCs w:val="22"/>
          <w:color w:val="auto"/>
        </w:rPr>
        <w:t>. In the event that any amount becomes payable under the Plan to a person who, in the sole judgment of the Committee, is considered by reason of physical or mental condition to be unable to give a valid receipt therefore,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22"/>
          <w:szCs w:val="22"/>
          <w:color w:val="auto"/>
        </w:rPr>
        <w:t>the Committee may direct that such payment be made to any person found by the Committee, in its sole judgment, to have assumed the care of such person. Any payment made pursuant to such determination shall constitute a full release and discharge of any and all liability of the Committee and the Company under the Plan.</w:t>
      </w:r>
    </w:p>
    <w:p>
      <w:pPr>
        <w:spacing w:after="0" w:line="186"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Inability to Locate Payee</w:t>
      </w:r>
      <w:r>
        <w:rPr>
          <w:rFonts w:ascii="Arial" w:cs="Arial" w:eastAsia="Arial" w:hAnsi="Arial"/>
          <w:sz w:val="19"/>
          <w:szCs w:val="19"/>
          <w:color w:val="auto"/>
        </w:rPr>
        <w:t>. In the event that the Committee is unable to locate a Participant or Beneficiary within two years following the scheduled Payment Date, the amount allocated to the Participant’s Deferral Account shall be forfeited. If, after such forfeiture, the Participant or Beneficiary later claims such benefit, such benefit shall be reinstated without interest or earnings.</w:t>
      </w:r>
    </w:p>
    <w:p>
      <w:pPr>
        <w:spacing w:after="0" w:line="119"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ARTICLE VIII</w:t>
      </w:r>
    </w:p>
    <w:p>
      <w:pPr>
        <w:spacing w:after="0" w:line="28" w:lineRule="exact"/>
        <w:rPr>
          <w:sz w:val="20"/>
          <w:szCs w:val="20"/>
          <w:color w:val="auto"/>
        </w:rPr>
      </w:pPr>
    </w:p>
    <w:p>
      <w:pPr>
        <w:ind w:left="4740"/>
        <w:spacing w:after="0"/>
        <w:rPr>
          <w:sz w:val="20"/>
          <w:szCs w:val="20"/>
          <w:color w:val="auto"/>
        </w:rPr>
      </w:pPr>
      <w:r>
        <w:rPr>
          <w:rFonts w:ascii="Arial" w:cs="Arial" w:eastAsia="Arial" w:hAnsi="Arial"/>
          <w:sz w:val="22"/>
          <w:szCs w:val="22"/>
          <w:b w:val="1"/>
          <w:bCs w:val="1"/>
          <w:u w:val="single" w:color="auto"/>
          <w:color w:val="auto"/>
        </w:rPr>
        <w:t>ADMINISTRATION</w:t>
      </w:r>
    </w:p>
    <w:p>
      <w:pPr>
        <w:spacing w:after="0" w:line="2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Committee</w:t>
      </w:r>
      <w:r>
        <w:rPr>
          <w:rFonts w:ascii="Arial" w:cs="Arial" w:eastAsia="Arial" w:hAnsi="Arial"/>
          <w:sz w:val="19"/>
          <w:szCs w:val="19"/>
          <w:color w:val="auto"/>
        </w:rPr>
        <w:t>. The Plan shall be administered by a Committee appointed by the Board, which shall have the exclusive right and full discretion (a) to appoint agents to act on its behalf, (b) to select and establish Funds, (c) to interpret the Plan, (d) to decide any and all matters arising hereunder (including the right to remedy possible ambiguities, inconsistencies, or omissions), (e) to make, amend and rescind such rules as it deems necessary for the proper administration of the Plan and (f) to make all other determinations and resolve all questions of fact necessary or advisable for the administration of the Plan, including determinations regarding eligibility for benefits payable under the Plan. All interpretations of the Committee with respect to any matter hereunder shall be final, conclusive and binding on all persons affected thereby. No member of the Committee or agent thereof shall be liable for any determination, decision, or action made in good faith with respect to the Plan. The Company will indemnify and hold harmless the members of the Committee and its agents from and against any and all liabilities, costs, and expenses incurred by such persons as a result of any act, or omission, in connection with the performance of such persons’ duties, responsibilities, and obligations under the Plan, other than such liabilities, costs, and expenses as may result from the bad faith, willful misconduct, or criminal acts of such persons.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Claims Procedure</w:t>
      </w:r>
      <w:r>
        <w:rPr>
          <w:rFonts w:ascii="Arial" w:cs="Arial" w:eastAsia="Arial" w:hAnsi="Arial"/>
          <w:sz w:val="19"/>
          <w:szCs w:val="19"/>
          <w:color w:val="auto"/>
        </w:rPr>
        <w:t>. Any Participant, former Participant or Beneficiary may file a written claim with the Committee setting forth the nature of the benefit claimed, the amount thereof, and the basis for claiming entitlement to such benefit. The Committee shall determine the validity of the claim and communicate a decision to the claimant promptly and, in any event, not later than ninety (90) days after the date of the claim. The claim may be deemed by the claimant to have been denied for purposes of further review described below in the event a decision is not furnished to the claimant within such ninety (90) day period. If additional information is necessary to make a determination on a claim, the claimant shall be advised of the need for such additional information within forty-five (45) days after the date of the claim. The claimant shall have up to one hundred eighty</w:t>
      </w:r>
    </w:p>
    <w:p>
      <w:pPr>
        <w:spacing w:after="0" w:line="5"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days to supplement the claim information, and the claimant shall be advised of the decision on the claim within forty-five</w:t>
      </w:r>
    </w:p>
    <w:p>
      <w:pPr>
        <w:spacing w:after="0" w:line="38" w:lineRule="exact"/>
        <w:rPr>
          <w:rFonts w:ascii="Arial" w:cs="Arial" w:eastAsia="Arial" w:hAnsi="Arial"/>
          <w:sz w:val="19"/>
          <w:szCs w:val="19"/>
          <w:color w:val="auto"/>
        </w:rPr>
      </w:pPr>
    </w:p>
    <w:p>
      <w:pPr>
        <w:jc w:val="both"/>
        <w:ind w:firstLine="8"/>
        <w:spacing w:after="0" w:line="244" w:lineRule="auto"/>
        <w:tabs>
          <w:tab w:leader="none" w:pos="441" w:val="left"/>
        </w:tabs>
        <w:numPr>
          <w:ilvl w:val="0"/>
          <w:numId w:val="22"/>
        </w:numPr>
        <w:rPr>
          <w:rFonts w:ascii="Arial" w:cs="Arial" w:eastAsia="Arial" w:hAnsi="Arial"/>
          <w:sz w:val="22"/>
          <w:szCs w:val="22"/>
          <w:color w:val="auto"/>
        </w:rPr>
      </w:pPr>
      <w:r>
        <w:rPr>
          <w:rFonts w:ascii="Arial" w:cs="Arial" w:eastAsia="Arial" w:hAnsi="Arial"/>
          <w:sz w:val="22"/>
          <w:szCs w:val="22"/>
          <w:color w:val="auto"/>
        </w:rPr>
        <w:t>days after the earlier of the date the supplemental information is supplied or the end of the one hundred eighty (180) day period. Every claim for benefits which is denied shall be denied by written notice setting forth in a manner calculated to be understood by the claimant (a) the specific reason or reasons for the denial, (b) specific reference to any provisions of the Plan (including any internal rules, guidelines, protocols, criteria, etc.) 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5" w:name="page46"/>
    <w:bookmarkEnd w:id="45"/>
    <w:p>
      <w:pPr>
        <w:jc w:val="both"/>
        <w:spacing w:after="0" w:line="253" w:lineRule="auto"/>
        <w:rPr>
          <w:sz w:val="20"/>
          <w:szCs w:val="20"/>
          <w:color w:val="auto"/>
        </w:rPr>
      </w:pPr>
      <w:r>
        <w:rPr>
          <w:rFonts w:ascii="Arial" w:cs="Arial" w:eastAsia="Arial" w:hAnsi="Arial"/>
          <w:sz w:val="22"/>
          <w:szCs w:val="22"/>
          <w:color w:val="auto"/>
        </w:rPr>
        <w:t>which the denial is based, (c) description of any additional material or information that is necessary to process the claim, and (d) an explanation of the procedure for further reviewing the denial of the claim and shall include an explanation of the claimant’s right to file suit in Federal court in the event of an adverse determination on review.</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Review Procedures</w:t>
      </w:r>
      <w:r>
        <w:rPr>
          <w:rFonts w:ascii="Arial" w:cs="Arial" w:eastAsia="Arial" w:hAnsi="Arial"/>
          <w:sz w:val="19"/>
          <w:szCs w:val="19"/>
          <w:color w:val="auto"/>
        </w:rPr>
        <w:t>. Within sixty (60) days after the receipt of a denial on a claim, a claimant or his/her authorized representative may file a written request for review of such denial. Such review shall be undertaken by the Committee and shall be a full and fair review. The claimant shall have the right to review all pertinent documents. The Committee shall issue a decision not later than sixty (60) days after receipt of a request for review from a claimant unless special circumstances, such as the need to hold a hearing, require a longer period of time, in which case a decision shall be rendered as soon as possible but not later than one hundred twenty (120) days after receipt of the claimant’s request for review. The decision on review shall be in writing and shall include specific reasons for the decision written in a manner calculated to be understood by the claimant with specific reference to any provisions of the Plan on which the decision is based and shall include an explanation of the claimant’s right to file suit in Federal court in the event of an adverse determination on review.</w:t>
      </w:r>
    </w:p>
    <w:p>
      <w:pPr>
        <w:spacing w:after="0" w:line="149"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IX</w:t>
      </w:r>
    </w:p>
    <w:p>
      <w:pPr>
        <w:spacing w:after="0" w:line="2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Amendment or Termination of Plan</w:t>
      </w:r>
      <w:r>
        <w:rPr>
          <w:rFonts w:ascii="Arial" w:cs="Arial" w:eastAsia="Arial" w:hAnsi="Arial"/>
          <w:sz w:val="19"/>
          <w:szCs w:val="19"/>
          <w:color w:val="auto"/>
        </w:rPr>
        <w:t>. The Company may, at any time, direct the Committee to amend or terminate the Plan, except that no such amendment or termination may reduce a Participant’s Account balances. If the Company terminates the Plan, no further amounts shall be deferred hereunder, and amounts previously deferred or contributed to the Plan shall be fully vested and shall be paid in accordance with the provisions of the Plan as scheduled prior to the Plan termination. Notwithstanding the forgoing, to the extent permitted under Code Section 409A and applicable authorities, the Company may, in its complete and sole discretion, accelerate distributions under the Plan in the event of a “change in ownership” or “effective control” of the Company or a “change in ownership of a substantial portion of assets” or under such other terms and conditions as may be specifically authorized under Code Section 409A and applicable authorities.</w:t>
      </w:r>
    </w:p>
    <w:p>
      <w:pPr>
        <w:spacing w:after="0" w:line="1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Unsecured General Creditor</w:t>
      </w:r>
      <w:r>
        <w:rPr>
          <w:rFonts w:ascii="Arial" w:cs="Arial" w:eastAsia="Arial" w:hAnsi="Arial"/>
          <w:sz w:val="21"/>
          <w:szCs w:val="21"/>
          <w:color w:val="auto"/>
        </w:rPr>
        <w:t>. The benefits paid under the Plan shall be paid from the general assets of the Company, and the Participant and any Beneficiary or their heirs or successors shall be no more than unsecured general creditors of the Company with no special or prior right to any assets of the Company for payment of any obligations hereunder. It is the intention of the Company that this Plan be unfunded for purposes of ERISA and the Code.</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Restriction Against Assignment</w:t>
      </w:r>
      <w:r>
        <w:rPr>
          <w:rFonts w:ascii="Arial" w:cs="Arial" w:eastAsia="Arial" w:hAnsi="Arial"/>
          <w:sz w:val="22"/>
          <w:szCs w:val="22"/>
          <w:color w:val="auto"/>
        </w:rPr>
        <w:t>. The Company shall pay all amounts payable hereunder only to the person or persons designated by the Plan and not to any other person or entity. No part of a Participant’s Accounts shall be liable for the debts, contracts, or engagements of any Participant, Beneficiary, or their successors in interest, nor shall a Participant’s Accounts be subject to execution by levy, attachment, or garnishment or by any other legal or equitable proceeding, nor shall any such person have any right to alienate, anticipate, sell, transfer, commute, pledge, encumber, or assign any benefits or payments hereunder in any manner whatsoever. Except 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2"/>
          <w:szCs w:val="22"/>
          <w:color w:val="auto"/>
        </w:rPr>
        <w:t>provided in Section 9.7 of the Plan, as provided by any clawback, recoupment or similar policy adopted by the Company, or as required by law, no part of a Participant’s Accounts shall be subject to any right of offset against or reduction for any amount payable by the Participant or Beneficiary, whether to the Company or any other party, under any arrangement other than under the terms of this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Withholding</w:t>
      </w:r>
      <w:r>
        <w:rPr>
          <w:rFonts w:ascii="Arial" w:cs="Arial" w:eastAsia="Arial" w:hAnsi="Arial"/>
          <w:sz w:val="21"/>
          <w:szCs w:val="21"/>
          <w:color w:val="auto"/>
        </w:rPr>
        <w:t>. The Participant shall make appropriate arrangements with the Company for satisfaction of any federal, state or local income tax withholding requirements, Social Security and other employee tax or other requirements applicable to the granting, crediting, vesting or payment of benefits under the Plan. There shall be deducted from each payment made under the Plan or any other Compensation payable to the Participant (or Beneficiary) all taxes which are required to be withheld by the Company in respect to such payment or this Plan. The Company shall have the right to reduce any payment (or other Compensation) by the amount of cash sufficient to provide the amount of said taxes.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Protective Provisions</w:t>
      </w:r>
      <w:r>
        <w:rPr>
          <w:rFonts w:ascii="Arial" w:cs="Arial" w:eastAsia="Arial" w:hAnsi="Arial"/>
          <w:sz w:val="22"/>
          <w:szCs w:val="22"/>
          <w:color w:val="auto"/>
        </w:rPr>
        <w:t>. The Participant shall cooperate with the Company by furnishing any and all information requested by the Committee, in order to facilitate the payment of benefits hereunder and taking such other actions as may be requested by the Committee. If the Participant refuses to so cooperate, the Company shall have no further obligation to the Participant under the Plan.</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Receipt or Release</w:t>
      </w:r>
      <w:r>
        <w:rPr>
          <w:rFonts w:ascii="Arial" w:cs="Arial" w:eastAsia="Arial" w:hAnsi="Arial"/>
          <w:sz w:val="22"/>
          <w:szCs w:val="22"/>
          <w:color w:val="auto"/>
        </w:rPr>
        <w:t>. Any payment made in good faith to a Participant or the Participant’s Beneficiary shall, to the extent thereof, be in full satisfaction of all claims against the Committee, its members and the Company with respect to the Plan and participation in the Plan. The Committee may require such Participant or Beneficiary, as a condition precedent to such payment, to execute a receipt and release to such effect.</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Errors in Account Statements, Deferrals or Distributions</w:t>
      </w:r>
      <w:r>
        <w:rPr>
          <w:rFonts w:ascii="Arial" w:cs="Arial" w:eastAsia="Arial" w:hAnsi="Arial"/>
          <w:sz w:val="19"/>
          <w:szCs w:val="19"/>
          <w:color w:val="auto"/>
        </w:rPr>
        <w:t>. In the event an error is made in an Account statement, such error shall be corrected on the next statement following the date such error is discovered. In the event of an error in deferral amount, consistent with and as permitted by any correction procedures established under IRC Section 409A, the error shall be corrected immediately upon discovery by, in the case of an excess deferral, distribution of the excess amount to the Participant, or, in the case of an under deferral, reduction of other compensation payable to the Participant. In the event of an error in a distribution, the over or under payment shall be corrected by payment to or collection from the Participant consistent with any correction procedures established under IRC Section 409A, immediately upon the discovery of such error. In the event of an overpayment, the Company may, at its discretion, offset other amounts payable to the Participant from the Company (including but not limited to salary, bonuses, expense reimbursements, severance benefits or other employee compensation benefit arrangements, as allowed by law and subject to compliance with IRC Section 409A) to recoup the amount of such overpayment(s).</w:t>
      </w:r>
    </w:p>
    <w:p>
      <w:pPr>
        <w:spacing w:after="0" w:line="15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Employment Not Guaranteed</w:t>
      </w:r>
      <w:r>
        <w:rPr>
          <w:rFonts w:ascii="Arial" w:cs="Arial" w:eastAsia="Arial" w:hAnsi="Arial"/>
          <w:sz w:val="22"/>
          <w:szCs w:val="22"/>
          <w:color w:val="auto"/>
        </w:rPr>
        <w:t>. Nothing contained in the Plan nor any action taken hereunder shall be construed as a contract of employment or as giving any Participant any right to continue the provision of services in any capacity whatsoever to the Company.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7" w:name="page48"/>
    <w:bookmarkEnd w:id="47"/>
    <w:p>
      <w:pPr>
        <w:jc w:val="both"/>
        <w:ind w:firstLine="648"/>
        <w:spacing w:after="0" w:line="276" w:lineRule="auto"/>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Successors of the Company</w:t>
      </w:r>
      <w:r>
        <w:rPr>
          <w:rFonts w:ascii="Arial" w:cs="Arial" w:eastAsia="Arial" w:hAnsi="Arial"/>
          <w:sz w:val="22"/>
          <w:szCs w:val="22"/>
          <w:color w:val="auto"/>
        </w:rPr>
        <w:t>. The rights and obligations of the Company under the Plan shall inure to the benefit of, and shall be binding upon, the successors and assigns of the Company.</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9.10 </w:t>
      </w:r>
      <w:r>
        <w:rPr>
          <w:rFonts w:ascii="Arial" w:cs="Arial" w:eastAsia="Arial" w:hAnsi="Arial"/>
          <w:sz w:val="19"/>
          <w:szCs w:val="19"/>
          <w:u w:val="single" w:color="auto"/>
          <w:color w:val="auto"/>
        </w:rPr>
        <w:t>Notice</w:t>
      </w:r>
      <w:r>
        <w:rPr>
          <w:rFonts w:ascii="Arial" w:cs="Arial" w:eastAsia="Arial" w:hAnsi="Arial"/>
          <w:sz w:val="19"/>
          <w:szCs w:val="19"/>
          <w:color w:val="auto"/>
        </w:rPr>
        <w:t>. Any notice or filing required or permitted to be given to the Company or the Participant under this Agreement shall be sufficient if in writing and hand-delivered, or sent by registered or certified mail, in the case of the Company, to the principal office of the Company, directed to the attention of the Committee, and in the case of the Participant, to the last known address of the Participant indicated on the employment records of the Company. Such notice shall be deemed given as of the date of delivery or, if delivery is made by mail, as of the date shown on the postmark on the receipt for registration or certification. Notices to the Company may be permitted by electronic communication according to specifications established by the Committee.</w:t>
      </w:r>
    </w:p>
    <w:p>
      <w:pPr>
        <w:spacing w:after="0" w:line="1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Headings</w:t>
      </w:r>
      <w:r>
        <w:rPr>
          <w:rFonts w:ascii="Arial" w:cs="Arial" w:eastAsia="Arial" w:hAnsi="Arial"/>
          <w:sz w:val="22"/>
          <w:szCs w:val="22"/>
          <w:color w:val="auto"/>
        </w:rPr>
        <w:t>. Headings and subheadings in this Plan are inserted for convenience of reference only and are not to be considered in the construction of the provisions hereof.</w:t>
      </w:r>
    </w:p>
    <w:p>
      <w:pPr>
        <w:spacing w:after="0" w:line="13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Gender, Singular and Plural</w:t>
      </w:r>
      <w:r>
        <w:rPr>
          <w:rFonts w:ascii="Arial" w:cs="Arial" w:eastAsia="Arial" w:hAnsi="Arial"/>
          <w:sz w:val="22"/>
          <w:szCs w:val="22"/>
          <w:color w:val="auto"/>
        </w:rPr>
        <w:t>. All pronouns and any variations thereof shall be deemed to refer to the masculine, feminine, or neuter, as the identity of the person or persons may require. As the context may require, the singular may be read as the plural and the plural as the singular.</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9.13 </w:t>
      </w:r>
      <w:r>
        <w:rPr>
          <w:rFonts w:ascii="Arial" w:cs="Arial" w:eastAsia="Arial" w:hAnsi="Arial"/>
          <w:sz w:val="22"/>
          <w:szCs w:val="22"/>
          <w:u w:val="single" w:color="auto"/>
          <w:color w:val="auto"/>
        </w:rPr>
        <w:t>Governing Law</w:t>
      </w:r>
      <w:r>
        <w:rPr>
          <w:rFonts w:ascii="Arial" w:cs="Arial" w:eastAsia="Arial" w:hAnsi="Arial"/>
          <w:sz w:val="22"/>
          <w:szCs w:val="22"/>
          <w:color w:val="auto"/>
        </w:rPr>
        <w:t>. The Plan is intended to be an unfunded plan maintained primarily to provide deferred compensation benefits for a select group of “management or highly compensated employees” within the meaning of Sections 201, 301 and 401 of ERISA and therefore to be exempt from Parts 2, 3 and 4 of Title I of ERISA. In the event any provision of, or legal issue relating to, this Plan is not fully preempted by federal law, such issue or provision shall be governed by the laws of the Commonwealth of Massachusetts.</w:t>
      </w:r>
    </w:p>
    <w:p>
      <w:pPr>
        <w:spacing w:after="0" w:line="200" w:lineRule="exact"/>
        <w:rPr>
          <w:sz w:val="20"/>
          <w:szCs w:val="20"/>
          <w:color w:val="auto"/>
        </w:rPr>
      </w:pPr>
    </w:p>
    <w:p>
      <w:pPr>
        <w:spacing w:after="0" w:line="219" w:lineRule="exact"/>
        <w:rPr>
          <w:sz w:val="20"/>
          <w:szCs w:val="20"/>
          <w:color w:val="auto"/>
        </w:rPr>
      </w:pPr>
    </w:p>
    <w:p>
      <w:pPr>
        <w:spacing w:after="0"/>
        <w:tabs>
          <w:tab w:leader="none" w:pos="1000" w:val="left"/>
        </w:tabs>
        <w:rPr>
          <w:sz w:val="20"/>
          <w:szCs w:val="20"/>
          <w:color w:val="auto"/>
        </w:rPr>
      </w:pPr>
      <w:r>
        <w:rPr>
          <w:rFonts w:ascii="Arial" w:cs="Arial" w:eastAsia="Arial" w:hAnsi="Arial"/>
          <w:sz w:val="22"/>
          <w:szCs w:val="22"/>
          <w:color w:val="auto"/>
        </w:rPr>
        <w:t>Adopted:</w:t>
      </w:r>
      <w:r>
        <w:rPr>
          <w:sz w:val="20"/>
          <w:szCs w:val="20"/>
          <w:color w:val="auto"/>
        </w:rPr>
        <w:tab/>
      </w:r>
      <w:r>
        <w:rPr>
          <w:rFonts w:ascii="Arial" w:cs="Arial" w:eastAsia="Arial" w:hAnsi="Arial"/>
          <w:sz w:val="19"/>
          <w:szCs w:val="19"/>
          <w:color w:val="auto"/>
        </w:rPr>
        <w:t>July 27, 2012</w:t>
      </w:r>
    </w:p>
    <w:p>
      <w:pPr>
        <w:spacing w:after="0" w:line="22"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Amended:</w:t>
      </w:r>
      <w:r>
        <w:rPr>
          <w:sz w:val="20"/>
          <w:szCs w:val="20"/>
          <w:color w:val="auto"/>
        </w:rPr>
        <w:tab/>
      </w:r>
      <w:r>
        <w:rPr>
          <w:rFonts w:ascii="Arial" w:cs="Arial" w:eastAsia="Arial" w:hAnsi="Arial"/>
          <w:sz w:val="19"/>
          <w:szCs w:val="19"/>
          <w:color w:val="auto"/>
        </w:rPr>
        <w:t>July 24,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5799118v2</w:t>
      </w:r>
    </w:p>
    <w:p>
      <w:pPr>
        <w:sectPr>
          <w:pgSz w:w="11900" w:h="16838" w:orient="portrait"/>
          <w:cols w:equalWidth="0" w:num="1">
            <w:col w:w="11420"/>
          </w:cols>
          <w:pgMar w:left="240" w:top="59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Executive 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September 27, 2014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connection with the Quarterly Report of Haemonetics Corporation (the “Company”) on Form 10-Q for the period ended September 27, 2014 as filed with the Securities and Exchange Commission on the date hereof (the “Report”), I, Christopher Lindop, Chief Financial Officer and Executive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November 4, 2014</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Executive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lowerLetter"/>
      <w:start w:val="2"/>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2"/>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3"/>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2"/>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80"/>
    </w:lvl>
  </w:abstractNum>
  <w:abstractNum w:abstractNumId="21">
    <w:nsid w:val="2D1D5AE9"/>
    <w:multiLevelType w:val="hybridMultilevel"/>
    <w:lvl w:ilvl="0">
      <w:lvlJc w:val="left"/>
      <w:lvlText w:val="(%1)"/>
      <w:numFmt w:val="decimal"/>
      <w:start w:val="45"/>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2019-12-05T17:28:43Z</dcterms:created>
  <dcterms:modified xsi:type="dcterms:W3CDTF">2019-12-05T17:28:43Z</dcterms:modified>
</cp:coreProperties>
</file>