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27,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June 27, 2015: 50,886,489</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Loss and Comprehensive Loss - Three Months Ended June 27, 2015 and June 28, 2014</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9080" w:type="dxa"/>
            <w:vAlign w:val="bottom"/>
            <w:tcBorders>
              <w:top w:val="single" w:sz="8" w:color="0000EE"/>
            </w:tcBorders>
            <w:gridSpan w:val="15"/>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Consolidated Balance Sheet - June 27, 2015 and Audited Consolidated Balance Sheet - March 28, 2015</w:t>
              </w:r>
            </w:hyperlink>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Consolidated Statements of Cash Flows - Three Months Ended June 27, 2015 and June 28, 2014</w:t>
              </w:r>
            </w:hyperlink>
          </w:p>
        </w:tc>
        <w:tc>
          <w:tcPr>
            <w:tcW w:w="19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3780" w:type="dxa"/>
            <w:vAlign w:val="bottom"/>
            <w:tcBorders>
              <w:top w:val="single" w:sz="8" w:color="0000EE"/>
            </w:tcBorders>
            <w:gridSpan w:val="3"/>
          </w:tcPr>
          <w:p>
            <w:pPr>
              <w:spacing w:after="0"/>
              <w:rPr>
                <w:sz w:val="21"/>
                <w:szCs w:val="21"/>
                <w:color w:val="auto"/>
              </w:rPr>
            </w:pPr>
          </w:p>
        </w:tc>
        <w:tc>
          <w:tcPr>
            <w:tcW w:w="25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w w:val="90"/>
              </w:rPr>
            </w:pPr>
            <w:hyperlink w:anchor="page17">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0"/>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7"/>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1"/>
          </w:tcPr>
          <w:p>
            <w:pPr>
              <w:jc w:val="right"/>
              <w:ind w:right="18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AND COMPREHENSIVE LOSS (Unaudited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118,210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92,562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provision for (benefit from)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r>
      <w:tr>
        <w:trPr>
          <w:trHeight w:val="311"/>
        </w:trPr>
        <w:tc>
          <w:tcPr>
            <w:tcW w:w="8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324"/>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51,741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51,741</w:t>
            </w:r>
          </w:p>
        </w:tc>
      </w:tr>
      <w:tr>
        <w:trPr>
          <w:trHeight w:val="324"/>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27,</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160,662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$1,805 at June 27, 2015 and $1,749 at March 28, 2015</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139,103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145,827</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211,077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12,680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12,608</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40,103</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508,361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570,277</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328,882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321,948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9"/>
              </w:rPr>
              <w:t>Intangible assets, less accumulated amortization of $141,945 at June 27, 2015 and $133,175 at March 28, 2015</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241,873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244,588</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334,310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3,023</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11,271</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1,427,411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21,522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42,155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48,425</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51,115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3,819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64,211</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169,765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189,092</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399,453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406,369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34,354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32,097</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31,737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Common stock, $0.01 par value; Authorized — 150,000,000 shares; Issued and outstanding — 50,886,489 shares at June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27, 2015 and 51,670,969 shares at March 28, 2015</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427,878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426,964</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420,365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(21,724)</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791,647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826,122</w:t>
            </w: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1,427,411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28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347</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(Gain)/loss on sale of property, plant and equipment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(loss)/gain from hedging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inventories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(9,569)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prepaid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other assets and other liabilities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accounts payable and accrued expenses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acquisitions and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short-term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2,223</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(26,466)</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(52,526)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192,469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112,204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139,943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2,011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Transfers from inventory to fixed assets for placement of Haemonetics equipment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2,443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three months ended are not necessarily indicative of the results that may be expected for the full fiscal year ending April 2, 2016, or any other interim period. Operating results for the three months ended June 27, 2015 include the correction of an understatement of the provision for income taxes in fiscal 2015, which was determined to be immaterial to all periods impacted. Absent this correction, the provision for income taxes in the three months ended June 27, 2015 would have been $1.0 million lower than the amount included in the accompanying Consolidated Statements of Loss and Comprehensive Loss. This understatement was due to an error in the computation of the provision for income taxes due to a recent change in the capital gains tax rate in Puerto Rico related to certain deferred tax liabilities. These unaudited consolidated financial statements should be read in conjunction with our audited consolidated financial statements and footnotes included in our annual report on Form 10-K for the fiscal year ended March 28, 2015.</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2016 includes 53 weeks with each of the first three quarters having 13 weeks and the fourth quarter having 14 weeks. Fiscal year 2015 included 52 weeks with each quarter having 13 weeks.</w:t>
      </w:r>
    </w:p>
    <w:p>
      <w:pPr>
        <w:spacing w:after="0" w:line="166" w:lineRule="exact"/>
        <w:rPr>
          <w:sz w:val="20"/>
          <w:szCs w:val="20"/>
          <w:color w:val="auto"/>
        </w:rPr>
      </w:pPr>
    </w:p>
    <w:p>
      <w:pPr>
        <w:ind w:right="7340" w:firstLine="8"/>
        <w:spacing w:after="0" w:line="344"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No.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Disposals of Components of an Entity</w:t>
      </w:r>
      <w:r>
        <w:rPr>
          <w:rFonts w:ascii="Arial" w:cs="Arial" w:eastAsia="Arial" w:hAnsi="Arial"/>
          <w:sz w:val="18"/>
          <w:szCs w:val="18"/>
          <w:color w:val="auto"/>
        </w:rPr>
        <w:t>. ASU No. 2014-08 limits the requirement to report discontinued operations to disposals of components of an entity that represent strategic shifts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Management does not believe that the adoption of ASU No. 2014-08 will have a material effect on our Financial Statements. We adopted ASU No. 2014-08 beginning in the first quarter of fiscal 2016. The adoption of ASU No. 2014-08 did not impact our financial position or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2016, including interim periods within those reporting periods, with early adoption not permitted. On July 9, 2015, the FASB affirmed its proposal to defer the effective date by one year to December 15, 2017 for interim and annual reporting periods beginning after that date and permitted early adoption of the standard, but not before the original effective date of December 15, 2016. The FASB expects to issue its final ASU formally amending the effective date by the end of the third quarter of 2015. The impact of adopting ASU No. 2014-09 on our financial position and results of operations is being assessed by management.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an Award Provide That a Performance Target Could Be Achieved after the Requisite Service Period</w:t>
      </w:r>
      <w:r>
        <w:rPr>
          <w:rFonts w:ascii="Arial" w:cs="Arial" w:eastAsia="Arial" w:hAnsi="Arial"/>
          <w:sz w:val="17"/>
          <w:szCs w:val="17"/>
          <w:color w:val="auto"/>
        </w:rPr>
        <w:t>. ASU No. 2014-12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position or results of operations.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Income Statement-Extraordinary and Unusual Items (Subtopic 225-20): Simplifying Income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by Eliminating the Concept of Extraordinary Items</w:t>
      </w:r>
      <w:r>
        <w:rPr>
          <w:rFonts w:ascii="Arial" w:cs="Arial" w:eastAsia="Arial" w:hAnsi="Arial"/>
          <w:sz w:val="18"/>
          <w:szCs w:val="18"/>
          <w:color w:val="auto"/>
        </w:rPr>
        <w:t>. ASU No. 2015-01 eliminates from GAAP the concept of extraordinary items. An entity will</w:t>
      </w:r>
      <w:r>
        <w:rPr>
          <w:rFonts w:ascii="Arial" w:cs="Arial" w:eastAsia="Arial" w:hAnsi="Arial"/>
          <w:sz w:val="18"/>
          <w:szCs w:val="18"/>
          <w:i w:val="1"/>
          <w:iCs w:val="1"/>
          <w:color w:val="auto"/>
        </w:rPr>
        <w:t xml:space="preserve"> </w:t>
      </w:r>
      <w:r>
        <w:rPr>
          <w:rFonts w:ascii="Arial" w:cs="Arial" w:eastAsia="Arial" w:hAnsi="Arial"/>
          <w:sz w:val="18"/>
          <w:szCs w:val="18"/>
          <w:color w:val="auto"/>
        </w:rPr>
        <w:t>no longer be required to (1) segregate an extraordinary item from the results of ordinary operations; (2) separately present an extraordinary item on its income statement, net of tax, after income from continuing operations; and (3) disclose income taxes and earnings-per-share data applicable to an extraordinary item. ASU No. 2015-01 will be effective for fiscal years beginning after December 15, 2015. An entity may apply the amendments prospectively or retrospectively to all prior periods presented in the financial statements. Early adoption is permitted provided that the guidance is applied from the beginning of the fiscal year of adoption. Management does not believe that the adoption of ASU No. 2015-01 will have a material effect on our financial position or results of operations.</w:t>
      </w:r>
    </w:p>
    <w:p>
      <w:pPr>
        <w:spacing w:after="0" w:line="19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ASU No. 2015-02 amended the process that a reporting entity must perform to determine whether it should consolidate certain types of legal entities. ASU No. 2015-02 is effective for annual periods ending after December 15, 2015, and for annual periods and interim periods thereafter with early adoption permitted. Management does not believe that the adoption of ASU No. 2015-02 will have a material effect on our financial position or results of operations.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ASU No. 2015-03 requires that debt issuance costs related to a recognized debt liability be presented in the balance sheet as a direct deduction from the carrying amount of that debt liability, consistent with debt discounts. ASU No. 2015-03 is effective for annual periods beginning after December 15, 2015, and interim periods within those annual periods. Management does not believe that the adoption of ASU No. 2015-03 will have a material effect on our financial position or results of operations.</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April 2015, the FASB issued ASU No. 2015-04, </w:t>
      </w:r>
      <w:r>
        <w:rPr>
          <w:rFonts w:ascii="Arial" w:cs="Arial" w:eastAsia="Arial" w:hAnsi="Arial"/>
          <w:sz w:val="17"/>
          <w:szCs w:val="17"/>
          <w:i w:val="1"/>
          <w:iCs w:val="1"/>
          <w:color w:val="auto"/>
        </w:rPr>
        <w:t>Compensation—Retirement Benefits (Topic 715): Practical Expedient for the Measurement Date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Employer’s Defined Benefit Obligation and Plan Assets. </w:t>
      </w:r>
      <w:r>
        <w:rPr>
          <w:rFonts w:ascii="Arial" w:cs="Arial" w:eastAsia="Arial" w:hAnsi="Arial"/>
          <w:sz w:val="17"/>
          <w:szCs w:val="17"/>
          <w:color w:val="auto"/>
        </w:rPr>
        <w:t>ASU No. 2015-04 provides a practical expedient, for an entity with a fiscal year-end that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coincide with a month-end, that permits the entity to measure defined benefit plan assets and obligations using the month-end that is closest to the entity's fiscal year-end and apply that practical expedient consistently from year to year. ASU No. 2015-04 is effective for fiscal years beginning after December 15, 2015, and interim periods within those fiscal years. Early application is permitted. Management does not believe that the adoption of ASU No. 2015-04 will have a material effect on our financial position or results of operations.</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ASU No. 2015-05 will help entities evaluate the accounting for fees paid by a customer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ASU No. 2015-05 is effective for interim and annual periods beginning after December 15, 2015 with early adoption permitted. Management does not believe that the adoption of ASU No. 2015-05 will have a material effect on our financial position or results of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51,741</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months ended June 27, 2015 and June 28, 2014, we recognized a net loss; therefore we excluded the impact of outstanding stock awards from the diluted loss per share calculation as their inclusion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Total stock-based compensation expense of $3.2 million and $3.5 million was recognized for the three months ended June 27, 2015 and June 28, 2014, respectively. There was no income tax benefit recognized for the three months ended June 27, 2015 and the related income tax benefit recognized was $1.1 million for the three months ended June 28, 2014.</w:t>
      </w:r>
    </w:p>
    <w:p>
      <w:pPr>
        <w:spacing w:after="0" w:line="18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weighted average fair value for our options granted was $9.98 and $7.49 per share for the three months ended June 27, 2015 and June 28, 2014, respectively. The assumptions utilized for estimating the fair value of option grants during the periods presented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June 27,</w:t>
            </w:r>
          </w:p>
        </w:tc>
        <w:tc>
          <w:tcPr>
            <w:tcW w:w="166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7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22.62%</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27, 2015, there was $21.9 million of total unrecognized compensation cost related to non-vested equity based compensation, including stock options, restricted stock units, market stock units and performance share units. This cost is expected to be recognized over a weighted average period of 2.13 years.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June 27, 2015 and June 28, 2014, there were 73,360 and 96,853 shares, respectively, purchased under the Employee Stock Purchase Plan at an average price of $30.84 and $25.85 per share,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13"/>
                <w:szCs w:val="13"/>
                <w:color w:val="auto"/>
              </w:rPr>
            </w:pP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12,462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130,843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126,821</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211,131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211,077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manufacture, market and sell our products globally. For the three months ended June 27, 2015, approximately 43.4% of our sales were generated outside the U.S. in local currencies. We also incur certain manufacturing, marketing and selling costs in international markets in local currency.</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British Pound Sterling,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June 27, 2015 and March 28, 2015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$132.1 million as of June 27, 2015 and $145.8 million as of March 28, 2015.</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three months ended June 27, 2015, we recognized net gains of $4.0 million in earnings from our cash flow hedges, compared to recognized net gains of $0.8 million during the three months ended June 28, 2014. For the three months ended June 27, 2015, a $1.2 million gain, net of tax, was recorded in Accumulated Other Comprehensive Income to recognize the effective portion of the fair value of any designated foreign currency hedge contracts that are, or previously were, designated as foreign currency cash flow hedges, as compared to a loss of $0.1 million, net of tax, for the three months ended June 28,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At June 27, 2015, gains of $1.2 million, net of tax, will be reclassified to earnings within the next twelve months. All currency cash flow hedges outstanding as of June 27, 2015 mature within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$38.0 million as of June 27, 2015 and $45.8 million as of March 28,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August 1, 2012, we entered into a credit agreement, as amended June 30, 2014, which provided for a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allows us to borrow in multiple tranches. As of June 27, 2015, we have four tranches outstanding.</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three months ended June 27, 2015 and June 28, 2014, a nominal gain and a gain of $0.6 million, respectively, net of tax, were recorded in Accumulated Other Comprehensive Income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Topic 815 in our consolidated statements of income and comprehensive income for the three months ended June 27, 2015: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Amount of</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color w:val="auto"/>
                <w:w w:val="92"/>
              </w:rPr>
              <w:t>Retained 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color w:val="auto"/>
                <w:w w:val="97"/>
              </w:rPr>
              <w:t>Testing *</w:t>
            </w:r>
          </w:p>
        </w:tc>
        <w:tc>
          <w:tcPr>
            <w:tcW w:w="120" w:type="dxa"/>
            <w:vAlign w:val="bottom"/>
            <w:vMerge w:val="restart"/>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3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June 27, 2015 or March 28,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As of June 27, 2015, the amount recognized as a deferred tax liability for designated foreign currency hedges was $0.7 million and the amount recognized as a deferred tax asset for interest rate swap hedges was $0.1 million.</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27, 2015,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27, 2015 and March 28, 2015: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Location in</w:t>
            </w:r>
          </w:p>
        </w:tc>
        <w:tc>
          <w:tcPr>
            <w:tcW w:w="260" w:type="dxa"/>
            <w:vAlign w:val="bottom"/>
          </w:tcPr>
          <w:p>
            <w:pPr>
              <w:spacing w:after="0"/>
              <w:rPr>
                <w:sz w:val="14"/>
                <w:szCs w:val="14"/>
                <w:color w:val="auto"/>
              </w:rPr>
            </w:pPr>
          </w:p>
        </w:tc>
        <w:tc>
          <w:tcPr>
            <w:tcW w:w="13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June 27, 2015</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9,740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three months ended June 27, 2015,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27,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Quoted Market</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71,099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76,746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1,482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4,810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three months ended June 27, 2015,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 This Level 3 fair value measurement was performed using a probability-weighted discounted cash flow over a ten year period. 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the beginning and ending Level 3 liabilities for the quarter ended June 27,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28,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4,810</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w w:val="95"/>
              </w:rPr>
              <w:t>The fair value adjustment to contingent consideration was a result of updated assumptions pertaining to timing and unit volumes.</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Fair Value Disclosures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8. INCOME TAXES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conduct business globally, and as a result, report our results of operations in a number of foreign jurisdictions in addition to the United States.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reported income tax rate for the three months ended June 27, 2015 was 116.7%, as compared to a reported income tax rate of 13.3% for the three months ended June 28,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ind w:right="300"/>
        <w:spacing w:after="0" w:line="302" w:lineRule="auto"/>
        <w:rPr>
          <w:sz w:val="20"/>
          <w:szCs w:val="20"/>
          <w:color w:val="auto"/>
        </w:rPr>
      </w:pPr>
      <w:r>
        <w:rPr>
          <w:rFonts w:ascii="Arial" w:cs="Arial" w:eastAsia="Arial" w:hAnsi="Arial"/>
          <w:sz w:val="16"/>
          <w:szCs w:val="16"/>
          <w:color w:val="auto"/>
        </w:rPr>
        <w:t>During the three months ended June 27, 2015, we recorded pre-tax losses in Scotland, Italy and Malaysia due to restructuring and transformation costs associated with our manufacturing transformation, and we did not record a corresponding tax benefit due to uncertainty around our ability to realize a tax benefit in these jurisdictions. Similarly, during the three months ended June 28, 2014, we recorded pre-tax losses in Scotland associated with restructuring costs, and we did not record a corresponding tax benefit due to uncertainty around our ability to realize a tax benefit in this jurisdiction.</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recorded tax expense of $1.0 million for the three months ended June 27, 2015 to increase the deferred tax liability related to amortizable goodwill as a result of the statutory capital gains tax rate in Puerto Rico increasing from 15% to 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in a three year cumulative loss position in the U.S. and accordingly have established a valuation allowance against U.S. deferred tax assets.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the achievement of leverage ratios and customary credit terms which included financial and negative covenants.</w:t>
      </w:r>
    </w:p>
    <w:p>
      <w:pPr>
        <w:spacing w:after="0" w:line="15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June 27, 2015,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June 27, 2015. We were in compliance with the leverage and interest coverage ratios specified in the Credit Agreement as well as all other bank covenants as of June 27,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The maturity profile is as follows:</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21,342</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42,683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45,054</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151,763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168,564</w:t>
            </w: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429,406</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1440" w:gutter="0" w:footer="0" w:header="0"/>
        </w:sectPr>
      </w:pPr>
    </w:p>
    <w:bookmarkStart w:id="13" w:name="page14"/>
    <w:bookmarkEnd w:id="13"/>
    <w:p>
      <w:pPr>
        <w:ind w:right="12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27, 2015, the total amount of damages claimed by the plaintiffs in these matters is approximately $3.7 million. It is not possible at this point in the proceedings to accurately evaluate the likelihood or amount of any potential losses and therefore no amounts have been accrued. We may receive other, similar claims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manage a global business which designs, manufactures and markets blood management solutions. Our solutions are marketed through operating units organized primarily on geography: North America Plasma, North America Blood Center and Hospital, Europe, Asia Pacific and Japan.</w:t>
      </w:r>
    </w:p>
    <w:p>
      <w:pPr>
        <w:spacing w:after="0" w:line="12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permits the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w:t>
      </w:r>
    </w:p>
    <w:p>
      <w:pPr>
        <w:spacing w:after="0" w:line="166"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Based on the criteria of ASC 280, we have one reportable segment. This conclusion is consistent with how our chief operating decision-maker views the business. Our chief operating decision maker primarily uses consolidated results to make operating and strategic decisions.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in Braintree, Massachusetts, (iii) expanding our current facility in Tijuana, Mexico, (iv) engaging Sanmina Corporation as a contract manufacturer to produce certain medical equipment, and</w:t>
      </w:r>
    </w:p>
    <w:p>
      <w:pPr>
        <w:spacing w:after="0" w:line="5" w:lineRule="exact"/>
        <w:rPr>
          <w:sz w:val="20"/>
          <w:szCs w:val="20"/>
          <w:color w:val="auto"/>
        </w:rPr>
      </w:pPr>
    </w:p>
    <w:p>
      <w:pPr>
        <w:ind w:right="34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building a new manufacturing facility in Penang, Malaysia closer to our customers in Asia.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of the MD&amp;A for further discussion of the costs of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estimate we will incur approximately $45.0 million in restructuring and restructuring related expense in 2016.</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summarizes the restructuring costs for the three months ended June 27, 2015 and June 28,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1097"/>
              <w:spacing w:after="0"/>
              <w:rPr>
                <w:sz w:val="20"/>
                <w:szCs w:val="20"/>
                <w:color w:val="auto"/>
              </w:rPr>
            </w:pPr>
            <w:r>
              <w:rPr>
                <w:rFonts w:ascii="Arial" w:cs="Arial" w:eastAsia="Arial" w:hAnsi="Arial"/>
                <w:sz w:val="14"/>
                <w:szCs w:val="14"/>
                <w:b w:val="1"/>
                <w:bCs w:val="1"/>
                <w:color w:val="auto"/>
                <w:w w:val="94"/>
              </w:rPr>
              <w:t>Three Months Ended June 27, 2015</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28,</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Balance at June 27, 2015</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9,459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15,225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1097"/>
              <w:spacing w:after="0"/>
              <w:rPr>
                <w:sz w:val="20"/>
                <w:szCs w:val="20"/>
                <w:color w:val="auto"/>
              </w:rPr>
            </w:pPr>
            <w:r>
              <w:rPr>
                <w:rFonts w:ascii="Arial" w:cs="Arial" w:eastAsia="Arial" w:hAnsi="Arial"/>
                <w:sz w:val="14"/>
                <w:szCs w:val="14"/>
                <w:b w:val="1"/>
                <w:bCs w:val="1"/>
                <w:color w:val="auto"/>
                <w:w w:val="94"/>
              </w:rPr>
              <w:t>Three Months Ended June 28, 2014</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Balance at June 28, 2014</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15,065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25,719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We deployed significant financial resources for these activities. Many of the costs necessary to complete the VCC initiatives, such as severance and other plant closing costs, qualify as restructuring expenses under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We incurred $9.5 million in severance, asset write-downs and other restructuring charges during the three months ended June 27, 2015. In addition, we also incurred $5.4 million of costs that do not constitute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table below presents transformation and restructuring costs recorded in cost of goods sold, research and development, selling, general and administrative expenses and interest and other expense in our Consolidated Statements of Income and Comprehensive Income for the periods presented.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Transformation costs</w:t>
            </w:r>
          </w:p>
        </w:tc>
        <w:tc>
          <w:tcPr>
            <w:tcW w:w="4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77"/>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4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Transformation and other costs</w:t>
            </w:r>
          </w:p>
        </w:tc>
        <w:tc>
          <w:tcPr>
            <w:tcW w:w="4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4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180" w:type="dxa"/>
            <w:vAlign w:val="bottom"/>
            <w:vMerge w:val="restart"/>
          </w:tcPr>
          <w:p>
            <w:pPr>
              <w:jc w:val="right"/>
              <w:ind w:right="223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318"/>
        </w:trPr>
        <w:tc>
          <w:tcPr>
            <w:tcW w:w="8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14,816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22,993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13. CAPITALIZATION OF SOFTWARE DEVELOPMENT COSTS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capitalized $3.9 million and $1.4 million in software development costs for ongoing initiatives during the three months ended June 27, 2015 and June 28, 2014, respectively. At June 27, 2015 and March 28, 2015, we have a total of $43.6 million and $39.7 million of capitalized software costs, of which $5.9 million and $7.9 million are related to in-process software development initiatives, respectively. During the three months ended June 27, 2015, $5.8 million of capitalized costs were placed into service. The costs capitalized for each project are included in intangible assets in the consolidated financial statements. We review these assets for impairment at least annually.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components of Accumulated Other Comprehensive Income, net of tax, for the three months ended June 27,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0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(loss)/income before</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(loss)/income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June 27,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Details pertaining to the amount reclassified from Accumulated Other Comprehensive Income for the three months ended June 27, 2015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cost of goods sold,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2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2015 Annual Report on Form 10-K filed with the Securities and Exchange Commission (the “SEC”) on May 22, 2015.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devices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Russian Economic Conditions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Economic weakness in Russia has impacted our financial results in the first quarter of fiscal 2016. We expect that our Russian business performance will improve in the second half of fiscal 2016, and full year performance will be similar to fiscal 2015. While the needs for our products in the Russian marketplace continue, the challenging macro-economic conditions in Russia have resulted in reduced government healthcare spending and, as a result, our distributors are placing fewer orders and managing their inventory levels. In the first quarter of fiscal 2016 and 2015, Russia accounted for 1% and 3% of revenue, respectively. We continue to work closely with our Russian distributors to monitor market conditions and manage credit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Sales to U.S. blood centers of our whole blood disposables represent approximately 6% of our total revenue. The demand for these disposable products in the U.S. declined in fiscal 2015 due to a rapid decline in demand for blood products associated with actions taken by hospitals to improve blood management techniques and protocols. We believe the decline in U.S. blood center collections of approximately 10% in fiscal 2015 will moderate in fiscal 2016. While it will continue to negatively impact red cell and whole blood revenue, the magnitude of the negative impact will be reduced.</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negatively impacted our financial results in the first quarter of fiscal 2016. In March 2014, the American Red Cross selected another exclusive supplier to provide certain whole blood products. This reduced annualized revenues by approximately $25.0 million beginning in the second quarter of fiscal 2015.</w:t>
      </w:r>
    </w:p>
    <w:p>
      <w:pPr>
        <w:spacing w:after="0" w:line="19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Additionally, U.S. blood collection groups are pursuing arrangements for apheresis red cell collections similar to the single source agreements pursued in whole blood. We are seeing increasing competition for this business which will likely affect future red cell market share and pricing; this will negatively affect future red cell revenues and gross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in Braintree, Massachusetts, (iii) expanding our current facility in Tijuana, Mexico, (iv) engaging Sanmina Corporation as a contract manufacturer to produce certain medical equipment, and</w:t>
      </w:r>
    </w:p>
    <w:p>
      <w:pPr>
        <w:spacing w:after="0" w:line="5" w:lineRule="exact"/>
        <w:rPr>
          <w:sz w:val="20"/>
          <w:szCs w:val="20"/>
          <w:color w:val="auto"/>
        </w:rPr>
      </w:pPr>
    </w:p>
    <w:p>
      <w:pPr>
        <w:ind w:right="2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building a new manufacturing facility in Penang, Malaysia closer to our customers in Asia.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for further discussion of the costs of these activities.</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VCC initiatives are moving forward according to plan. We have engaged Sanmina Corporation to be the sole manufacturer of certain equipment, and we have commenced production in our new manufacturing facility in Penang, Malaysia and in our expanded facility in Tijuana, Mexico allowing us to consolidate the manufacturing of product formerly produced in the U.S., Italy and Scotland.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 6s Receives Final U.S. 510(k) Clearance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fiscal 2016, we received final U.S. 510(k) clearance on our next generation diagnostics device, the TEG 6s, and single-use disposable cartridges for use in cardiovascular and cardiology procedures. The U.S. commercial launch is currently commencing and sales have been realized in Europe, Australia, and Japan in the first quarter of fiscal 2016.</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tcBorders>
              <w:bottom w:val="single" w:sz="8" w:color="auto"/>
            </w:tcBorders>
          </w:tcPr>
          <w:p>
            <w:pPr>
              <w:spacing w:after="0"/>
              <w:rPr>
                <w:sz w:val="16"/>
                <w:szCs w:val="16"/>
                <w:color w:val="auto"/>
              </w:rPr>
            </w:pPr>
          </w:p>
        </w:tc>
      </w:tr>
      <w:tr>
        <w:trPr>
          <w:trHeight w:val="152"/>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3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June 28,</w:t>
            </w:r>
          </w:p>
        </w:tc>
        <w:tc>
          <w:tcPr>
            <w:tcW w:w="14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213,413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224,488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102,539</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106,278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47.3 %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98,933</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107,944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Income (loss) before provision for (benefit from)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116.7 %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6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revenues decreased 4.9% for the three months ended June 27, 2015, as compared to the same period of fiscal 2015. Without the effect of foreign exchange, net revenues decreased 1.9% for the three months ended June 27, 2015, as compared to the same period of fiscal 2015. Revenue increases in plasma and TEG disposables were more than offset by declines in Russia due to market conditions and our reduced share of the North American whole blood market for the three months ended June 27, 2015.</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recorded operating income during the three months ended June 27, 2015, as compared to an operating loss in the same period of fiscal 2015. Operating income increased for the three months ended June 27, 2015 due primarily to the reduction of restructuring and transformation expenses of $8.0 million as compared to the first quarter of fiscal 2015. In addition, higher gross profit was partially offset by increased sales and marketing activities related to Asia Pacific, and our plasma and TEG businesses.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Net loss decreased 92.7% for the three months ended June 27, 2015, as compared to the same period of fiscal 2015. Without the effect of foreign exchange, we reported net income for the three months ended June 27, 2015, as compared to a net loss in the same period of fiscal 2015. The change in net loss is attributable to the increase in operating income described above, offset by an increase in the income tax provision.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28,</w:t>
            </w:r>
          </w:p>
        </w:tc>
        <w:tc>
          <w:tcPr>
            <w:tcW w:w="148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120,749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92,718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103,739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213,413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224,488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approximated 43.4% of total net revenue for the three months ended June 27, 2015. International sales are generally conducted in local currencies, primarily Japanese Yen, Euro, Chinese Yuan and Australian Dollars. Our revenue was impacted by changes in the value of these currencies relative to the U.S. Dollar.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placed foreign currency hedges to mitigate our exposure to foreign currency fluctuations. Relative weakness in the Japanese Yen and Euro to the U.S. Dollar has negatively impacted revenue and operating income in the first quarter of fiscal 2016. We expect this trend to continue through the remainder of fiscal 2016 and into fiscal 2017. International revenue was also negatively impacted by reduced sales to our Russian distributors in the first quarter of fiscal 2016.</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27,</w:t>
            </w:r>
          </w:p>
        </w:tc>
        <w:tc>
          <w:tcPr>
            <w:tcW w:w="26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June 28,</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196,193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17,738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57"/>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213,413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224,488</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Disposables Revenue</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58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27,</w:t>
            </w:r>
          </w:p>
        </w:tc>
        <w:tc>
          <w:tcPr>
            <w:tcW w:w="26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June 28,</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0"/>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79,227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7"/>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700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10,246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37,950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74,105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86,366</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3"/>
          </w:tcPr>
          <w:p>
            <w:pPr>
              <w:ind w:left="180"/>
              <w:spacing w:after="0"/>
              <w:rPr>
                <w:sz w:val="20"/>
                <w:szCs w:val="20"/>
                <w:color w:val="auto"/>
              </w:rPr>
            </w:pPr>
            <w:r>
              <w:rPr>
                <w:rFonts w:ascii="Arial" w:cs="Arial" w:eastAsia="Arial" w:hAnsi="Arial"/>
                <w:sz w:val="18"/>
                <w:szCs w:val="18"/>
                <w:color w:val="auto"/>
              </w:rPr>
              <w:t>Diagnostics</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000" w:type="dxa"/>
            <w:vAlign w:val="bottom"/>
            <w:gridSpan w:val="3"/>
          </w:tcPr>
          <w:p>
            <w:pPr>
              <w:ind w:left="180"/>
              <w:spacing w:after="0"/>
              <w:rPr>
                <w:sz w:val="20"/>
                <w:szCs w:val="20"/>
                <w:color w:val="auto"/>
              </w:rPr>
            </w:pPr>
            <w:r>
              <w:rPr>
                <w:rFonts w:ascii="Arial" w:cs="Arial" w:eastAsia="Arial" w:hAnsi="Arial"/>
                <w:sz w:val="18"/>
                <w:szCs w:val="18"/>
                <w:color w:val="auto"/>
              </w:rPr>
              <w:t>OrthoPAT</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30,600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57"/>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Total disposables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185,730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196,193</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disposables revenue stream includes the sales of single-use disposables, which accounted for 87.0% and 87.4% of our total revenue for the three months ended June 27, 2015 and June 28, 2014, respectively.</w:t>
      </w:r>
    </w:p>
    <w:p>
      <w:pPr>
        <w:spacing w:after="0" w:line="170"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Disposables revenue decreased 5.3% for the three months ended June 27, 2015, as compared to the same period of fiscal 2015. Without the effect of foreign exchange, disposables revenue decreased 2.4% for the three months ended June 27, 2015, as compared to the same period of fiscal 2015. The decrease was primarily driven by market conditions in Russia which reduced platelet and plasma sales and our reduced share of the North American whole blood market. The decrease was partially offset by growth in U.S. plasma and TEG disposables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Plasma Disposables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Plasma disposables revenue increased 2.2% for the three months ended June 27, 2015, as compared to the same period of fiscal 2015. Without the effect of foreign exchange, plasma revenue increased 4.6% for the three months ended June 27, 2015, as compared to the same period of fiscal 2015. Plasma revenue increased due to higher volumes in the U.S. associated with end market growth for plasma-derived biopharmaceuticals. This growth was partially offset by order timing in the prior year and market conditions in Russia.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Blood Center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collection efficiencies at the same level. Japan recently began adoption of these techniques which will impact revenue from platelet collection disposables.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Platelet disposables revenue decreased 18.7% for the three months ended June 27, 2015, as compared to the same period of fiscal 2015. Without the effect of foreign exchange, platelet disposable revenue decreased 13.0% for the three months ended June 27, 2015, as compared to the same period of fiscal 2015. The decrease in platelet disposable revenue was the result of lower sales in Russia and Japan, due to our largest Russian distributor reducing their inventory on hand and order patterns in Japan.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Red cell disposables revenue increased 4.0% for the three months ended June 27, 2015, as compared to the same period of fiscal 2015. Without the effect of foreign exchange, red cell disposables revenue increased 5.1% for the three months ended June 27, 2015, as compared to the same period of fiscal 2015. The increase during the three months ended June 27, 2015 was driven by U.S. red cell customers utilizing collection practices that favor automated red cell collection. However, U.S, blood collection groups are pursuing arrangements for apheresis red cell collections similar to the single source agreements pursued in whole blood. We are seeing increasing competition for this business which will likely affect future red cell market share and pricing; this will negatively affect future red cell revenues and gross margins.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Whole blood disposables revenue decreased 14.6% for the three months ended June 27, 2015, as compared to the same period of fiscal 2015. Without the effect of foreign exchange, whole blood revenue decreased 12.6% for the three months ended June 27, 2015, as compared to the same period of fiscal 2015. Revenue for the three months ended June 27, 2015 decreased primarily due to the loss of the American Red Cross business. The anniversary of this loss occurred at the end of the first quarter of fiscal 2016. We expect that the recent rates of decline in U.S. whole blood transfusion rates will moderate in fiscal 2016. The decrease in whole blood disposables revenue was partially offset by growth from the Middle East which is largely related to the timing of orders as a result of conversions to a whole blood collection product that enables increased platelet recovery.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Hospital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Diagnostics product revenue consists principally of the consumable reagents used with the TEG analyzer. Revenue from our diagnostics products increased 22.5% for the three months ended June 27, 2015, as compared to the same period of fiscal 2015. Without the effect of foreign exchange, diagnostics product revenues increased 19.5% for the three months ended June 27, 2015, as compared to the same period of fiscal 2015. The revenue increase is due to continued adoption of our TEG analyzer, principally in the U.S. and China. We are expecting our growth rate to increase with the launch of the TEG 6s device and disposables which received final U.S. 510(k) clearance in the first quarter of fiscal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Surgical disposables revenue consists principally of the Cell Saver and CardioPAT products. Revenues from our surgical disposables decreased 4.5% for the three months ended June 27, 2015, as compared to the same period of fiscal 2015. Without the effect of foreign exchange, surgical disposables revenue increased 0.3% for the three months ended June 27, 2015, as compared to the same period of fiscal 2015. For the three months ended June 27, 2015, without the effect of foreign exchange, surgical disposables revenue was flat, as strength in emerging markets was offset by declines in developed markets.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OrthoPAT</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from our OrthoPAT disposables decreased 26.0% for the three months ended June 27, 2015, as compared to the same period of fiscal 2015. Without the effect of foreign exchange, OrthoPAT disposables revenue decreased 21.3% for the three months ended June 27, 2015, as compared to the same period of fiscal 2015.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Software Solutions 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software solutions revenues include sales of our information technology software platforms and consulting services. Software revenues decreased 5.1% for the three months ended June 27, 2015, as compared to the same period of fiscal 2015. Without the effect of foreign exchange, software revenues decreased 1.7% for the three months ended June 27, 2015, as compared to the same period of fiscal 2015. Software revenue decreased during the three months ended June 27, 2015 primarily due to reductions in implementations during the quarter as we develop the pipeline for the new BloodTrack product. Lower revenue associated with our other software products is due to fewer implementations in the quarter. This decrease was partially offset by an 11% increase in plasma software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Equipment &amp; Other Revenue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increased 2.7% for the three months ended June 27, 2015, as compared to the same period of fiscal 2015. Without the effect of foreign exchange, equipment and other revenues increased 7.6% for the three months ended June 27, 2015, respectively, as compared to the same period of fiscal 2015. The increase in revenue during the three months ended June 27, 2015 was primarily due to growth in the U.S. and Asia, offset by decreases in Latin American equipment sales and market conditions in Russia discouraging capital spending.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102,539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106,278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decreased 3.5% for the three months ended June 27, 2015, as compared to the same period of fiscal 2015. Without the effect of foreign exchange, gross profit increased 0.1% for the three months ended June 27, 2015, as compared to the same period of fiscal 2015. The gross profit margin increased by 70 basis points for the three months ended June 27, 2015, as compared to the same period of fiscal 2015. The increase in gross profit margin during the three months ended June 27, 2015 was primarily due to cost savings from productivity programs, including the VCC initiatives. The increase was partially offset by product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40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148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92,562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107,944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702"/>
        </w:trPr>
        <w:tc>
          <w:tcPr>
            <w:tcW w:w="4080" w:type="dxa"/>
            <w:vAlign w:val="bottom"/>
          </w:tcPr>
          <w:p>
            <w:pPr>
              <w:spacing w:after="0"/>
              <w:rPr>
                <w:sz w:val="24"/>
                <w:szCs w:val="24"/>
                <w:color w:val="auto"/>
              </w:rPr>
            </w:pPr>
          </w:p>
        </w:tc>
        <w:tc>
          <w:tcPr>
            <w:tcW w:w="2680" w:type="dxa"/>
            <w:vAlign w:val="bottom"/>
          </w:tcPr>
          <w:p>
            <w:pPr>
              <w:jc w:val="right"/>
              <w:ind w:right="8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Research and development expenses decreased 26.4% for the three months ended June 27, 2015, as compared to the same period of fiscal 2015. Without the effect of foreign exchange, research and development expenses decreased 24.5% for the three months ended June 27, 2015, as compared to the same period of fiscal 2015. The decrease for three months ended June 27, 2015 was due to a reduction in restructuring and transformation costs of $3.2 million and increased capitalized internally developed software of $2.4 million, as compared to the first quarter of fiscal 2015. Including the capitalized internally developed software, actual research and development activities have increased to support our long-term product plans and increase our competitiveness.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Selling, general and administrative expenses decreased 5.3% for the three months ended June 27, 2015, as compared to the same period of fiscal 2015. Without the effect of foreign exchange, selling, general, and administrative expenses decreased 1.5% for the three months ended June 27, 2015, as compared to the same period of fiscal 2015. The decrease for the three months ended June 27, 2015 was primarily due to the reduction in restructuring and transformation costs of $3.4 million, as compared to the same period of fiscal 2015. These reductions in restructuring and transformation costs were a result of the timing of manufacturing network optimization activities. The decrease in fiscal 2016 was partially offset by increased spending in sales and marketing activities related to Asia Pacific, and our plasma and TEG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Interest and other expense, net decreased 21.0% for the three months ended June 27, 2015, as compared to the same period of fiscal 2015. Interest expense from our term loan borrowings constitutes the majority of expense reported in both periods. The effective interest rate on total debt outstanding for the three months ended June 27, 2015 was approximately 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Three Months Ended</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June 27,</w:t>
            </w:r>
          </w:p>
        </w:tc>
        <w:tc>
          <w:tcPr>
            <w:tcW w:w="152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June 28,</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Increase/ (Decrease)</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6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conduct business globally, and as a result, report our results of operations in a number of foreign jurisdictions in addition to the United States.</w:t>
      </w:r>
    </w:p>
    <w:p>
      <w:pPr>
        <w:spacing w:after="0" w:line="2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reported income tax rate for the three months ended June 27, 2015 was 116.7%, as compared to a reported income tax rate of 13.3% for the three months ended June 28, 2014. During the three months ended June 27, 2015, we recorded pre-tax losses in Scotland, Italy and Malaysia due to restructuring and transformation costs associated with our manufacturing transformation, and we did not record a corresponding tax benefit due to uncertainty around our ability to realize a tax benefit in these jurisdictions. Similarly, during the three months ended June 28, 2014, we recorded pre-tax losses in Scotland associated with restructuring costs, and we did not record a corresponding tax benefit due to uncertainty around our ability to realize a tax benefit in this jurisdiction. We also recorded tax expense of $1.0 million for the three months ended June 27, 2015 to increase the deferred tax liability related to amortizable goodwill as a result of the statutory capital gains tax rate in Puerto Rico increasing from 15% to 20%. We are in a three year cumulative loss position in the U.S. and accordingly have established a valuation allowance against U.S. deferred tax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338,596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381,185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(319,645)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(267,229)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previously discussed, during fiscal 2015 our business was negatively impacted by reductions in the demand for blood products caused by changes in blood management practices and actions taken by U.S. blood center customers in response to reductions in demand. This includes the loss of the American Red Cross whole blood contract which impacted our results beginning in the first quarter of fiscal 2015. We believe the decline in U.S. blood center collections will moderate in fiscal 2016.</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VCC initiatives require cash expenditures for plant exit and closure costs; including separation benefits, new plant construction and temporary increases in inventory levels as manufacturing is transitioned to new facilities. We estimate we will incur approximately $45.0 million in restructuring and restructuring related expense in fiscal 2016.</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April 28, 2014, we announced a share repurchase plan of up to $100.0 million worth of shares in the open market. The repurchase program adheres to all debt covenants and is subject to market conditions. During the three months ended June 27, 2015 we repurchased approximately 1.0 million shares at a total cost of $40.9 million, of which $39.0 million was paid and $1.9 million, related to an unsettled portion of the repurchase, remained payable as of June 27, 2015. As of June 27, 2015, we have repurchased a total of approximately 2.2 million shares at a total cost of $79.9 million under this plan. We intend to complete this plan with an additional $20.1 million of share repurchases in fiscal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approximately $429.4 million as of June 27, 2015. We were in compliance with the leverage and interest coverage ratios specified in the Credit Agreement as well as all other bank covenants as of June 27,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4"/>
                <w:szCs w:val="14"/>
                <w:color w:val="auto"/>
              </w:rPr>
            </w:pPr>
          </w:p>
        </w:tc>
        <w:tc>
          <w:tcPr>
            <w:tcW w:w="128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13,738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961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cash provided by operating activities decreased by $4.5 million during the three months ended June 27, 2015, as compared to the three months ended June 28, 2014. Cash provided by operating activities decreased primarily due to a reduction of expenses associated with our VCC initiatives, offset by increased annual bonus payments during the three months ended June 27, 2015.</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used in investing activities decreased by $9.9 million during the three months ended June 27, 2015, as compared to the three months ended June 28, 2014. The decrease in cash used in investing activities was the result of a reduction in capital expenditures in the first quarter of fiscal 2016 related to manufacturing operations under construction in Malaysia and Tijuana, which have been substantially completed. During the three months ended June 28, 2014, cash used in investing activities included significant costs related to plant construction activities in Malaysia and Tijuana and the purchase of two previously leased facilities, our manufacturing facility in Salt Lake City and an administrative office at our corporate headquarters in Braintree, Massachusetts.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increased by $1.0 million during the three months ended June 27, 2015, as compared to the three months ended June 28, 2014. This was primarily due to $39.0 million of cash used to repurchase shares, as discussed above, compared to the $26.5 million used for repurchase during the three months ended June 28, 2014. This was offset by lower term loan repayments during the three months ended June 27, 2015 due to our debt restructuring and an increase in short-term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three months ended June 27, 2015, approximately 43.4%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2014, 2015 and 2016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First</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100" w:type="dxa"/>
            <w:vAlign w:val="bottom"/>
            <w:gridSpan w:val="2"/>
          </w:tcPr>
          <w:p>
            <w:pPr>
              <w:ind w:left="300"/>
              <w:spacing w:after="0"/>
              <w:rPr>
                <w:sz w:val="20"/>
                <w:szCs w:val="20"/>
                <w:color w:val="auto"/>
              </w:rPr>
            </w:pPr>
            <w:r>
              <w:rPr>
                <w:rFonts w:ascii="Arial" w:cs="Arial" w:eastAsia="Arial" w:hAnsi="Arial"/>
                <w:sz w:val="13"/>
                <w:szCs w:val="13"/>
                <w:color w:val="auto"/>
              </w:rPr>
              <w:t>Second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Third</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Favorable /</w:t>
            </w:r>
          </w:p>
        </w:tc>
        <w:tc>
          <w:tcPr>
            <w:tcW w:w="1080" w:type="dxa"/>
            <w:vAlign w:val="bottom"/>
            <w:gridSpan w:val="2"/>
          </w:tcPr>
          <w:p>
            <w:pPr>
              <w:ind w:left="320"/>
              <w:spacing w:after="0"/>
              <w:rPr>
                <w:sz w:val="20"/>
                <w:szCs w:val="20"/>
                <w:color w:val="auto"/>
              </w:rPr>
            </w:pPr>
            <w:r>
              <w:rPr>
                <w:rFonts w:ascii="Arial" w:cs="Arial" w:eastAsia="Arial" w:hAnsi="Arial"/>
                <w:sz w:val="13"/>
                <w:szCs w:val="13"/>
                <w:color w:val="auto"/>
              </w:rPr>
              <w:t>Fourth</w:t>
            </w:r>
          </w:p>
        </w:tc>
        <w:tc>
          <w:tcPr>
            <w:tcW w:w="1140" w:type="dxa"/>
            <w:vAlign w:val="bottom"/>
          </w:tcPr>
          <w:p>
            <w:pPr>
              <w:jc w:val="right"/>
              <w:ind w:right="199"/>
              <w:spacing w:after="0"/>
              <w:rPr>
                <w:sz w:val="20"/>
                <w:szCs w:val="20"/>
                <w:color w:val="auto"/>
              </w:rPr>
            </w:pPr>
            <w:r>
              <w:rPr>
                <w:rFonts w:ascii="Arial" w:cs="Arial" w:eastAsia="Arial" w:hAnsi="Arial"/>
                <w:sz w:val="13"/>
                <w:szCs w:val="13"/>
                <w:color w:val="auto"/>
              </w:rPr>
              <w:t>Favorable /</w:t>
            </w:r>
          </w:p>
        </w:tc>
      </w:tr>
      <w:tr>
        <w:trPr>
          <w:trHeight w:val="170"/>
        </w:trPr>
        <w:tc>
          <w:tcPr>
            <w:tcW w:w="22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10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Quarter</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(Unfavorable)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140" w:type="dxa"/>
            <w:vAlign w:val="bottom"/>
          </w:tcPr>
          <w:p>
            <w:pPr>
              <w:jc w:val="right"/>
              <w:ind w:right="139"/>
              <w:spacing w:after="0"/>
              <w:rPr>
                <w:sz w:val="20"/>
                <w:szCs w:val="20"/>
                <w:color w:val="auto"/>
              </w:rPr>
            </w:pPr>
            <w:r>
              <w:rPr>
                <w:rFonts w:ascii="Arial" w:cs="Arial" w:eastAsia="Arial" w:hAnsi="Arial"/>
                <w:sz w:val="13"/>
                <w:szCs w:val="13"/>
                <w:color w:val="auto"/>
              </w:rPr>
              <w:t>(Unfavorable)</w:t>
            </w:r>
          </w:p>
        </w:tc>
      </w:tr>
      <w:tr>
        <w:trPr>
          <w:trHeight w:val="250"/>
        </w:trPr>
        <w:tc>
          <w:tcPr>
            <w:tcW w:w="2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Euro - Hedge Spot Rate (USD per Euro)</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FY15</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FY17</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FY14</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84.32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97.16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101.09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102.44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FY16</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102.05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106.84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118.46</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117.25</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124.07</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Australian Dollar - Hedge Spot Rate (USD per AUD)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0.91</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0.91</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FY17</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0.76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2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Canadian Dollar - Hedge Spot Rate (CAD per USD)</w:t>
            </w:r>
          </w:p>
        </w:tc>
        <w:tc>
          <w:tcPr>
            <w:tcW w:w="1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FY14</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1.14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1.17</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1.25</w:t>
            </w:r>
          </w:p>
        </w:tc>
        <w:tc>
          <w:tcPr>
            <w:tcW w:w="9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(USD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1.65</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1.64</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FY17</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1.55</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0.93</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FY16</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9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0.93</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Mexican Peso - Hedge Spot Rate (MXN per USD)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12.34</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12.35</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12.22</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12.40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7 %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13.08</w:t>
            </w:r>
          </w:p>
        </w:tc>
        <w:tc>
          <w:tcPr>
            <w:tcW w:w="8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14.46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FY17</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15.20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15.45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18 %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regarding recent accounting pronouncements is included in Note </w:t>
      </w:r>
      <w:r>
        <w:rPr>
          <w:rFonts w:ascii="Arial" w:cs="Arial" w:eastAsia="Arial" w:hAnsi="Arial"/>
          <w:sz w:val="18"/>
          <w:szCs w:val="18"/>
          <w:i w:val="1"/>
          <w:iCs w:val="1"/>
          <w:color w:val="auto"/>
        </w:rPr>
        <w:t>2, Recent Accounting Pronouncements</w:t>
      </w:r>
      <w:r>
        <w:rPr>
          <w:rFonts w:ascii="Arial" w:cs="Arial" w:eastAsia="Arial" w:hAnsi="Arial"/>
          <w:sz w:val="18"/>
          <w:szCs w:val="18"/>
          <w:color w:val="auto"/>
        </w:rPr>
        <w:t xml:space="preserve"> to our unaudited consolidated financial statements contained 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$6.5 million increase in the fair value of the forward contracts; whereas a 10% weakening of the U.S. Dollar would result in a $6.5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June 27, 2015 was $429.4 million with an interest rate of 1.563% based on prevailing LIBOR rates. An increase of 100 basis points in LIBOR rates would result in additional annual interest expense of $4.3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an evaluation, as of June 27, 2015,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June 27, 2015. There has been no change in our internal control over financial reporting during the quarter ended June 27,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27, 2015, the total amount of damages claimed by the plaintiffs in these matters is approximately $3.7 million. It is not possible at this point in the proceedings to accurately evaluate the likelihood or amount of any potential losses and therefore no amounts have been accrued. We may receive other, similar claims in the future.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2015,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April 28, 2014 press release, the Company announced that its Board of Directors approved the repurchase of up to $100.0 million worth of Company shares, subject to compliance with its loan covenants. Through June 27, 2015, the Company repurchased 2,158,817 shares of its common stock for an aggregate purchase price of $79.9 million. We reflect stock repurchases in our financial statements on a “trade date” basis and as Authorized Unissued (Haemonetics is a Massachusetts company and under Massachusetts law repurchased shares are treated as authorized but unissued).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year were made under the publicly announced program and were made in the open market.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2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Dollar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including</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Repurchased</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Commissions</w:t>
            </w: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Plans or Programs</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30, 2014 - April 26, 2014</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April 27, 2014 - May 24,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694,162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22,079,008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77,920,992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25, 2014 - June 28,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4,778,988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73,142,004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June 29, 2014 - July 26,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75,185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2,668,606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70,473,398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27, 2014 - August 23,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2,302,197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68,171,201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August 24, 2014 - September 27,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62,144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2,209,060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65,962,141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28, 2014 - October 25,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63,646,076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October 26, 2014 - November 22,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45,129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1,646,262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61,999,814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23, 2014 - December 27,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61,299,392</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December 28, 2014 - January 24,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6,877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253,942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61,045,450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25, 2015 - February 21,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60,966,256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February 22, 2015 - March 28, 2015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60,966,256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29, 2015 - April 25, 2015</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60,966,256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April 26, 2015 - May 23,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596,987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24,528,763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36,437,493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24, 2015 - June 27,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387,719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16,372,940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20,064,553</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2,158,817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79,935,447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9880" w:type="dxa"/>
            <w:vAlign w:val="bottom"/>
          </w:tcPr>
          <w:p>
            <w:pPr>
              <w:spacing w:after="0"/>
              <w:rPr>
                <w:sz w:val="17"/>
                <w:szCs w:val="17"/>
                <w:color w:val="auto"/>
              </w:rPr>
            </w:pPr>
          </w:p>
        </w:tc>
      </w:tr>
      <w:tr>
        <w:trPr>
          <w:trHeight w:val="384"/>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Borders>
              <w:top w:val="single" w:sz="8" w:color="auto"/>
            </w:tcBorders>
          </w:tcPr>
          <w:p>
            <w:pPr>
              <w:spacing w:after="0"/>
              <w:rPr>
                <w:sz w:val="24"/>
                <w:szCs w:val="24"/>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91"/>
              </w:rPr>
              <w:t>Certification pursuant to Section 302 of Sarbanes-Oxley Act of 2002, of Brian Concannon, President and Chief Executive Officer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94"/>
              </w:rPr>
              <w:t>Certification pursuant to Section 302 of Sarbanes-Oxley of 2002, of Christopher Lindop, Chief Financial Officer and Executive Vice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94"/>
              </w:rPr>
              <w:t>The following materials from Haemonetics Corporation on Form 10-Q for the quarter ended June 27, 2015,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92"/>
              </w:rPr>
              <w:t>Business Reporting Language (XBRL); (i) Consolidated Statements of Income and Comprehensive Income, (ii) Consolidated Balance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81" w:lineRule="exact"/>
        <w:rPr>
          <w:sz w:val="20"/>
          <w:szCs w:val="20"/>
          <w:color w:val="auto"/>
        </w:rPr>
      </w:pPr>
    </w:p>
    <w:p>
      <w:pPr>
        <w:ind w:left="5620" w:right="4500" w:hanging="5585"/>
        <w:spacing w:after="0" w:line="350" w:lineRule="auto"/>
        <w:tabs>
          <w:tab w:leader="none" w:pos="72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Agreement, plan, or arrangement related to the compensation of officers or directors 33</w:t>
      </w:r>
    </w:p>
    <w:p>
      <w:pPr>
        <w:sectPr>
          <w:pgSz w:w="11900" w:h="16838" w:orient="portrait"/>
          <w:cols w:equalWidth="0" w:num="1">
            <w:col w:w="11300"/>
          </w:cols>
          <w:pgMar w:left="240" w:top="108" w:right="35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7/30/2015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7/30/2015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1"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7/30/2015</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7/30/2015</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27, 2015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7/30/2015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27, 2015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7/30/2015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5"/>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5"/>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2019-12-29T16:35:21Z</dcterms:created>
  <dcterms:modified xsi:type="dcterms:W3CDTF">2019-12-29T16:35:21Z</dcterms:modified>
</cp:coreProperties>
</file>