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72491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241935</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59"/>
        <w:spacing w:after="0"/>
        <w:rPr>
          <w:sz w:val="20"/>
          <w:szCs w:val="20"/>
          <w:color w:val="auto"/>
        </w:rPr>
      </w:pPr>
      <w:r>
        <w:rPr>
          <w:rFonts w:ascii="Arial" w:cs="Arial" w:eastAsia="Arial" w:hAnsi="Arial"/>
          <w:sz w:val="21"/>
          <w:szCs w:val="21"/>
          <w:b w:val="1"/>
          <w:bCs w:val="1"/>
          <w:color w:val="auto"/>
        </w:rPr>
        <w:t>WASHINGTON, D.C. 20549</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41" w:lineRule="exact"/>
        <w:rPr>
          <w:sz w:val="20"/>
          <w:szCs w:val="20"/>
          <w:color w:val="auto"/>
        </w:rPr>
      </w:pPr>
    </w:p>
    <w:p>
      <w:pPr>
        <w:ind w:left="2480"/>
        <w:spacing w:after="0"/>
        <w:tabs>
          <w:tab w:leader="none" w:pos="6300" w:val="left"/>
        </w:tabs>
        <w:rPr>
          <w:sz w:val="20"/>
          <w:szCs w:val="20"/>
          <w:color w:val="auto"/>
        </w:rPr>
      </w:pPr>
      <w:r>
        <w:rPr>
          <w:rFonts w:ascii="Arial" w:cs="Arial" w:eastAsia="Arial" w:hAnsi="Arial"/>
          <w:sz w:val="18"/>
          <w:szCs w:val="18"/>
          <w:b w:val="1"/>
          <w:bCs w:val="1"/>
          <w:color w:val="auto"/>
        </w:rPr>
        <w:t xml:space="preserve">For the quarter ended: </w:t>
      </w:r>
      <w:r>
        <w:rPr>
          <w:rFonts w:ascii="Arial" w:cs="Arial" w:eastAsia="Arial" w:hAnsi="Arial"/>
          <w:sz w:val="18"/>
          <w:szCs w:val="18"/>
          <w:b w:val="1"/>
          <w:bCs w:val="1"/>
          <w:u w:val="single" w:color="auto"/>
          <w:color w:val="auto"/>
        </w:rPr>
        <w:t>January 1, 2011</w:t>
      </w:r>
      <w:r>
        <w:rPr>
          <w:sz w:val="20"/>
          <w:szCs w:val="20"/>
          <w:color w:val="auto"/>
        </w:rPr>
        <w:tab/>
      </w:r>
      <w:r>
        <w:rPr>
          <w:rFonts w:ascii="Arial" w:cs="Arial" w:eastAsia="Arial" w:hAnsi="Arial"/>
          <w:sz w:val="15"/>
          <w:szCs w:val="15"/>
          <w:b w:val="1"/>
          <w:bCs w:val="1"/>
          <w:color w:val="auto"/>
        </w:rPr>
        <w:t xml:space="preserve">Commission File Number: </w:t>
      </w:r>
      <w:r>
        <w:rPr>
          <w:rFonts w:ascii="Arial" w:cs="Arial" w:eastAsia="Arial" w:hAnsi="Arial"/>
          <w:sz w:val="15"/>
          <w:szCs w:val="15"/>
          <w:b w:val="1"/>
          <w:bCs w:val="1"/>
          <w:u w:val="single" w:color="auto"/>
          <w:color w:val="auto"/>
        </w:rPr>
        <w:t>1-14041</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42"/>
          <w:szCs w:val="42"/>
          <w:b w:val="1"/>
          <w:bCs w:val="1"/>
          <w:color w:val="auto"/>
        </w:rPr>
        <w:t>HAEMONETICS CORPORATION</w:t>
      </w:r>
    </w:p>
    <w:p>
      <w:pPr>
        <w:spacing w:after="0" w:line="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122" w:right="299" w:bottom="1440" w:gutter="0" w:footer="0" w:header="0"/>
        </w:sectPr>
      </w:pPr>
    </w:p>
    <w:p>
      <w:pPr>
        <w:spacing w:after="0" w:line="197" w:lineRule="exact"/>
        <w:rPr>
          <w:sz w:val="20"/>
          <w:szCs w:val="20"/>
          <w:color w:val="auto"/>
        </w:rPr>
      </w:pPr>
    </w:p>
    <w:p>
      <w:pPr>
        <w:jc w:val="center"/>
        <w:ind w:right="1280"/>
        <w:spacing w:after="0"/>
        <w:rPr>
          <w:sz w:val="20"/>
          <w:szCs w:val="20"/>
          <w:color w:val="auto"/>
        </w:rPr>
      </w:pPr>
      <w:r>
        <w:rPr>
          <w:rFonts w:ascii="Arial" w:cs="Arial" w:eastAsia="Arial" w:hAnsi="Arial"/>
          <w:sz w:val="18"/>
          <w:szCs w:val="18"/>
          <w:b w:val="1"/>
          <w:bCs w:val="1"/>
          <w:color w:val="auto"/>
        </w:rPr>
        <w:t>Massachusetts</w:t>
      </w:r>
    </w:p>
    <w:p>
      <w:pPr>
        <w:spacing w:after="0" w:line="22" w:lineRule="exact"/>
        <w:rPr>
          <w:sz w:val="20"/>
          <w:szCs w:val="20"/>
          <w:color w:val="auto"/>
        </w:rPr>
      </w:pPr>
    </w:p>
    <w:p>
      <w:pPr>
        <w:jc w:val="center"/>
        <w:ind w:right="1280"/>
        <w:spacing w:after="0"/>
        <w:rPr>
          <w:sz w:val="20"/>
          <w:szCs w:val="20"/>
          <w:color w:val="auto"/>
        </w:rPr>
      </w:pPr>
      <w:r>
        <w:rPr>
          <w:rFonts w:ascii="Arial" w:cs="Arial" w:eastAsia="Arial" w:hAnsi="Arial"/>
          <w:sz w:val="18"/>
          <w:szCs w:val="18"/>
          <w:color w:val="auto"/>
        </w:rPr>
        <w:t>(State or other jurisdiction</w:t>
      </w:r>
    </w:p>
    <w:p>
      <w:pPr>
        <w:spacing w:after="0" w:line="5" w:lineRule="exact"/>
        <w:rPr>
          <w:sz w:val="20"/>
          <w:szCs w:val="20"/>
          <w:color w:val="auto"/>
        </w:rPr>
      </w:pPr>
    </w:p>
    <w:p>
      <w:pPr>
        <w:jc w:val="center"/>
        <w:ind w:right="1280"/>
        <w:spacing w:after="0"/>
        <w:rPr>
          <w:sz w:val="20"/>
          <w:szCs w:val="20"/>
          <w:color w:val="auto"/>
        </w:rPr>
      </w:pPr>
      <w:r>
        <w:rPr>
          <w:rFonts w:ascii="Arial" w:cs="Arial" w:eastAsia="Arial" w:hAnsi="Arial"/>
          <w:sz w:val="15"/>
          <w:szCs w:val="15"/>
          <w:color w:val="auto"/>
        </w:rPr>
        <w:t>of incorporation or organization)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1380"/>
        <w:spacing w:after="0"/>
        <w:rPr>
          <w:sz w:val="20"/>
          <w:szCs w:val="20"/>
          <w:color w:val="auto"/>
        </w:rPr>
      </w:pPr>
      <w:r>
        <w:rPr>
          <w:rFonts w:ascii="Arial" w:cs="Arial" w:eastAsia="Arial" w:hAnsi="Arial"/>
          <w:sz w:val="18"/>
          <w:szCs w:val="18"/>
          <w:b w:val="1"/>
          <w:bCs w:val="1"/>
          <w:color w:val="auto"/>
        </w:rPr>
        <w:t>04-2882273</w:t>
      </w:r>
    </w:p>
    <w:p>
      <w:pPr>
        <w:spacing w:after="0" w:line="22" w:lineRule="exact"/>
        <w:rPr>
          <w:sz w:val="20"/>
          <w:szCs w:val="20"/>
          <w:color w:val="auto"/>
        </w:rPr>
      </w:pPr>
    </w:p>
    <w:p>
      <w:pPr>
        <w:jc w:val="center"/>
        <w:ind w:right="1380"/>
        <w:spacing w:after="0"/>
        <w:rPr>
          <w:sz w:val="20"/>
          <w:szCs w:val="20"/>
          <w:color w:val="auto"/>
        </w:rPr>
      </w:pPr>
      <w:r>
        <w:rPr>
          <w:rFonts w:ascii="Arial" w:cs="Arial" w:eastAsia="Arial" w:hAnsi="Arial"/>
          <w:sz w:val="15"/>
          <w:szCs w:val="15"/>
          <w:color w:val="auto"/>
        </w:rPr>
        <w:t>(I.R.S. Employer Identification No.)</w:t>
      </w:r>
    </w:p>
    <w:p>
      <w:pPr>
        <w:spacing w:after="0" w:line="412" w:lineRule="exact"/>
        <w:rPr>
          <w:sz w:val="20"/>
          <w:szCs w:val="20"/>
          <w:color w:val="auto"/>
        </w:rPr>
      </w:pPr>
    </w:p>
    <w:p>
      <w:pPr>
        <w:sectPr>
          <w:pgSz w:w="11900" w:h="16838" w:orient="portrait"/>
          <w:cols w:equalWidth="0" w:num="2">
            <w:col w:w="6700" w:space="720"/>
            <w:col w:w="3940"/>
          </w:cols>
          <w:pgMar w:left="240" w:top="122" w:right="299" w:bottom="1440" w:gutter="0" w:footer="0" w:header="0"/>
          <w:type w:val="continuous"/>
        </w:sectPr>
      </w:pPr>
    </w:p>
    <w:p>
      <w:pPr>
        <w:spacing w:after="0" w:line="34"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400 Wood Road, Braintree, MA 02184</w:t>
      </w:r>
    </w:p>
    <w:p>
      <w:pPr>
        <w:spacing w:after="0" w:line="57" w:lineRule="exact"/>
        <w:rPr>
          <w:sz w:val="20"/>
          <w:szCs w:val="20"/>
          <w:color w:val="auto"/>
        </w:rPr>
      </w:pPr>
    </w:p>
    <w:p>
      <w:pPr>
        <w:ind w:left="4320"/>
        <w:spacing w:after="0"/>
        <w:rPr>
          <w:sz w:val="20"/>
          <w:szCs w:val="20"/>
          <w:color w:val="auto"/>
        </w:rPr>
      </w:pPr>
      <w:r>
        <w:rPr>
          <w:rFonts w:ascii="Arial" w:cs="Arial" w:eastAsia="Arial" w:hAnsi="Arial"/>
          <w:sz w:val="15"/>
          <w:szCs w:val="15"/>
          <w:color w:val="auto"/>
        </w:rPr>
        <w:t>(Address of principal executive offices)</w:t>
      </w:r>
    </w:p>
    <w:p>
      <w:pPr>
        <w:sectPr>
          <w:pgSz w:w="11900" w:h="16838" w:orient="portrait"/>
          <w:cols w:equalWidth="0" w:num="1">
            <w:col w:w="11360"/>
          </w:cols>
          <w:pgMar w:left="240" w:top="122" w:right="299" w:bottom="1440" w:gutter="0" w:footer="0" w:header="0"/>
          <w:type w:val="continuous"/>
        </w:sect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848-7100</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w:t>
      </w:r>
    </w:p>
    <w:p>
      <w:pPr>
        <w:spacing w:after="0" w:line="48" w:lineRule="exact"/>
        <w:rPr>
          <w:sz w:val="20"/>
          <w:szCs w:val="20"/>
          <w:color w:val="auto"/>
        </w:rPr>
      </w:pPr>
    </w:p>
    <w:p>
      <w:pPr>
        <w:jc w:val="center"/>
        <w:ind w:right="-5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48" w:lineRule="exact"/>
        <w:rPr>
          <w:sz w:val="20"/>
          <w:szCs w:val="20"/>
          <w:color w:val="auto"/>
        </w:rPr>
      </w:pPr>
    </w:p>
    <w:p>
      <w:pPr>
        <w:jc w:val="center"/>
        <w:ind w:right="-5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6" w:lineRule="exact"/>
        <w:rPr>
          <w:sz w:val="20"/>
          <w:szCs w:val="20"/>
          <w:color w:val="auto"/>
        </w:rPr>
      </w:pPr>
    </w:p>
    <w:p>
      <w:pPr>
        <w:ind w:right="540"/>
        <w:spacing w:after="0" w:line="366"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360"/>
          </w:cols>
          <w:pgMar w:left="240" w:top="122" w:right="299" w:bottom="1440" w:gutter="0" w:footer="0" w:header="0"/>
          <w:type w:val="continuous"/>
        </w:sectPr>
      </w:pPr>
    </w:p>
    <w:p>
      <w:pPr>
        <w:spacing w:after="0" w:line="76" w:lineRule="exact"/>
        <w:rPr>
          <w:sz w:val="20"/>
          <w:szCs w:val="20"/>
          <w:color w:val="auto"/>
        </w:rPr>
      </w:pPr>
    </w:p>
    <w:p>
      <w:pPr>
        <w:ind w:left="30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Accelerated filer o</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Smaller reporting company o</w:t>
      </w:r>
    </w:p>
    <w:p>
      <w:pPr>
        <w:spacing w:after="0" w:line="357" w:lineRule="exact"/>
        <w:rPr>
          <w:sz w:val="20"/>
          <w:szCs w:val="20"/>
          <w:color w:val="auto"/>
        </w:rPr>
      </w:pPr>
    </w:p>
    <w:p>
      <w:pPr>
        <w:sectPr>
          <w:pgSz w:w="11900" w:h="16838" w:orient="portrait"/>
          <w:cols w:equalWidth="0" w:num="4">
            <w:col w:w="2520" w:space="720"/>
            <w:col w:w="1460" w:space="720"/>
            <w:col w:w="3280" w:space="480"/>
            <w:col w:w="2180"/>
          </w:cols>
          <w:pgMar w:left="240" w:top="122" w:right="299" w:bottom="1440" w:gutter="0" w:footer="0" w:header="0"/>
          <w:type w:val="continuous"/>
        </w:sectPr>
      </w:pPr>
    </w:p>
    <w:p>
      <w:pPr>
        <w:jc w:val="center"/>
        <w:ind w:right="332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111" w:lineRule="exact"/>
        <w:rPr>
          <w:sz w:val="20"/>
          <w:szCs w:val="20"/>
          <w:color w:val="auto"/>
        </w:rPr>
      </w:pPr>
    </w:p>
    <w:p>
      <w:pPr>
        <w:jc w:val="center"/>
        <w:ind w:right="-79"/>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The number of shares of $.01 par value common stock outstanding as of January 1, 2011:</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25,420,192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249160"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916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556260</wp:posOffset>
            </wp:positionV>
            <wp:extent cx="725360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HAEMONETICS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580" w:type="dxa"/>
            <w:vAlign w:val="bottom"/>
            <w:gridSpan w:val="25"/>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8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7"/>
        </w:trPr>
        <w:tc>
          <w:tcPr>
            <w:tcW w:w="10580" w:type="dxa"/>
            <w:vAlign w:val="bottom"/>
            <w:gridSpan w:val="25"/>
            <w:vMerge w:val="continue"/>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580" w:type="dxa"/>
            <w:vAlign w:val="bottom"/>
            <w:gridSpan w:val="25"/>
          </w:tcPr>
          <w:p>
            <w:pPr>
              <w:spacing w:after="0" w:line="191"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 Financial Statements</w:t>
              </w:r>
            </w:hyperlink>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380" w:type="dxa"/>
            <w:vAlign w:val="bottom"/>
            <w:gridSpan w:val="23"/>
          </w:tcPr>
          <w:p>
            <w:pPr>
              <w:spacing w:after="0" w:line="192" w:lineRule="exact"/>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Income — Three and Nine Months Ended January 1, 2011 and December 26, 2009</w:t>
              </w:r>
            </w:hyperlink>
          </w:p>
        </w:tc>
        <w:tc>
          <w:tcPr>
            <w:tcW w:w="84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40" w:type="dxa"/>
            <w:vAlign w:val="bottom"/>
            <w:tcBorders>
              <w:top w:val="single" w:sz="8" w:color="0000EE"/>
            </w:tcBorders>
            <w:gridSpan w:val="22"/>
          </w:tcPr>
          <w:p>
            <w:pPr>
              <w:spacing w:after="0" w:line="192" w:lineRule="exact"/>
              <w:rPr>
                <w:rFonts w:ascii="Arial" w:cs="Arial" w:eastAsia="Arial" w:hAnsi="Arial"/>
                <w:sz w:val="18"/>
                <w:szCs w:val="18"/>
                <w:color w:val="0000EE"/>
              </w:rPr>
            </w:pPr>
            <w:hyperlink w:anchor="page5">
              <w:r>
                <w:rPr>
                  <w:rFonts w:ascii="Arial" w:cs="Arial" w:eastAsia="Arial" w:hAnsi="Arial"/>
                  <w:sz w:val="18"/>
                  <w:szCs w:val="18"/>
                  <w:color w:val="0000EE"/>
                </w:rPr>
                <w:t>Unaudited Consolidated Balance Sheets — January 1, 2011 and April 3, 2010</w:t>
              </w:r>
            </w:hyperlink>
          </w:p>
        </w:tc>
        <w:tc>
          <w:tcPr>
            <w:tcW w:w="1740" w:type="dxa"/>
            <w:vAlign w:val="bottom"/>
          </w:tcPr>
          <w:p>
            <w:pPr>
              <w:spacing w:after="0"/>
              <w:rPr>
                <w:sz w:val="16"/>
                <w:szCs w:val="16"/>
                <w:color w:val="auto"/>
              </w:rPr>
            </w:pPr>
          </w:p>
        </w:tc>
        <w:tc>
          <w:tcPr>
            <w:tcW w:w="84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60" w:type="dxa"/>
            <w:vAlign w:val="bottom"/>
            <w:tcBorders>
              <w:bottom w:val="single" w:sz="8" w:color="0000EE"/>
            </w:tcBorders>
            <w:gridSpan w:val="19"/>
          </w:tcPr>
          <w:p>
            <w:pPr>
              <w:spacing w:after="0" w:line="192"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Consolidated Statement of Stockholders’ Equity — Nine Months Ended January 1, 2011</w:t>
              </w:r>
            </w:hyperlink>
          </w:p>
        </w:tc>
        <w:tc>
          <w:tcPr>
            <w:tcW w:w="3320" w:type="dxa"/>
            <w:vAlign w:val="bottom"/>
            <w:gridSpan w:val="4"/>
          </w:tcPr>
          <w:p>
            <w:pPr>
              <w:spacing w:after="0"/>
              <w:rPr>
                <w:sz w:val="16"/>
                <w:szCs w:val="16"/>
                <w:color w:val="auto"/>
              </w:rPr>
            </w:pPr>
          </w:p>
        </w:tc>
        <w:tc>
          <w:tcPr>
            <w:tcW w:w="84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380" w:type="dxa"/>
            <w:vAlign w:val="bottom"/>
            <w:gridSpan w:val="23"/>
          </w:tcPr>
          <w:p>
            <w:pPr>
              <w:spacing w:after="0" w:line="192" w:lineRule="exact"/>
              <w:rPr>
                <w:rFonts w:ascii="Arial" w:cs="Arial" w:eastAsia="Arial" w:hAnsi="Arial"/>
                <w:sz w:val="18"/>
                <w:szCs w:val="18"/>
                <w:color w:val="0000EE"/>
              </w:rPr>
            </w:pPr>
            <w:hyperlink w:anchor="page7">
              <w:r>
                <w:rPr>
                  <w:rFonts w:ascii="Arial" w:cs="Arial" w:eastAsia="Arial" w:hAnsi="Arial"/>
                  <w:sz w:val="18"/>
                  <w:szCs w:val="18"/>
                  <w:color w:val="0000EE"/>
                </w:rPr>
                <w:t>Unaudited Consolidated Statements of Cash Flows — Nine Months Ended January 1, 2011 and December 26, 2009</w:t>
              </w:r>
            </w:hyperlink>
          </w:p>
        </w:tc>
        <w:tc>
          <w:tcPr>
            <w:tcW w:w="84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80" w:type="dxa"/>
            <w:vAlign w:val="bottom"/>
            <w:tcBorders>
              <w:top w:val="single" w:sz="8" w:color="0000EE"/>
              <w:bottom w:val="single" w:sz="8" w:color="0000EE"/>
            </w:tcBorders>
            <w:gridSpan w:val="15"/>
          </w:tcPr>
          <w:p>
            <w:pPr>
              <w:spacing w:after="0" w:line="192"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Unaudited Consolidated Financial Statements</w:t>
              </w:r>
            </w:hyperlink>
          </w:p>
        </w:tc>
        <w:tc>
          <w:tcPr>
            <w:tcW w:w="4300" w:type="dxa"/>
            <w:vAlign w:val="bottom"/>
            <w:tcBorders>
              <w:top w:val="single" w:sz="8" w:color="0000EE"/>
            </w:tcBorders>
            <w:gridSpan w:val="6"/>
          </w:tcPr>
          <w:p>
            <w:pPr>
              <w:spacing w:after="0"/>
              <w:rPr>
                <w:sz w:val="16"/>
                <w:szCs w:val="16"/>
                <w:color w:val="auto"/>
              </w:rPr>
            </w:pPr>
          </w:p>
        </w:tc>
        <w:tc>
          <w:tcPr>
            <w:tcW w:w="2200" w:type="dxa"/>
            <w:vAlign w:val="bottom"/>
            <w:gridSpan w:val="2"/>
          </w:tcPr>
          <w:p>
            <w:pPr>
              <w:spacing w:after="0"/>
              <w:rPr>
                <w:sz w:val="16"/>
                <w:szCs w:val="16"/>
                <w:color w:val="auto"/>
              </w:rPr>
            </w:pPr>
          </w:p>
        </w:tc>
        <w:tc>
          <w:tcPr>
            <w:tcW w:w="84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2"/>
        </w:trPr>
        <w:tc>
          <w:tcPr>
            <w:tcW w:w="10580" w:type="dxa"/>
            <w:vAlign w:val="bottom"/>
            <w:gridSpan w:val="25"/>
          </w:tcPr>
          <w:p>
            <w:pPr>
              <w:spacing w:after="0" w:line="192"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ITEM 2. Management’s Discussion and Analysis of Financial Condition and Results of Operations</w:t>
              </w:r>
            </w:hyperlink>
          </w:p>
        </w:tc>
        <w:tc>
          <w:tcPr>
            <w:tcW w:w="84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2"/>
        </w:trPr>
        <w:tc>
          <w:tcPr>
            <w:tcW w:w="7400" w:type="dxa"/>
            <w:vAlign w:val="bottom"/>
            <w:tcBorders>
              <w:top w:val="single" w:sz="8" w:color="0000EE"/>
            </w:tcBorders>
            <w:gridSpan w:val="22"/>
          </w:tcPr>
          <w:p>
            <w:pPr>
              <w:spacing w:after="0" w:line="192"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ITEM 3. Quantitative and Qualitative Disclosures about Market Risk</w:t>
              </w:r>
            </w:hyperlink>
          </w:p>
        </w:tc>
        <w:tc>
          <w:tcPr>
            <w:tcW w:w="3180" w:type="dxa"/>
            <w:vAlign w:val="bottom"/>
            <w:gridSpan w:val="3"/>
          </w:tcPr>
          <w:p>
            <w:pPr>
              <w:spacing w:after="0"/>
              <w:rPr>
                <w:sz w:val="16"/>
                <w:szCs w:val="16"/>
                <w:color w:val="auto"/>
              </w:rPr>
            </w:pPr>
          </w:p>
        </w:tc>
        <w:tc>
          <w:tcPr>
            <w:tcW w:w="84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2"/>
        </w:trPr>
        <w:tc>
          <w:tcPr>
            <w:tcW w:w="2580" w:type="dxa"/>
            <w:vAlign w:val="bottom"/>
            <w:tcBorders>
              <w:top w:val="single" w:sz="8" w:color="0000EE"/>
              <w:bottom w:val="single" w:sz="8" w:color="0000EE"/>
            </w:tcBorders>
            <w:gridSpan w:val="14"/>
          </w:tcPr>
          <w:p>
            <w:pPr>
              <w:spacing w:after="0" w:line="192" w:lineRule="exact"/>
              <w:rPr>
                <w:rFonts w:ascii="Arial" w:cs="Arial" w:eastAsia="Arial" w:hAnsi="Arial"/>
                <w:sz w:val="18"/>
                <w:szCs w:val="18"/>
                <w:b w:val="1"/>
                <w:bCs w:val="1"/>
                <w:color w:val="0000EE"/>
                <w:w w:val="90"/>
              </w:rPr>
            </w:pPr>
            <w:hyperlink w:anchor="page38">
              <w:r>
                <w:rPr>
                  <w:rFonts w:ascii="Arial" w:cs="Arial" w:eastAsia="Arial" w:hAnsi="Arial"/>
                  <w:sz w:val="18"/>
                  <w:szCs w:val="18"/>
                  <w:b w:val="1"/>
                  <w:bCs w:val="1"/>
                  <w:color w:val="0000EE"/>
                  <w:w w:val="90"/>
                </w:rPr>
                <w:t>ITEM 4. Controls and Procedures</w:t>
              </w:r>
            </w:hyperlink>
          </w:p>
        </w:tc>
        <w:tc>
          <w:tcPr>
            <w:tcW w:w="2660" w:type="dxa"/>
            <w:vAlign w:val="bottom"/>
            <w:tcBorders>
              <w:top w:val="single" w:sz="8" w:color="0000EE"/>
            </w:tcBorders>
            <w:gridSpan w:val="5"/>
          </w:tcPr>
          <w:p>
            <w:pPr>
              <w:spacing w:after="0"/>
              <w:rPr>
                <w:sz w:val="16"/>
                <w:szCs w:val="16"/>
                <w:color w:val="auto"/>
              </w:rPr>
            </w:pPr>
          </w:p>
        </w:tc>
        <w:tc>
          <w:tcPr>
            <w:tcW w:w="5340" w:type="dxa"/>
            <w:vAlign w:val="bottom"/>
            <w:gridSpan w:val="6"/>
          </w:tcPr>
          <w:p>
            <w:pPr>
              <w:spacing w:after="0"/>
              <w:rPr>
                <w:sz w:val="16"/>
                <w:szCs w:val="16"/>
                <w:color w:val="auto"/>
              </w:rPr>
            </w:pPr>
          </w:p>
        </w:tc>
        <w:tc>
          <w:tcPr>
            <w:tcW w:w="84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2"/>
        </w:trPr>
        <w:tc>
          <w:tcPr>
            <w:tcW w:w="10580" w:type="dxa"/>
            <w:vAlign w:val="bottom"/>
            <w:gridSpan w:val="25"/>
          </w:tcPr>
          <w:p>
            <w:pPr>
              <w:spacing w:after="0" w:line="192"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 OTHER INFORMATION</w:t>
              </w:r>
            </w:hyperlink>
          </w:p>
        </w:tc>
        <w:tc>
          <w:tcPr>
            <w:tcW w:w="84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2"/>
        </w:trPr>
        <w:tc>
          <w:tcPr>
            <w:tcW w:w="2080" w:type="dxa"/>
            <w:vAlign w:val="bottom"/>
            <w:tcBorders>
              <w:top w:val="single" w:sz="8" w:color="0000EE"/>
              <w:bottom w:val="single" w:sz="8" w:color="0000EE"/>
            </w:tcBorders>
            <w:gridSpan w:val="8"/>
          </w:tcPr>
          <w:p>
            <w:pPr>
              <w:spacing w:after="0" w:line="192" w:lineRule="exact"/>
              <w:rPr>
                <w:rFonts w:ascii="Arial" w:cs="Arial" w:eastAsia="Arial" w:hAnsi="Arial"/>
                <w:sz w:val="18"/>
                <w:szCs w:val="18"/>
                <w:b w:val="1"/>
                <w:bCs w:val="1"/>
                <w:color w:val="0000EE"/>
                <w:w w:val="90"/>
              </w:rPr>
            </w:pPr>
            <w:hyperlink w:anchor="page39">
              <w:r>
                <w:rPr>
                  <w:rFonts w:ascii="Arial" w:cs="Arial" w:eastAsia="Arial" w:hAnsi="Arial"/>
                  <w:sz w:val="18"/>
                  <w:szCs w:val="18"/>
                  <w:b w:val="1"/>
                  <w:bCs w:val="1"/>
                  <w:color w:val="0000EE"/>
                  <w:w w:val="90"/>
                </w:rPr>
                <w:t>ITEM 1. Legal Proceedings</w:t>
              </w:r>
            </w:hyperlink>
          </w:p>
        </w:tc>
        <w:tc>
          <w:tcPr>
            <w:tcW w:w="640" w:type="dxa"/>
            <w:vAlign w:val="bottom"/>
            <w:tcBorders>
              <w:top w:val="single" w:sz="8" w:color="0000EE"/>
            </w:tcBorders>
            <w:gridSpan w:val="7"/>
          </w:tcPr>
          <w:p>
            <w:pPr>
              <w:spacing w:after="0"/>
              <w:rPr>
                <w:sz w:val="16"/>
                <w:szCs w:val="16"/>
                <w:color w:val="auto"/>
              </w:rPr>
            </w:pPr>
          </w:p>
        </w:tc>
        <w:tc>
          <w:tcPr>
            <w:tcW w:w="7860" w:type="dxa"/>
            <w:vAlign w:val="bottom"/>
            <w:gridSpan w:val="10"/>
          </w:tcPr>
          <w:p>
            <w:pPr>
              <w:spacing w:after="0"/>
              <w:rPr>
                <w:sz w:val="16"/>
                <w:szCs w:val="16"/>
                <w:color w:val="auto"/>
              </w:rPr>
            </w:pPr>
          </w:p>
        </w:tc>
        <w:tc>
          <w:tcPr>
            <w:tcW w:w="84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2"/>
        </w:trPr>
        <w:tc>
          <w:tcPr>
            <w:tcW w:w="10580" w:type="dxa"/>
            <w:vAlign w:val="bottom"/>
            <w:gridSpan w:val="25"/>
          </w:tcPr>
          <w:p>
            <w:pPr>
              <w:spacing w:after="0" w:line="192"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ITEM 1A. Risk Factors</w:t>
              </w:r>
            </w:hyperlink>
          </w:p>
        </w:tc>
        <w:tc>
          <w:tcPr>
            <w:tcW w:w="84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40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25"/>
          </w:tcPr>
          <w:p>
            <w:pPr>
              <w:spacing w:after="0" w:line="192"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ITEM 2. Unregistered Sales of Equity Securities and Use of Proceeds</w:t>
              </w:r>
            </w:hyperlink>
          </w:p>
        </w:tc>
        <w:tc>
          <w:tcPr>
            <w:tcW w:w="84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2"/>
        </w:trPr>
        <w:tc>
          <w:tcPr>
            <w:tcW w:w="5180" w:type="dxa"/>
            <w:vAlign w:val="bottom"/>
            <w:tcBorders>
              <w:top w:val="single" w:sz="8" w:color="0000EE"/>
            </w:tcBorders>
            <w:gridSpan w:val="18"/>
          </w:tcPr>
          <w:p>
            <w:pPr>
              <w:spacing w:after="0" w:line="192"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ITEM 3. Defaults upon Senior Securities</w:t>
              </w:r>
            </w:hyperlink>
          </w:p>
        </w:tc>
        <w:tc>
          <w:tcPr>
            <w:tcW w:w="5400" w:type="dxa"/>
            <w:vAlign w:val="bottom"/>
            <w:gridSpan w:val="7"/>
          </w:tcPr>
          <w:p>
            <w:pPr>
              <w:spacing w:after="0"/>
              <w:rPr>
                <w:sz w:val="16"/>
                <w:szCs w:val="16"/>
                <w:color w:val="auto"/>
              </w:rPr>
            </w:pPr>
          </w:p>
        </w:tc>
        <w:tc>
          <w:tcPr>
            <w:tcW w:w="84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2"/>
        </w:trPr>
        <w:tc>
          <w:tcPr>
            <w:tcW w:w="3060" w:type="dxa"/>
            <w:vAlign w:val="bottom"/>
            <w:tcBorders>
              <w:top w:val="single" w:sz="8" w:color="0000EE"/>
            </w:tcBorders>
            <w:gridSpan w:val="16"/>
          </w:tcPr>
          <w:p>
            <w:pPr>
              <w:spacing w:after="0" w:line="192"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 xml:space="preserve">ITEM 4. </w:t>
              </w:r>
              <w:r>
                <w:rPr>
                  <w:rFonts w:ascii="Arial" w:cs="Arial" w:eastAsia="Arial" w:hAnsi="Arial"/>
                  <w:sz w:val="18"/>
                  <w:szCs w:val="18"/>
                  <w:i w:val="1"/>
                  <w:iCs w:val="1"/>
                  <w:color w:val="0000EE"/>
                </w:rPr>
                <w:t>(Removed and Reserved)</w:t>
              </w:r>
            </w:hyperlink>
          </w:p>
        </w:tc>
        <w:tc>
          <w:tcPr>
            <w:tcW w:w="7520" w:type="dxa"/>
            <w:vAlign w:val="bottom"/>
            <w:gridSpan w:val="9"/>
          </w:tcPr>
          <w:p>
            <w:pPr>
              <w:spacing w:after="0"/>
              <w:rPr>
                <w:sz w:val="16"/>
                <w:szCs w:val="16"/>
                <w:color w:val="auto"/>
              </w:rPr>
            </w:pPr>
          </w:p>
        </w:tc>
        <w:tc>
          <w:tcPr>
            <w:tcW w:w="84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2"/>
        </w:trPr>
        <w:tc>
          <w:tcPr>
            <w:tcW w:w="2120" w:type="dxa"/>
            <w:vAlign w:val="bottom"/>
            <w:tcBorders>
              <w:top w:val="single" w:sz="8" w:color="0000EE"/>
              <w:bottom w:val="single" w:sz="8" w:color="0000EE"/>
            </w:tcBorders>
            <w:gridSpan w:val="9"/>
          </w:tcPr>
          <w:p>
            <w:pPr>
              <w:spacing w:after="0" w:line="192" w:lineRule="exact"/>
              <w:rPr>
                <w:rFonts w:ascii="Arial" w:cs="Arial" w:eastAsia="Arial" w:hAnsi="Arial"/>
                <w:sz w:val="18"/>
                <w:szCs w:val="18"/>
                <w:b w:val="1"/>
                <w:bCs w:val="1"/>
                <w:color w:val="0000EE"/>
                <w:w w:val="95"/>
              </w:rPr>
            </w:pPr>
            <w:hyperlink w:anchor="page40">
              <w:r>
                <w:rPr>
                  <w:rFonts w:ascii="Arial" w:cs="Arial" w:eastAsia="Arial" w:hAnsi="Arial"/>
                  <w:sz w:val="18"/>
                  <w:szCs w:val="18"/>
                  <w:b w:val="1"/>
                  <w:bCs w:val="1"/>
                  <w:color w:val="0000EE"/>
                  <w:w w:val="95"/>
                </w:rPr>
                <w:t>ITEM 5. Other Information</w:t>
              </w:r>
            </w:hyperlink>
          </w:p>
        </w:tc>
        <w:tc>
          <w:tcPr>
            <w:tcW w:w="340" w:type="dxa"/>
            <w:vAlign w:val="bottom"/>
            <w:tcBorders>
              <w:top w:val="single" w:sz="8" w:color="0000EE"/>
            </w:tcBorders>
            <w:gridSpan w:val="3"/>
          </w:tcPr>
          <w:p>
            <w:pPr>
              <w:spacing w:after="0"/>
              <w:rPr>
                <w:sz w:val="16"/>
                <w:szCs w:val="16"/>
                <w:color w:val="auto"/>
              </w:rPr>
            </w:pPr>
          </w:p>
        </w:tc>
        <w:tc>
          <w:tcPr>
            <w:tcW w:w="8120" w:type="dxa"/>
            <w:vAlign w:val="bottom"/>
            <w:gridSpan w:val="13"/>
          </w:tcPr>
          <w:p>
            <w:pPr>
              <w:spacing w:after="0"/>
              <w:rPr>
                <w:sz w:val="16"/>
                <w:szCs w:val="16"/>
                <w:color w:val="auto"/>
              </w:rPr>
            </w:pPr>
          </w:p>
        </w:tc>
        <w:tc>
          <w:tcPr>
            <w:tcW w:w="84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2"/>
        </w:trPr>
        <w:tc>
          <w:tcPr>
            <w:tcW w:w="10580" w:type="dxa"/>
            <w:vAlign w:val="bottom"/>
            <w:gridSpan w:val="25"/>
          </w:tcPr>
          <w:p>
            <w:pPr>
              <w:spacing w:after="0" w:line="192"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ITEM 6. Exhibits</w:t>
              </w:r>
            </w:hyperlink>
          </w:p>
        </w:tc>
        <w:tc>
          <w:tcPr>
            <w:tcW w:w="84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2"/>
        </w:trPr>
        <w:tc>
          <w:tcPr>
            <w:tcW w:w="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760" w:type="dxa"/>
            <w:vAlign w:val="bottom"/>
            <w:tcBorders>
              <w:top w:val="single" w:sz="8" w:color="0000EE"/>
              <w:bottom w:val="single" w:sz="8" w:color="0000EE"/>
            </w:tcBorders>
            <w:gridSpan w:val="3"/>
          </w:tcPr>
          <w:p>
            <w:pPr>
              <w:spacing w:after="0" w:line="192" w:lineRule="exact"/>
              <w:rPr>
                <w:rFonts w:ascii="Arial" w:cs="Arial" w:eastAsia="Arial" w:hAnsi="Arial"/>
                <w:sz w:val="18"/>
                <w:szCs w:val="18"/>
                <w:color w:val="0000EE"/>
                <w:w w:val="85"/>
              </w:rPr>
            </w:pPr>
            <w:hyperlink w:anchor="page41">
              <w:r>
                <w:rPr>
                  <w:rFonts w:ascii="Arial" w:cs="Arial" w:eastAsia="Arial" w:hAnsi="Arial"/>
                  <w:sz w:val="18"/>
                  <w:szCs w:val="18"/>
                  <w:color w:val="0000EE"/>
                  <w:w w:val="85"/>
                </w:rPr>
                <w:t>Signatures</w:t>
              </w:r>
            </w:hyperlink>
          </w:p>
        </w:tc>
        <w:tc>
          <w:tcPr>
            <w:tcW w:w="360" w:type="dxa"/>
            <w:vAlign w:val="bottom"/>
            <w:tcBorders>
              <w:top w:val="single" w:sz="8" w:color="0000EE"/>
            </w:tcBorders>
          </w:tcPr>
          <w:p>
            <w:pPr>
              <w:spacing w:after="0"/>
              <w:rPr>
                <w:sz w:val="16"/>
                <w:szCs w:val="16"/>
                <w:color w:val="auto"/>
              </w:rPr>
            </w:pPr>
          </w:p>
        </w:tc>
        <w:tc>
          <w:tcPr>
            <w:tcW w:w="9260" w:type="dxa"/>
            <w:vAlign w:val="bottom"/>
            <w:gridSpan w:val="19"/>
          </w:tcPr>
          <w:p>
            <w:pPr>
              <w:spacing w:after="0"/>
              <w:rPr>
                <w:sz w:val="16"/>
                <w:szCs w:val="16"/>
                <w:color w:val="auto"/>
              </w:rPr>
            </w:pPr>
          </w:p>
        </w:tc>
        <w:tc>
          <w:tcPr>
            <w:tcW w:w="840" w:type="dxa"/>
            <w:vAlign w:val="bottom"/>
          </w:tcPr>
          <w:p>
            <w:pPr>
              <w:jc w:val="right"/>
              <w:ind w:right="233"/>
              <w:spacing w:after="0" w:line="19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20" w:type="dxa"/>
            <w:vAlign w:val="bottom"/>
            <w:tcBorders>
              <w:bottom w:val="single" w:sz="8" w:color="0000EE"/>
            </w:tcBorders>
            <w:gridSpan w:val="3"/>
          </w:tcPr>
          <w:p>
            <w:pPr>
              <w:spacing w:after="0" w:line="192" w:lineRule="exact"/>
              <w:rPr>
                <w:sz w:val="20"/>
                <w:szCs w:val="20"/>
                <w:color w:val="auto"/>
              </w:rPr>
            </w:pPr>
            <w:r>
              <w:rPr>
                <w:rFonts w:ascii="Arial" w:cs="Arial" w:eastAsia="Arial" w:hAnsi="Arial"/>
                <w:sz w:val="17"/>
                <w:szCs w:val="17"/>
                <w:color w:val="0000EE"/>
                <w:w w:val="97"/>
              </w:rPr>
              <w:t>EX-31.1</w:t>
            </w:r>
          </w:p>
        </w:tc>
        <w:tc>
          <w:tcPr>
            <w:tcW w:w="9920" w:type="dxa"/>
            <w:vAlign w:val="bottom"/>
            <w:gridSpan w:val="21"/>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20" w:type="dxa"/>
            <w:vAlign w:val="bottom"/>
            <w:tcBorders>
              <w:bottom w:val="single" w:sz="8" w:color="0000EE"/>
            </w:tcBorders>
            <w:gridSpan w:val="3"/>
          </w:tcPr>
          <w:p>
            <w:pPr>
              <w:spacing w:after="0" w:line="192" w:lineRule="exact"/>
              <w:rPr>
                <w:sz w:val="20"/>
                <w:szCs w:val="20"/>
                <w:color w:val="auto"/>
              </w:rPr>
            </w:pPr>
            <w:r>
              <w:rPr>
                <w:rFonts w:ascii="Arial" w:cs="Arial" w:eastAsia="Arial" w:hAnsi="Arial"/>
                <w:sz w:val="17"/>
                <w:szCs w:val="17"/>
                <w:color w:val="0000EE"/>
                <w:w w:val="97"/>
              </w:rPr>
              <w:t>EX-31.2</w:t>
            </w:r>
          </w:p>
        </w:tc>
        <w:tc>
          <w:tcPr>
            <w:tcW w:w="9920" w:type="dxa"/>
            <w:vAlign w:val="bottom"/>
            <w:gridSpan w:val="21"/>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20" w:type="dxa"/>
            <w:vAlign w:val="bottom"/>
            <w:tcBorders>
              <w:bottom w:val="single" w:sz="8" w:color="0000EE"/>
            </w:tcBorders>
            <w:gridSpan w:val="3"/>
          </w:tcPr>
          <w:p>
            <w:pPr>
              <w:spacing w:after="0" w:line="192" w:lineRule="exact"/>
              <w:rPr>
                <w:sz w:val="20"/>
                <w:szCs w:val="20"/>
                <w:color w:val="auto"/>
              </w:rPr>
            </w:pPr>
            <w:r>
              <w:rPr>
                <w:rFonts w:ascii="Arial" w:cs="Arial" w:eastAsia="Arial" w:hAnsi="Arial"/>
                <w:sz w:val="17"/>
                <w:szCs w:val="17"/>
                <w:color w:val="0000EE"/>
                <w:w w:val="97"/>
              </w:rPr>
              <w:t>EX-32.1</w:t>
            </w:r>
          </w:p>
        </w:tc>
        <w:tc>
          <w:tcPr>
            <w:tcW w:w="9920" w:type="dxa"/>
            <w:vAlign w:val="bottom"/>
            <w:gridSpan w:val="21"/>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00" w:type="dxa"/>
            <w:vAlign w:val="bottom"/>
            <w:tcBorders>
              <w:bottom w:val="single" w:sz="8" w:color="0000EE"/>
            </w:tcBorders>
            <w:gridSpan w:val="2"/>
          </w:tcPr>
          <w:p>
            <w:pPr>
              <w:spacing w:after="0" w:line="192" w:lineRule="exact"/>
              <w:rPr>
                <w:sz w:val="20"/>
                <w:szCs w:val="20"/>
                <w:color w:val="auto"/>
              </w:rPr>
            </w:pPr>
            <w:r>
              <w:rPr>
                <w:rFonts w:ascii="Arial" w:cs="Arial" w:eastAsia="Arial" w:hAnsi="Arial"/>
                <w:sz w:val="17"/>
                <w:szCs w:val="17"/>
                <w:color w:val="0000EE"/>
                <w:w w:val="94"/>
              </w:rPr>
              <w:t>EX-32.2</w:t>
            </w:r>
          </w:p>
        </w:tc>
        <w:tc>
          <w:tcPr>
            <w:tcW w:w="9940" w:type="dxa"/>
            <w:vAlign w:val="bottom"/>
            <w:gridSpan w:val="22"/>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460" w:type="dxa"/>
            <w:vAlign w:val="bottom"/>
            <w:tcBorders>
              <w:bottom w:val="single" w:sz="8" w:color="0000EE"/>
            </w:tcBorders>
            <w:gridSpan w:val="12"/>
          </w:tcPr>
          <w:p>
            <w:pPr>
              <w:spacing w:after="0" w:line="192" w:lineRule="exact"/>
              <w:rPr>
                <w:sz w:val="20"/>
                <w:szCs w:val="20"/>
                <w:color w:val="auto"/>
              </w:rPr>
            </w:pPr>
            <w:r>
              <w:rPr>
                <w:rFonts w:ascii="Arial" w:cs="Arial" w:eastAsia="Arial" w:hAnsi="Arial"/>
                <w:sz w:val="17"/>
                <w:szCs w:val="17"/>
                <w:color w:val="0000EE"/>
                <w:w w:val="97"/>
              </w:rPr>
              <w:t>EX-101 INSTANCE DOCUMENT</w:t>
            </w:r>
          </w:p>
        </w:tc>
        <w:tc>
          <w:tcPr>
            <w:tcW w:w="8080" w:type="dxa"/>
            <w:vAlign w:val="bottom"/>
            <w:gridSpan w:val="12"/>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340" w:type="dxa"/>
            <w:vAlign w:val="bottom"/>
            <w:tcBorders>
              <w:bottom w:val="single" w:sz="8" w:color="0000EE"/>
            </w:tcBorders>
            <w:gridSpan w:val="10"/>
          </w:tcPr>
          <w:p>
            <w:pPr>
              <w:spacing w:after="0" w:line="192" w:lineRule="exact"/>
              <w:rPr>
                <w:sz w:val="20"/>
                <w:szCs w:val="20"/>
                <w:color w:val="auto"/>
              </w:rPr>
            </w:pPr>
            <w:r>
              <w:rPr>
                <w:rFonts w:ascii="Arial" w:cs="Arial" w:eastAsia="Arial" w:hAnsi="Arial"/>
                <w:sz w:val="17"/>
                <w:szCs w:val="17"/>
                <w:color w:val="0000EE"/>
                <w:w w:val="97"/>
              </w:rPr>
              <w:t>EX-101 SCHEMA DOCUMENT</w:t>
            </w:r>
          </w:p>
        </w:tc>
        <w:tc>
          <w:tcPr>
            <w:tcW w:w="8200" w:type="dxa"/>
            <w:vAlign w:val="bottom"/>
            <w:gridSpan w:val="14"/>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EE"/>
        </w:rPr>
        <w:t>EX-101 CALCULATION LINKBASE DOCUMENT</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EE"/>
        </w:rPr>
        <w:t>EX-101 LABELS LINKBASE DOCUMENT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EE"/>
        </w:rPr>
        <w:t>EX-101 PRESENTATION LINKBASE DOCUMENT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0000EE"/>
        </w:rPr>
        <w:t>EX-101 DEFINITION LINKBASE DOCUMENT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43"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60" w:type="dxa"/>
            <w:vAlign w:val="bottom"/>
            <w:tcBorders>
              <w:top w:val="single" w:sz="8" w:color="auto"/>
            </w:tcBorders>
            <w:gridSpan w:val="3"/>
          </w:tcPr>
          <w:p>
            <w:pPr>
              <w:jc w:val="right"/>
              <w:ind w:right="380"/>
              <w:spacing w:after="0" w:line="117" w:lineRule="exact"/>
              <w:rPr>
                <w:sz w:val="20"/>
                <w:szCs w:val="20"/>
                <w:color w:val="auto"/>
              </w:rPr>
            </w:pPr>
            <w:r>
              <w:rPr>
                <w:rFonts w:ascii="Arial" w:cs="Arial" w:eastAsia="Arial" w:hAnsi="Arial"/>
                <w:sz w:val="13"/>
                <w:szCs w:val="13"/>
                <w:b w:val="1"/>
                <w:bCs w:val="1"/>
                <w:color w:val="auto"/>
              </w:rPr>
              <w:t>January 1,</w:t>
            </w:r>
          </w:p>
        </w:tc>
        <w:tc>
          <w:tcPr>
            <w:tcW w:w="1120" w:type="dxa"/>
            <w:vAlign w:val="bottom"/>
            <w:tcBorders>
              <w:top w:val="single" w:sz="8" w:color="auto"/>
            </w:tcBorders>
            <w:gridSpan w:val="3"/>
          </w:tcPr>
          <w:p>
            <w:pPr>
              <w:ind w:left="300"/>
              <w:spacing w:after="0" w:line="117" w:lineRule="exact"/>
              <w:rPr>
                <w:sz w:val="20"/>
                <w:szCs w:val="20"/>
                <w:color w:val="auto"/>
              </w:rPr>
            </w:pPr>
            <w:r>
              <w:rPr>
                <w:rFonts w:ascii="Arial" w:cs="Arial" w:eastAsia="Arial" w:hAnsi="Arial"/>
                <w:sz w:val="13"/>
                <w:szCs w:val="13"/>
                <w:b w:val="1"/>
                <w:bCs w:val="1"/>
                <w:color w:val="auto"/>
                <w:w w:val="94"/>
              </w:rPr>
              <w:t>December 26,</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Borders>
              <w:top w:val="single" w:sz="8" w:color="auto"/>
            </w:tcBorders>
            <w:gridSpan w:val="3"/>
          </w:tcPr>
          <w:p>
            <w:pPr>
              <w:jc w:val="right"/>
              <w:ind w:right="400"/>
              <w:spacing w:after="0" w:line="117" w:lineRule="exact"/>
              <w:rPr>
                <w:sz w:val="20"/>
                <w:szCs w:val="20"/>
                <w:color w:val="auto"/>
              </w:rPr>
            </w:pPr>
            <w:r>
              <w:rPr>
                <w:rFonts w:ascii="Arial" w:cs="Arial" w:eastAsia="Arial" w:hAnsi="Arial"/>
                <w:sz w:val="13"/>
                <w:szCs w:val="13"/>
                <w:b w:val="1"/>
                <w:bCs w:val="1"/>
                <w:color w:val="auto"/>
                <w:w w:val="99"/>
              </w:rPr>
              <w:t>January 1,</w:t>
            </w:r>
          </w:p>
        </w:tc>
        <w:tc>
          <w:tcPr>
            <w:tcW w:w="1120" w:type="dxa"/>
            <w:vAlign w:val="bottom"/>
            <w:tcBorders>
              <w:top w:val="single" w:sz="8" w:color="auto"/>
            </w:tcBorders>
            <w:gridSpan w:val="3"/>
          </w:tcPr>
          <w:p>
            <w:pPr>
              <w:ind w:left="300"/>
              <w:spacing w:after="0" w:line="117" w:lineRule="exact"/>
              <w:rPr>
                <w:sz w:val="20"/>
                <w:szCs w:val="20"/>
                <w:color w:val="auto"/>
              </w:rPr>
            </w:pPr>
            <w:r>
              <w:rPr>
                <w:rFonts w:ascii="Arial" w:cs="Arial" w:eastAsia="Arial" w:hAnsi="Arial"/>
                <w:sz w:val="13"/>
                <w:szCs w:val="13"/>
                <w:b w:val="1"/>
                <w:bCs w:val="1"/>
                <w:color w:val="auto"/>
                <w:w w:val="94"/>
              </w:rPr>
              <w:t>December 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Net revenues</w:t>
            </w:r>
          </w:p>
        </w:tc>
        <w:tc>
          <w:tcPr>
            <w:tcW w:w="15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line="206" w:lineRule="exact"/>
              <w:rPr>
                <w:sz w:val="20"/>
                <w:szCs w:val="20"/>
                <w:color w:val="auto"/>
              </w:rPr>
            </w:pPr>
            <w:r>
              <w:rPr>
                <w:rFonts w:ascii="Arial" w:cs="Arial" w:eastAsia="Arial" w:hAnsi="Arial"/>
                <w:sz w:val="18"/>
                <w:szCs w:val="18"/>
                <w:color w:val="auto"/>
                <w:w w:val="89"/>
              </w:rPr>
              <w:t>176,789</w:t>
            </w:r>
          </w:p>
        </w:tc>
        <w:tc>
          <w:tcPr>
            <w:tcW w:w="460" w:type="dxa"/>
            <w:vAlign w:val="bottom"/>
            <w:gridSpan w:val="2"/>
            <w:shd w:val="clear" w:color="auto" w:fill="CCEEFF"/>
          </w:tcPr>
          <w:p>
            <w:pPr>
              <w:ind w:left="300"/>
              <w:spacing w:after="0" w:line="20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line="206" w:lineRule="exact"/>
              <w:rPr>
                <w:sz w:val="20"/>
                <w:szCs w:val="20"/>
                <w:color w:val="auto"/>
              </w:rPr>
            </w:pPr>
            <w:r>
              <w:rPr>
                <w:rFonts w:ascii="Arial" w:cs="Arial" w:eastAsia="Arial" w:hAnsi="Arial"/>
                <w:sz w:val="18"/>
                <w:szCs w:val="18"/>
                <w:color w:val="auto"/>
                <w:w w:val="98"/>
              </w:rPr>
              <w:t>165,169</w:t>
            </w:r>
          </w:p>
        </w:tc>
        <w:tc>
          <w:tcPr>
            <w:tcW w:w="4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line="206" w:lineRule="exact"/>
              <w:rPr>
                <w:sz w:val="20"/>
                <w:szCs w:val="20"/>
                <w:color w:val="auto"/>
              </w:rPr>
            </w:pPr>
            <w:r>
              <w:rPr>
                <w:rFonts w:ascii="Arial" w:cs="Arial" w:eastAsia="Arial" w:hAnsi="Arial"/>
                <w:sz w:val="18"/>
                <w:szCs w:val="18"/>
                <w:color w:val="auto"/>
                <w:w w:val="89"/>
              </w:rPr>
              <w:t>506,661</w:t>
            </w:r>
          </w:p>
        </w:tc>
        <w:tc>
          <w:tcPr>
            <w:tcW w:w="460" w:type="dxa"/>
            <w:vAlign w:val="bottom"/>
            <w:gridSpan w:val="2"/>
            <w:shd w:val="clear" w:color="auto" w:fill="CCEEFF"/>
          </w:tcPr>
          <w:p>
            <w:pPr>
              <w:ind w:left="300"/>
              <w:spacing w:after="0" w:line="20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w w:val="98"/>
              </w:rPr>
              <w:t>476,326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 of goods sold</w:t>
            </w:r>
          </w:p>
        </w:tc>
        <w:tc>
          <w:tcPr>
            <w:tcW w:w="1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83,299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79,722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238,953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226,969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93,490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85,447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267,708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249,357</w:t>
            </w:r>
          </w:p>
        </w:tc>
        <w:tc>
          <w:tcPr>
            <w:tcW w:w="0" w:type="dxa"/>
            <w:vAlign w:val="bottom"/>
          </w:tcPr>
          <w:p>
            <w:pPr>
              <w:spacing w:after="0"/>
              <w:rPr>
                <w:sz w:val="1"/>
                <w:szCs w:val="1"/>
                <w:color w:val="auto"/>
              </w:rPr>
            </w:pPr>
          </w:p>
        </w:tc>
      </w:tr>
      <w:tr>
        <w:trPr>
          <w:trHeight w:val="430"/>
        </w:trPr>
        <w:tc>
          <w:tcPr>
            <w:tcW w:w="48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Research, development and engineering</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7,996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23,870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56,935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53,151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164,079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150,459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income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14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64,931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59,612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186,055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170,173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8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28,559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25,835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81,653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Interest expense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(248)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 expense, net</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(565)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(266)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(544)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81,509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8,240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7,091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22,517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22,973</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8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19,734</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18,286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58,992</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54,409</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income per common share</w:t>
            </w: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84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0.79</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2.37</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42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Income per common share assuming dilution</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0.77</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2.32</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42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24,973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25,289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24,933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Diluted</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25,517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25,907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25,477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26,150</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January 1, 2011</w:t>
            </w:r>
          </w:p>
        </w:tc>
        <w:tc>
          <w:tcPr>
            <w:tcW w:w="3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April 3, 2010(1)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2"/>
              <w:spacing w:after="0" w:line="139" w:lineRule="exact"/>
              <w:rPr>
                <w:sz w:val="20"/>
                <w:szCs w:val="20"/>
                <w:color w:val="auto"/>
              </w:rPr>
            </w:pPr>
            <w:r>
              <w:rPr>
                <w:rFonts w:ascii="Arial" w:cs="Arial" w:eastAsia="Arial" w:hAnsi="Arial"/>
                <w:sz w:val="14"/>
                <w:szCs w:val="14"/>
                <w:b w:val="1"/>
                <w:bCs w:val="1"/>
                <w:color w:val="auto"/>
                <w:w w:val="92"/>
              </w:rPr>
              <w:t>(Unaudited)</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169,538</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40" w:type="dxa"/>
            <w:vAlign w:val="bottom"/>
          </w:tcPr>
          <w:p>
            <w:pPr>
              <w:ind w:left="180"/>
              <w:spacing w:after="0"/>
              <w:rPr>
                <w:sz w:val="20"/>
                <w:szCs w:val="20"/>
                <w:color w:val="auto"/>
              </w:rPr>
            </w:pPr>
            <w:r>
              <w:rPr>
                <w:rFonts w:ascii="Arial" w:cs="Arial" w:eastAsia="Arial" w:hAnsi="Arial"/>
                <w:sz w:val="18"/>
                <w:szCs w:val="18"/>
                <w:color w:val="auto"/>
              </w:rPr>
              <w:t>Accounts receivable, less allowance of $1,884 at January 1, 2011 and $2,554 at April 3, 2010</w:t>
            </w: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120,373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119,160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81,915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79,953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40" w:type="dxa"/>
            <w:vAlign w:val="bottom"/>
          </w:tcPr>
          <w:p>
            <w:pPr>
              <w:ind w:left="180"/>
              <w:spacing w:after="0"/>
              <w:rPr>
                <w:sz w:val="20"/>
                <w:szCs w:val="20"/>
                <w:color w:val="auto"/>
              </w:rPr>
            </w:pPr>
            <w:r>
              <w:rPr>
                <w:rFonts w:ascii="Arial" w:cs="Arial" w:eastAsia="Arial" w:hAnsi="Arial"/>
                <w:sz w:val="18"/>
                <w:szCs w:val="18"/>
                <w:color w:val="auto"/>
              </w:rPr>
              <w:t>Deferred tax asset, net</w:t>
            </w: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13,397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10,985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40" w:type="dxa"/>
            <w:vAlign w:val="bottom"/>
          </w:tcPr>
          <w:p>
            <w:pPr>
              <w:ind w:left="38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406,017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386,399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40" w:type="dxa"/>
            <w:vAlign w:val="bottom"/>
          </w:tcPr>
          <w:p>
            <w:pPr>
              <w:ind w:left="180"/>
              <w:spacing w:after="0"/>
              <w:rPr>
                <w:sz w:val="20"/>
                <w:szCs w:val="20"/>
                <w:color w:val="auto"/>
              </w:rPr>
            </w:pPr>
            <w:r>
              <w:rPr>
                <w:rFonts w:ascii="Arial" w:cs="Arial" w:eastAsia="Arial" w:hAnsi="Arial"/>
                <w:sz w:val="18"/>
                <w:szCs w:val="18"/>
                <w:color w:val="auto"/>
              </w:rPr>
              <w:t>Land, building and building improvements</w:t>
            </w: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51,945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49,292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Plant equipment and machinery</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128,691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40" w:type="dxa"/>
            <w:vAlign w:val="bottom"/>
          </w:tcPr>
          <w:p>
            <w:pPr>
              <w:ind w:left="180"/>
              <w:spacing w:after="0"/>
              <w:rPr>
                <w:sz w:val="20"/>
                <w:szCs w:val="20"/>
                <w:color w:val="auto"/>
              </w:rPr>
            </w:pPr>
            <w:r>
              <w:rPr>
                <w:rFonts w:ascii="Arial" w:cs="Arial" w:eastAsia="Arial" w:hAnsi="Arial"/>
                <w:sz w:val="18"/>
                <w:szCs w:val="18"/>
                <w:color w:val="auto"/>
              </w:rPr>
              <w:t>Office equipment and information technology</w:t>
            </w: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82,264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75,156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Haemonetics equipment</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211,280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40" w:type="dxa"/>
            <w:vAlign w:val="bottom"/>
          </w:tcPr>
          <w:p>
            <w:pPr>
              <w:ind w:left="380"/>
              <w:spacing w:after="0"/>
              <w:rPr>
                <w:sz w:val="20"/>
                <w:szCs w:val="20"/>
                <w:color w:val="auto"/>
              </w:rPr>
            </w:pPr>
            <w:r>
              <w:rPr>
                <w:rFonts w:ascii="Arial" w:cs="Arial" w:eastAsia="Arial" w:hAnsi="Arial"/>
                <w:sz w:val="18"/>
                <w:szCs w:val="18"/>
                <w:color w:val="auto"/>
              </w:rPr>
              <w:t>Total property, plant and equipment</w:t>
            </w: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474,180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444,249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(318,064)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(289,803)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40" w:type="dxa"/>
            <w:vAlign w:val="bottom"/>
          </w:tcPr>
          <w:p>
            <w:pPr>
              <w:ind w:left="380"/>
              <w:spacing w:after="0"/>
              <w:rPr>
                <w:sz w:val="20"/>
                <w:szCs w:val="20"/>
                <w:color w:val="auto"/>
              </w:rPr>
            </w:pPr>
            <w:r>
              <w:rPr>
                <w:rFonts w:ascii="Arial" w:cs="Arial" w:eastAsia="Arial" w:hAnsi="Arial"/>
                <w:sz w:val="18"/>
                <w:szCs w:val="18"/>
                <w:b w:val="1"/>
                <w:bCs w:val="1"/>
                <w:color w:val="auto"/>
              </w:rPr>
              <w:t>Net property, plant and equipment</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156,116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40" w:type="dxa"/>
            <w:vAlign w:val="bottom"/>
          </w:tcPr>
          <w:p>
            <w:pPr>
              <w:ind w:left="180"/>
              <w:spacing w:after="0"/>
              <w:rPr>
                <w:sz w:val="20"/>
                <w:szCs w:val="20"/>
                <w:color w:val="auto"/>
              </w:rPr>
            </w:pPr>
            <w:r>
              <w:rPr>
                <w:rFonts w:ascii="Arial" w:cs="Arial" w:eastAsia="Arial" w:hAnsi="Arial"/>
                <w:sz w:val="18"/>
                <w:szCs w:val="18"/>
                <w:color w:val="auto"/>
              </w:rPr>
              <w:t>Intangible assets, less amortization of $42,135 at January 1, 2011 and $32,693 at April 3, 2010</w:t>
            </w: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99,649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97,160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111,268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40" w:type="dxa"/>
            <w:vAlign w:val="bottom"/>
          </w:tcPr>
          <w:p>
            <w:pPr>
              <w:ind w:left="180"/>
              <w:spacing w:after="0"/>
              <w:rPr>
                <w:sz w:val="20"/>
                <w:szCs w:val="20"/>
                <w:color w:val="auto"/>
              </w:rPr>
            </w:pPr>
            <w:r>
              <w:rPr>
                <w:rFonts w:ascii="Arial" w:cs="Arial" w:eastAsia="Arial" w:hAnsi="Arial"/>
                <w:sz w:val="18"/>
                <w:szCs w:val="18"/>
                <w:color w:val="auto"/>
              </w:rPr>
              <w:t>Deferred tax asset, long term</w:t>
            </w: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937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long-term assets</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740" w:type="dxa"/>
            <w:vAlign w:val="bottom"/>
          </w:tcPr>
          <w:p>
            <w:pPr>
              <w:ind w:left="380"/>
              <w:spacing w:after="0"/>
              <w:rPr>
                <w:sz w:val="20"/>
                <w:szCs w:val="20"/>
                <w:color w:val="auto"/>
              </w:rPr>
            </w:pPr>
            <w:r>
              <w:rPr>
                <w:rFonts w:ascii="Arial" w:cs="Arial" w:eastAsia="Arial" w:hAnsi="Arial"/>
                <w:sz w:val="18"/>
                <w:szCs w:val="18"/>
                <w:b w:val="1"/>
                <w:bCs w:val="1"/>
                <w:color w:val="auto"/>
              </w:rPr>
              <w:t>Total other assets</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221,255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783,388</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757,442</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87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Notes payable and current maturities of long-term debt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8,244</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16,062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19,608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Accrued payroll and related costs</w:t>
            </w: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26,138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39,046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Accrued income taxes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4,820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1,177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45,543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40" w:type="dxa"/>
            <w:vAlign w:val="bottom"/>
          </w:tcPr>
          <w:p>
            <w:pPr>
              <w:ind w:left="38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105,530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135,426</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4,194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Long-term deferred tax liability</w:t>
            </w: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11,872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13,268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12,915</w:t>
            </w:r>
          </w:p>
        </w:tc>
        <w:tc>
          <w:tcPr>
            <w:tcW w:w="0" w:type="dxa"/>
            <w:vAlign w:val="bottom"/>
          </w:tcPr>
          <w:p>
            <w:pPr>
              <w:spacing w:after="0"/>
              <w:rPr>
                <w:sz w:val="1"/>
                <w:szCs w:val="1"/>
                <w:color w:val="auto"/>
              </w:rPr>
            </w:pPr>
          </w:p>
        </w:tc>
      </w:tr>
      <w:tr>
        <w:trPr>
          <w:trHeight w:val="423"/>
        </w:trPr>
        <w:tc>
          <w:tcPr>
            <w:tcW w:w="8760" w:type="dxa"/>
            <w:vAlign w:val="bottom"/>
            <w:gridSpan w:val="2"/>
          </w:tcPr>
          <w:p>
            <w:pPr>
              <w:spacing w:after="0"/>
              <w:rPr>
                <w:sz w:val="20"/>
                <w:szCs w:val="20"/>
                <w:color w:val="auto"/>
              </w:rPr>
            </w:pPr>
            <w:r>
              <w:rPr>
                <w:rFonts w:ascii="Arial" w:cs="Arial" w:eastAsia="Arial" w:hAnsi="Arial"/>
                <w:sz w:val="18"/>
                <w:szCs w:val="18"/>
                <w:color w:val="auto"/>
              </w:rPr>
              <w:t>Commitments and contingencies (Note 12)</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40" w:type="dxa"/>
            <w:vAlign w:val="bottom"/>
          </w:tcPr>
          <w:p>
            <w:pPr>
              <w:spacing w:after="0" w:line="200" w:lineRule="exact"/>
              <w:rPr>
                <w:sz w:val="20"/>
                <w:szCs w:val="20"/>
                <w:color w:val="auto"/>
              </w:rPr>
            </w:pPr>
            <w:r>
              <w:rPr>
                <w:rFonts w:ascii="Arial" w:cs="Arial" w:eastAsia="Arial" w:hAnsi="Arial"/>
                <w:sz w:val="18"/>
                <w:szCs w:val="18"/>
                <w:color w:val="auto"/>
                <w:w w:val="95"/>
              </w:rPr>
              <w:t>Common stock, $0.01 par value; Authorized - 150,000,000 shares; Issued and outstanding— 25,420,192 shares at</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180"/>
              <w:spacing w:after="0"/>
              <w:rPr>
                <w:sz w:val="20"/>
                <w:szCs w:val="20"/>
                <w:color w:val="auto"/>
              </w:rPr>
            </w:pPr>
            <w:r>
              <w:rPr>
                <w:rFonts w:ascii="Arial" w:cs="Arial" w:eastAsia="Arial" w:hAnsi="Arial"/>
                <w:sz w:val="18"/>
                <w:szCs w:val="18"/>
                <w:color w:val="auto"/>
              </w:rPr>
              <w:t>January 1, 2011 and 25,440,856 shares at April 3, 2010</w:t>
            </w:r>
          </w:p>
        </w:tc>
        <w:tc>
          <w:tcPr>
            <w:tcW w:w="10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255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289,906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252,323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352,642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334,641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648,524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783,388</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13049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52" w:lineRule="exact"/>
        <w:rPr>
          <w:sz w:val="20"/>
          <w:szCs w:val="20"/>
          <w:color w:val="auto"/>
        </w:rPr>
      </w:pPr>
    </w:p>
    <w:p>
      <w:pPr>
        <w:ind w:left="480" w:hanging="474"/>
        <w:spacing w:after="0" w:line="265" w:lineRule="auto"/>
        <w:tabs>
          <w:tab w:leader="none" w:pos="48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Certain balances were revised to reflect updates to our purchase price allocation of our Global Med acquisition — See Note 9, Goodwill, Other Intangible Assets, and Acquisitions.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13" w:right="2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72536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left="260" w:right="1360"/>
        <w:spacing w:after="0" w:line="265" w:lineRule="auto"/>
        <w:rPr>
          <w:sz w:val="20"/>
          <w:szCs w:val="20"/>
          <w:color w:val="auto"/>
        </w:rPr>
      </w:pPr>
      <w:r>
        <w:rPr>
          <w:rFonts w:ascii="Arial" w:cs="Arial" w:eastAsia="Arial" w:hAnsi="Arial"/>
          <w:sz w:val="18"/>
          <w:szCs w:val="18"/>
          <w:b w:val="1"/>
          <w:bCs w:val="1"/>
          <w:color w:val="auto"/>
        </w:rPr>
        <w:t>HAEMONETICS CORPORATION AND SUBSIDIARIES CONSOLIDATED STATEMENT OF STOCKHOLDERS’ EQUITY AND OTHER COMPREHENSIVE INCOME (Unaudited in thousands)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Additional</w:t>
            </w:r>
          </w:p>
        </w:tc>
        <w:tc>
          <w:tcPr>
            <w:tcW w:w="1220" w:type="dxa"/>
            <w:vAlign w:val="bottom"/>
          </w:tcPr>
          <w:p>
            <w:pPr>
              <w:spacing w:after="0"/>
              <w:rPr>
                <w:sz w:val="14"/>
                <w:szCs w:val="14"/>
                <w:color w:val="auto"/>
              </w:rPr>
            </w:pPr>
          </w:p>
        </w:tc>
        <w:tc>
          <w:tcPr>
            <w:tcW w:w="1540" w:type="dxa"/>
            <w:vAlign w:val="bottom"/>
            <w:gridSpan w:val="2"/>
          </w:tcPr>
          <w:p>
            <w:pPr>
              <w:jc w:val="right"/>
              <w:ind w:right="373"/>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jc w:val="right"/>
              <w:ind w:right="593"/>
              <w:spacing w:after="0" w:line="159"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Borders>
              <w:bottom w:val="single" w:sz="8" w:color="auto"/>
            </w:tcBorders>
            <w:gridSpan w:val="2"/>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Paid-in</w:t>
            </w:r>
          </w:p>
        </w:tc>
        <w:tc>
          <w:tcPr>
            <w:tcW w:w="122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Retained</w:t>
            </w:r>
          </w:p>
        </w:tc>
        <w:tc>
          <w:tcPr>
            <w:tcW w:w="154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Comprehensive</w:t>
            </w:r>
          </w:p>
        </w:tc>
        <w:tc>
          <w:tcPr>
            <w:tcW w:w="10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w w:val="99"/>
              </w:rPr>
              <w:t>Stockholders’</w:t>
            </w:r>
          </w:p>
        </w:tc>
        <w:tc>
          <w:tcPr>
            <w:tcW w:w="400" w:type="dxa"/>
            <w:vAlign w:val="bottom"/>
          </w:tcPr>
          <w:p>
            <w:pPr>
              <w:spacing w:after="0"/>
              <w:rPr>
                <w:sz w:val="13"/>
                <w:szCs w:val="13"/>
                <w:color w:val="auto"/>
              </w:rPr>
            </w:pPr>
          </w:p>
        </w:tc>
        <w:tc>
          <w:tcPr>
            <w:tcW w:w="10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97"/>
              </w:rPr>
              <w:t>Comprehensive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Borders>
              <w:bottom w:val="single" w:sz="8" w:color="auto"/>
            </w:tcBorders>
          </w:tcPr>
          <w:p>
            <w:pPr>
              <w:jc w:val="right"/>
              <w:ind w:right="335"/>
              <w:spacing w:after="0" w:line="139" w:lineRule="exact"/>
              <w:rPr>
                <w:sz w:val="20"/>
                <w:szCs w:val="20"/>
                <w:color w:val="auto"/>
              </w:rPr>
            </w:pPr>
            <w:r>
              <w:rPr>
                <w:rFonts w:ascii="Arial" w:cs="Arial" w:eastAsia="Arial" w:hAnsi="Arial"/>
                <w:sz w:val="14"/>
                <w:szCs w:val="14"/>
                <w:b w:val="1"/>
                <w:bCs w:val="1"/>
                <w:color w:val="auto"/>
              </w:rPr>
              <w:t>Shares</w:t>
            </w:r>
          </w:p>
        </w:tc>
        <w:tc>
          <w:tcPr>
            <w:tcW w:w="4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53"/>
              <w:spacing w:after="0" w:line="139" w:lineRule="exact"/>
              <w:rPr>
                <w:sz w:val="20"/>
                <w:szCs w:val="20"/>
                <w:color w:val="auto"/>
              </w:rPr>
            </w:pPr>
            <w:r>
              <w:rPr>
                <w:rFonts w:ascii="Arial" w:cs="Arial" w:eastAsia="Arial" w:hAnsi="Arial"/>
                <w:sz w:val="14"/>
                <w:szCs w:val="14"/>
                <w:b w:val="1"/>
                <w:bCs w:val="1"/>
                <w:color w:val="auto"/>
                <w:w w:val="81"/>
              </w:rPr>
              <w:t>$’s</w:t>
            </w:r>
          </w:p>
        </w:tc>
        <w:tc>
          <w:tcPr>
            <w:tcW w:w="2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15"/>
              <w:spacing w:after="0" w:line="139" w:lineRule="exact"/>
              <w:rPr>
                <w:sz w:val="20"/>
                <w:szCs w:val="20"/>
                <w:color w:val="auto"/>
              </w:rPr>
            </w:pPr>
            <w:r>
              <w:rPr>
                <w:rFonts w:ascii="Arial" w:cs="Arial" w:eastAsia="Arial" w:hAnsi="Arial"/>
                <w:sz w:val="14"/>
                <w:szCs w:val="14"/>
                <w:b w:val="1"/>
                <w:bCs w:val="1"/>
                <w:color w:val="auto"/>
              </w:rPr>
              <w:t>Capital</w:t>
            </w:r>
          </w:p>
        </w:tc>
        <w:tc>
          <w:tcPr>
            <w:tcW w:w="1220" w:type="dxa"/>
            <w:vAlign w:val="bottom"/>
            <w:tcBorders>
              <w:bottom w:val="single" w:sz="8" w:color="auto"/>
            </w:tcBorders>
          </w:tcPr>
          <w:p>
            <w:pPr>
              <w:jc w:val="right"/>
              <w:ind w:right="274"/>
              <w:spacing w:after="0" w:line="139" w:lineRule="exact"/>
              <w:rPr>
                <w:sz w:val="20"/>
                <w:szCs w:val="20"/>
                <w:color w:val="auto"/>
              </w:rPr>
            </w:pPr>
            <w:r>
              <w:rPr>
                <w:rFonts w:ascii="Arial" w:cs="Arial" w:eastAsia="Arial" w:hAnsi="Arial"/>
                <w:sz w:val="14"/>
                <w:szCs w:val="14"/>
                <w:b w:val="1"/>
                <w:bCs w:val="1"/>
                <w:color w:val="auto"/>
              </w:rPr>
              <w:t>Earnings</w:t>
            </w:r>
          </w:p>
        </w:tc>
        <w:tc>
          <w:tcPr>
            <w:tcW w:w="1540" w:type="dxa"/>
            <w:vAlign w:val="bottom"/>
            <w:tcBorders>
              <w:bottom w:val="single" w:sz="8" w:color="auto"/>
            </w:tcBorders>
            <w:gridSpan w:val="2"/>
          </w:tcPr>
          <w:p>
            <w:pPr>
              <w:ind w:left="220"/>
              <w:spacing w:after="0" w:line="139" w:lineRule="exact"/>
              <w:rPr>
                <w:sz w:val="20"/>
                <w:szCs w:val="20"/>
                <w:color w:val="auto"/>
              </w:rPr>
            </w:pPr>
            <w:r>
              <w:rPr>
                <w:rFonts w:ascii="Arial" w:cs="Arial" w:eastAsia="Arial" w:hAnsi="Arial"/>
                <w:sz w:val="14"/>
                <w:szCs w:val="14"/>
                <w:b w:val="1"/>
                <w:bCs w:val="1"/>
                <w:color w:val="auto"/>
              </w:rPr>
              <w:t>Income / (Loss)</w:t>
            </w: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4"/>
              <w:spacing w:after="0" w:line="139" w:lineRule="exact"/>
              <w:rPr>
                <w:sz w:val="20"/>
                <w:szCs w:val="20"/>
                <w:color w:val="auto"/>
              </w:rPr>
            </w:pPr>
            <w:r>
              <w:rPr>
                <w:rFonts w:ascii="Arial" w:cs="Arial" w:eastAsia="Arial" w:hAnsi="Arial"/>
                <w:sz w:val="14"/>
                <w:szCs w:val="14"/>
                <w:b w:val="1"/>
                <w:bCs w:val="1"/>
                <w:color w:val="auto"/>
              </w:rPr>
              <w:t>Equity</w:t>
            </w:r>
          </w:p>
        </w:tc>
        <w:tc>
          <w:tcPr>
            <w:tcW w:w="4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340"/>
              <w:spacing w:after="0" w:line="139"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April 3, 2010</w:t>
            </w:r>
          </w:p>
        </w:tc>
        <w:tc>
          <w:tcPr>
            <w:tcW w:w="3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25,441</w:t>
            </w:r>
          </w:p>
        </w:tc>
        <w:tc>
          <w:tcPr>
            <w:tcW w:w="4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w:t>
            </w:r>
          </w:p>
        </w:tc>
        <w:tc>
          <w:tcPr>
            <w:tcW w:w="12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$ 252,323</w:t>
            </w:r>
          </w:p>
        </w:tc>
        <w:tc>
          <w:tcPr>
            <w:tcW w:w="12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$ 334,641</w:t>
            </w:r>
          </w:p>
        </w:tc>
        <w:tc>
          <w:tcPr>
            <w:tcW w:w="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5,905</w:t>
            </w:r>
          </w:p>
        </w:tc>
        <w:tc>
          <w:tcPr>
            <w:tcW w:w="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593,124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2500" w:type="dxa"/>
            <w:vAlign w:val="bottom"/>
          </w:tcPr>
          <w:p>
            <w:pPr>
              <w:ind w:left="180"/>
              <w:spacing w:after="0"/>
              <w:rPr>
                <w:sz w:val="20"/>
                <w:szCs w:val="20"/>
                <w:color w:val="auto"/>
              </w:rPr>
            </w:pPr>
            <w:r>
              <w:rPr>
                <w:rFonts w:ascii="Arial" w:cs="Arial" w:eastAsia="Arial" w:hAnsi="Arial"/>
                <w:sz w:val="18"/>
                <w:szCs w:val="18"/>
                <w:color w:val="auto"/>
                <w:w w:val="93"/>
              </w:rPr>
              <w:t>Employee stock purchase plan</w:t>
            </w:r>
          </w:p>
        </w:tc>
        <w:tc>
          <w:tcPr>
            <w:tcW w:w="1300" w:type="dxa"/>
            <w:vAlign w:val="bottom"/>
            <w:gridSpan w:val="2"/>
          </w:tcPr>
          <w:p>
            <w:pPr>
              <w:jc w:val="right"/>
              <w:ind w:right="195"/>
              <w:spacing w:after="0"/>
              <w:rPr>
                <w:sz w:val="20"/>
                <w:szCs w:val="20"/>
                <w:color w:val="auto"/>
              </w:rPr>
            </w:pPr>
            <w:r>
              <w:rPr>
                <w:rFonts w:ascii="Arial" w:cs="Arial" w:eastAsia="Arial" w:hAnsi="Arial"/>
                <w:sz w:val="18"/>
                <w:szCs w:val="18"/>
                <w:color w:val="auto"/>
              </w:rPr>
              <w:t>78</w:t>
            </w:r>
          </w:p>
        </w:tc>
        <w:tc>
          <w:tcPr>
            <w:tcW w:w="440" w:type="dxa"/>
            <w:vAlign w:val="bottom"/>
          </w:tcPr>
          <w:p>
            <w:pPr>
              <w:spacing w:after="0"/>
              <w:rPr>
                <w:sz w:val="24"/>
                <w:szCs w:val="2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200" w:type="dxa"/>
            <w:vAlign w:val="bottom"/>
          </w:tcPr>
          <w:p>
            <w:pPr>
              <w:jc w:val="right"/>
              <w:ind w:right="195"/>
              <w:spacing w:after="0"/>
              <w:rPr>
                <w:sz w:val="20"/>
                <w:szCs w:val="20"/>
                <w:color w:val="auto"/>
              </w:rPr>
            </w:pPr>
            <w:r>
              <w:rPr>
                <w:rFonts w:ascii="Arial" w:cs="Arial" w:eastAsia="Arial" w:hAnsi="Arial"/>
                <w:sz w:val="18"/>
                <w:szCs w:val="18"/>
                <w:color w:val="auto"/>
              </w:rPr>
              <w:t>3,682</w:t>
            </w:r>
          </w:p>
        </w:tc>
        <w:tc>
          <w:tcPr>
            <w:tcW w:w="12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14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3,683</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Exercise of stock options and</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related tax benefit</w:t>
            </w:r>
          </w:p>
        </w:tc>
        <w:tc>
          <w:tcPr>
            <w:tcW w:w="1300" w:type="dxa"/>
            <w:vAlign w:val="bottom"/>
            <w:gridSpan w:val="2"/>
            <w:shd w:val="clear" w:color="auto" w:fill="CCEEFF"/>
          </w:tcPr>
          <w:p>
            <w:pPr>
              <w:jc w:val="right"/>
              <w:ind w:right="195"/>
              <w:spacing w:after="0"/>
              <w:rPr>
                <w:sz w:val="20"/>
                <w:szCs w:val="20"/>
                <w:color w:val="auto"/>
              </w:rPr>
            </w:pPr>
            <w:r>
              <w:rPr>
                <w:rFonts w:ascii="Arial" w:cs="Arial" w:eastAsia="Arial" w:hAnsi="Arial"/>
                <w:sz w:val="18"/>
                <w:szCs w:val="18"/>
                <w:color w:val="auto"/>
              </w:rPr>
              <w:t>775</w:t>
            </w:r>
          </w:p>
        </w:tc>
        <w:tc>
          <w:tcPr>
            <w:tcW w:w="4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34,756</w:t>
            </w:r>
          </w:p>
        </w:tc>
        <w:tc>
          <w:tcPr>
            <w:tcW w:w="12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34,764</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tcPr>
          <w:p>
            <w:pPr>
              <w:ind w:left="180"/>
              <w:spacing w:after="0"/>
              <w:rPr>
                <w:sz w:val="20"/>
                <w:szCs w:val="20"/>
                <w:color w:val="auto"/>
              </w:rPr>
            </w:pPr>
            <w:r>
              <w:rPr>
                <w:rFonts w:ascii="Arial" w:cs="Arial" w:eastAsia="Arial" w:hAnsi="Arial"/>
                <w:sz w:val="18"/>
                <w:szCs w:val="18"/>
                <w:color w:val="auto"/>
              </w:rPr>
              <w:t>Shares repurchased</w:t>
            </w:r>
          </w:p>
        </w:tc>
        <w:tc>
          <w:tcPr>
            <w:tcW w:w="1300" w:type="dxa"/>
            <w:vAlign w:val="bottom"/>
            <w:gridSpan w:val="2"/>
          </w:tcPr>
          <w:p>
            <w:pPr>
              <w:jc w:val="right"/>
              <w:ind w:right="135"/>
              <w:spacing w:after="0"/>
              <w:rPr>
                <w:sz w:val="20"/>
                <w:szCs w:val="20"/>
                <w:color w:val="auto"/>
              </w:rPr>
            </w:pPr>
            <w:r>
              <w:rPr>
                <w:rFonts w:ascii="Arial" w:cs="Arial" w:eastAsia="Arial" w:hAnsi="Arial"/>
                <w:sz w:val="18"/>
                <w:szCs w:val="18"/>
                <w:color w:val="auto"/>
              </w:rPr>
              <w:t>(907)</w:t>
            </w:r>
          </w:p>
        </w:tc>
        <w:tc>
          <w:tcPr>
            <w:tcW w:w="4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(9,000)</w:t>
            </w: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(40,991)</w:t>
            </w:r>
          </w:p>
        </w:tc>
        <w:tc>
          <w:tcPr>
            <w:tcW w:w="400" w:type="dxa"/>
            <w:vAlign w:val="bottom"/>
          </w:tcPr>
          <w:p>
            <w:pPr>
              <w:spacing w:after="0"/>
              <w:rPr>
                <w:sz w:val="18"/>
                <w:szCs w:val="18"/>
                <w:color w:val="auto"/>
              </w:rPr>
            </w:pPr>
          </w:p>
        </w:tc>
        <w:tc>
          <w:tcPr>
            <w:tcW w:w="114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w w:val="90"/>
              </w:rPr>
              <w:t>Issuance of restricted stock, net</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of cancellations</w:t>
            </w:r>
          </w:p>
        </w:tc>
        <w:tc>
          <w:tcPr>
            <w:tcW w:w="1300" w:type="dxa"/>
            <w:vAlign w:val="bottom"/>
            <w:gridSpan w:val="2"/>
            <w:shd w:val="clear" w:color="auto" w:fill="CCEEFF"/>
          </w:tcPr>
          <w:p>
            <w:pPr>
              <w:jc w:val="right"/>
              <w:ind w:right="195"/>
              <w:spacing w:after="0"/>
              <w:rPr>
                <w:sz w:val="20"/>
                <w:szCs w:val="20"/>
                <w:color w:val="auto"/>
              </w:rPr>
            </w:pPr>
            <w:r>
              <w:rPr>
                <w:rFonts w:ascii="Arial" w:cs="Arial" w:eastAsia="Arial" w:hAnsi="Arial"/>
                <w:sz w:val="18"/>
                <w:szCs w:val="18"/>
                <w:color w:val="auto"/>
              </w:rPr>
              <w:t>33</w:t>
            </w:r>
          </w:p>
        </w:tc>
        <w:tc>
          <w:tcPr>
            <w:tcW w:w="4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tcPr>
          <w:p>
            <w:pPr>
              <w:ind w:left="180"/>
              <w:spacing w:after="0"/>
              <w:rPr>
                <w:sz w:val="20"/>
                <w:szCs w:val="20"/>
                <w:color w:val="auto"/>
              </w:rPr>
            </w:pPr>
            <w:r>
              <w:rPr>
                <w:rFonts w:ascii="Arial" w:cs="Arial" w:eastAsia="Arial" w:hAnsi="Arial"/>
                <w:sz w:val="18"/>
                <w:szCs w:val="18"/>
                <w:color w:val="auto"/>
                <w:w w:val="97"/>
              </w:rPr>
              <w:t>Stock compensation expense</w:t>
            </w:r>
          </w:p>
        </w:tc>
        <w:tc>
          <w:tcPr>
            <w:tcW w:w="340" w:type="dxa"/>
            <w:vAlign w:val="bottom"/>
          </w:tcPr>
          <w:p>
            <w:pPr>
              <w:spacing w:after="0"/>
              <w:rPr>
                <w:sz w:val="18"/>
                <w:szCs w:val="18"/>
                <w:color w:val="auto"/>
              </w:rPr>
            </w:pP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5"/>
              <w:spacing w:after="0"/>
              <w:rPr>
                <w:sz w:val="20"/>
                <w:szCs w:val="20"/>
                <w:color w:val="auto"/>
              </w:rPr>
            </w:pPr>
            <w:r>
              <w:rPr>
                <w:rFonts w:ascii="Arial" w:cs="Arial" w:eastAsia="Arial" w:hAnsi="Arial"/>
                <w:sz w:val="18"/>
                <w:szCs w:val="18"/>
                <w:color w:val="auto"/>
              </w:rPr>
              <w:t>8,145</w:t>
            </w:r>
          </w:p>
        </w:tc>
        <w:tc>
          <w:tcPr>
            <w:tcW w:w="12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4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8,145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58,992</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58,992</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58,992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tcPr>
          <w:p>
            <w:pPr>
              <w:ind w:left="180"/>
              <w:spacing w:after="0" w:line="200" w:lineRule="exact"/>
              <w:rPr>
                <w:sz w:val="20"/>
                <w:szCs w:val="20"/>
                <w:color w:val="auto"/>
              </w:rPr>
            </w:pPr>
            <w:r>
              <w:rPr>
                <w:rFonts w:ascii="Arial" w:cs="Arial" w:eastAsia="Arial" w:hAnsi="Arial"/>
                <w:sz w:val="18"/>
                <w:szCs w:val="18"/>
                <w:color w:val="auto"/>
              </w:rPr>
              <w:t>Net change in minimum</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00" w:type="dxa"/>
            <w:vAlign w:val="bottom"/>
          </w:tcPr>
          <w:p>
            <w:pPr>
              <w:ind w:left="380"/>
              <w:spacing w:after="0"/>
              <w:rPr>
                <w:sz w:val="20"/>
                <w:szCs w:val="20"/>
                <w:color w:val="auto"/>
              </w:rPr>
            </w:pPr>
            <w:r>
              <w:rPr>
                <w:rFonts w:ascii="Arial" w:cs="Arial" w:eastAsia="Arial" w:hAnsi="Arial"/>
                <w:sz w:val="18"/>
                <w:szCs w:val="18"/>
                <w:color w:val="auto"/>
              </w:rPr>
              <w:t>pension liability</w:t>
            </w:r>
          </w:p>
        </w:tc>
        <w:tc>
          <w:tcPr>
            <w:tcW w:w="340" w:type="dxa"/>
            <w:vAlign w:val="bottom"/>
          </w:tcPr>
          <w:p>
            <w:pPr>
              <w:spacing w:after="0"/>
              <w:rPr>
                <w:sz w:val="19"/>
                <w:szCs w:val="19"/>
                <w:color w:val="auto"/>
              </w:rPr>
            </w:pP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Foreign currency translation</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adjustment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2,889</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2,889</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tcPr>
          <w:p>
            <w:pPr>
              <w:ind w:left="180"/>
              <w:spacing w:after="0" w:line="200" w:lineRule="exact"/>
              <w:rPr>
                <w:sz w:val="20"/>
                <w:szCs w:val="20"/>
                <w:color w:val="auto"/>
              </w:rPr>
            </w:pPr>
            <w:r>
              <w:rPr>
                <w:rFonts w:ascii="Arial" w:cs="Arial" w:eastAsia="Arial" w:hAnsi="Arial"/>
                <w:sz w:val="18"/>
                <w:szCs w:val="18"/>
                <w:color w:val="auto"/>
                <w:w w:val="93"/>
              </w:rPr>
              <w:t>Unrealized loss on hedges, net</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00" w:type="dxa"/>
            <w:vAlign w:val="bottom"/>
          </w:tcPr>
          <w:p>
            <w:pPr>
              <w:ind w:left="380"/>
              <w:spacing w:after="0"/>
              <w:rPr>
                <w:sz w:val="20"/>
                <w:szCs w:val="20"/>
                <w:color w:val="auto"/>
              </w:rPr>
            </w:pPr>
            <w:r>
              <w:rPr>
                <w:rFonts w:ascii="Arial" w:cs="Arial" w:eastAsia="Arial" w:hAnsi="Arial"/>
                <w:sz w:val="18"/>
                <w:szCs w:val="18"/>
                <w:color w:val="auto"/>
              </w:rPr>
              <w:t>of tax</w:t>
            </w:r>
          </w:p>
        </w:tc>
        <w:tc>
          <w:tcPr>
            <w:tcW w:w="340" w:type="dxa"/>
            <w:vAlign w:val="bottom"/>
          </w:tcPr>
          <w:p>
            <w:pPr>
              <w:spacing w:after="0"/>
              <w:rPr>
                <w:sz w:val="19"/>
                <w:szCs w:val="19"/>
                <w:color w:val="auto"/>
              </w:rPr>
            </w:pP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40" w:type="dxa"/>
            <w:vAlign w:val="bottom"/>
          </w:tcPr>
          <w:p>
            <w:pPr>
              <w:jc w:val="right"/>
              <w:ind w:right="233"/>
              <w:spacing w:after="0"/>
              <w:rPr>
                <w:sz w:val="20"/>
                <w:szCs w:val="20"/>
                <w:color w:val="auto"/>
              </w:rPr>
            </w:pPr>
            <w:r>
              <w:rPr>
                <w:rFonts w:ascii="Arial" w:cs="Arial" w:eastAsia="Arial" w:hAnsi="Arial"/>
                <w:sz w:val="18"/>
                <w:szCs w:val="18"/>
                <w:color w:val="auto"/>
              </w:rPr>
              <w:t>(3,144)</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(3,144)</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Reclassification of hedge gain</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 earnings, net of tax</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73</w:t>
            </w:r>
          </w:p>
        </w:tc>
        <w:tc>
          <w:tcPr>
            <w:tcW w:w="4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0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340" w:type="dxa"/>
            <w:vAlign w:val="bottom"/>
          </w:tcPr>
          <w:p>
            <w:pPr>
              <w:spacing w:after="0"/>
              <w:rPr>
                <w:sz w:val="18"/>
                <w:szCs w:val="18"/>
                <w:color w:val="auto"/>
              </w:rPr>
            </w:pPr>
          </w:p>
        </w:tc>
        <w:tc>
          <w:tcPr>
            <w:tcW w:w="96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4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2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January 1, 2011</w:t>
            </w:r>
          </w:p>
        </w:tc>
        <w:tc>
          <w:tcPr>
            <w:tcW w:w="3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25,420</w:t>
            </w:r>
          </w:p>
        </w:tc>
        <w:tc>
          <w:tcPr>
            <w:tcW w:w="4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w:t>
            </w:r>
          </w:p>
        </w:tc>
        <w:tc>
          <w:tcPr>
            <w:tcW w:w="12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8"/>
                <w:szCs w:val="18"/>
                <w:color w:val="auto"/>
              </w:rPr>
              <w:t>$ 289,906</w:t>
            </w:r>
          </w:p>
        </w:tc>
        <w:tc>
          <w:tcPr>
            <w:tcW w:w="12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$ 352,642</w:t>
            </w:r>
          </w:p>
        </w:tc>
        <w:tc>
          <w:tcPr>
            <w:tcW w:w="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5,721</w:t>
            </w:r>
          </w:p>
        </w:tc>
        <w:tc>
          <w:tcPr>
            <w:tcW w:w="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648,524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60" w:type="dxa"/>
            <w:vAlign w:val="bottom"/>
            <w:tcBorders>
              <w:bottom w:val="single" w:sz="8" w:color="auto"/>
            </w:tcBorders>
            <w:gridSpan w:val="8"/>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400" w:type="dxa"/>
            <w:vAlign w:val="bottom"/>
            <w:gridSpan w:val="9"/>
          </w:tcPr>
          <w:p>
            <w:pPr>
              <w:jc w:val="right"/>
              <w:ind w:right="33"/>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315"/>
              <w:spacing w:after="0"/>
              <w:rPr>
                <w:sz w:val="20"/>
                <w:szCs w:val="20"/>
                <w:color w:val="auto"/>
              </w:rPr>
            </w:pPr>
            <w:r>
              <w:rPr>
                <w:rFonts w:ascii="Arial" w:cs="Arial" w:eastAsia="Arial" w:hAnsi="Arial"/>
                <w:sz w:val="18"/>
                <w:szCs w:val="18"/>
                <w:color w:val="auto"/>
              </w:rPr>
              <w:t>5</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100" w:type="dxa"/>
            <w:vAlign w:val="bottom"/>
          </w:tcPr>
          <w:p>
            <w:pPr>
              <w:spacing w:after="0"/>
              <w:rPr>
                <w:sz w:val="10"/>
                <w:szCs w:val="10"/>
                <w:color w:val="auto"/>
              </w:rPr>
            </w:pPr>
          </w:p>
        </w:tc>
        <w:tc>
          <w:tcPr>
            <w:tcW w:w="1060" w:type="dxa"/>
            <w:vAlign w:val="bottom"/>
            <w:tcBorders>
              <w:top w:val="single" w:sz="8" w:color="auto"/>
            </w:tcBorders>
            <w:gridSpan w:val="3"/>
          </w:tcPr>
          <w:p>
            <w:pPr>
              <w:jc w:val="right"/>
              <w:ind w:right="380"/>
              <w:spacing w:after="0" w:line="117" w:lineRule="exact"/>
              <w:rPr>
                <w:sz w:val="20"/>
                <w:szCs w:val="20"/>
                <w:color w:val="auto"/>
              </w:rPr>
            </w:pPr>
            <w:r>
              <w:rPr>
                <w:rFonts w:ascii="Arial" w:cs="Arial" w:eastAsia="Arial" w:hAnsi="Arial"/>
                <w:sz w:val="13"/>
                <w:szCs w:val="13"/>
                <w:b w:val="1"/>
                <w:bCs w:val="1"/>
                <w:color w:val="auto"/>
              </w:rPr>
              <w:t>January 1,</w:t>
            </w:r>
          </w:p>
        </w:tc>
        <w:tc>
          <w:tcPr>
            <w:tcW w:w="1140" w:type="dxa"/>
            <w:vAlign w:val="bottom"/>
            <w:tcBorders>
              <w:top w:val="single" w:sz="8" w:color="auto"/>
            </w:tcBorders>
            <w:gridSpan w:val="3"/>
          </w:tcPr>
          <w:p>
            <w:pPr>
              <w:ind w:left="320"/>
              <w:spacing w:after="0" w:line="117" w:lineRule="exact"/>
              <w:rPr>
                <w:sz w:val="20"/>
                <w:szCs w:val="20"/>
                <w:color w:val="auto"/>
              </w:rPr>
            </w:pPr>
            <w:r>
              <w:rPr>
                <w:rFonts w:ascii="Arial" w:cs="Arial" w:eastAsia="Arial" w:hAnsi="Arial"/>
                <w:sz w:val="13"/>
                <w:szCs w:val="13"/>
                <w:b w:val="1"/>
                <w:bCs w:val="1"/>
                <w:color w:val="auto"/>
                <w:w w:val="94"/>
              </w:rPr>
              <w:t>December 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10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58,992</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54,409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b w:val="1"/>
                <w:bCs w:val="1"/>
                <w:color w:val="auto"/>
              </w:rPr>
              <w:t>Non cash items: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37,025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31,781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8,145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sales of property, plant and equipment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Arial" w:cs="Arial" w:eastAsia="Arial" w:hAnsi="Arial"/>
                <w:sz w:val="18"/>
                <w:szCs w:val="18"/>
                <w:color w:val="auto"/>
              </w:rPr>
              <w:t>Unrealized loss/(gain) from hedging activities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 income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Arial" w:cs="Arial" w:eastAsia="Arial" w:hAnsi="Arial"/>
                <w:sz w:val="18"/>
                <w:szCs w:val="18"/>
                <w:color w:val="auto"/>
              </w:rPr>
              <w:t>(Reversal)/accretion of interest expense on contingent consideration</w:t>
            </w: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(416)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operating assets and liabilities: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Arial" w:cs="Arial" w:eastAsia="Arial" w:hAnsi="Arial"/>
                <w:sz w:val="18"/>
                <w:szCs w:val="18"/>
                <w:color w:val="auto"/>
              </w:rPr>
              <w:t>(Increase)/decrease in accounts receivable, net</w:t>
            </w: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(240)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(Increase)/decrease in inventories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Arial" w:cs="Arial" w:eastAsia="Arial" w:hAnsi="Arial"/>
                <w:sz w:val="18"/>
                <w:szCs w:val="18"/>
                <w:color w:val="auto"/>
              </w:rPr>
              <w:t>Decrease in prepaid income taxes</w:t>
            </w:r>
          </w:p>
        </w:tc>
        <w:tc>
          <w:tcPr>
            <w:tcW w:w="12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10,569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other assets and other long-term liabilities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Arial" w:cs="Arial" w:eastAsia="Arial" w:hAnsi="Arial"/>
                <w:sz w:val="18"/>
                <w:szCs w:val="18"/>
                <w:color w:val="auto"/>
              </w:rPr>
              <w:t>Tax benefit of exercise of stock options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4,844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accounts payable and accrued expenses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(31,279)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91,316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Arial" w:cs="Arial" w:eastAsia="Arial" w:hAnsi="Arial"/>
                <w:sz w:val="18"/>
                <w:szCs w:val="18"/>
                <w:color w:val="auto"/>
              </w:rPr>
              <w:t>Capital expenditures on property, plant and equipment</w:t>
            </w: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(34,986)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(44,876)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property, plant and equipment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Arial" w:cs="Arial" w:eastAsia="Arial" w:hAnsi="Arial"/>
                <w:sz w:val="18"/>
                <w:szCs w:val="18"/>
                <w:color w:val="auto"/>
              </w:rPr>
              <w:t>Acquisition of ACCS</w:t>
            </w: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(6,229)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Global Med Technologies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Arial" w:cs="Arial" w:eastAsia="Arial" w:hAnsi="Arial"/>
                <w:sz w:val="18"/>
                <w:szCs w:val="18"/>
                <w:color w:val="auto"/>
              </w:rPr>
              <w:t>Acquisition of SEBRA</w:t>
            </w:r>
          </w:p>
        </w:tc>
        <w:tc>
          <w:tcPr>
            <w:tcW w:w="12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(12,845)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Neoteric</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Arial" w:cs="Arial" w:eastAsia="Arial" w:hAnsi="Arial"/>
                <w:sz w:val="18"/>
                <w:szCs w:val="18"/>
                <w:color w:val="auto"/>
              </w:rPr>
              <w:t>Acquisition of Medicell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(41,009)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on long-term real estate mortgage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Arial" w:cs="Arial" w:eastAsia="Arial" w:hAnsi="Arial"/>
                <w:sz w:val="18"/>
                <w:szCs w:val="18"/>
                <w:color w:val="auto"/>
              </w:rPr>
              <w:t>Net (decrease)/increase in short-term loans</w:t>
            </w: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(8,789)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13,595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12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32,163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Excess tax benefit on exercise of stock options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tcPr>
          <w:p>
            <w:pPr>
              <w:ind w:left="180"/>
              <w:spacing w:after="0"/>
              <w:rPr>
                <w:sz w:val="20"/>
                <w:szCs w:val="20"/>
                <w:color w:val="auto"/>
              </w:rPr>
            </w:pPr>
            <w:r>
              <w:rPr>
                <w:rFonts w:ascii="Arial" w:cs="Arial" w:eastAsia="Arial" w:hAnsi="Arial"/>
                <w:sz w:val="18"/>
                <w:szCs w:val="18"/>
                <w:color w:val="auto"/>
              </w:rPr>
              <w:t>Share repurchase</w:t>
            </w:r>
          </w:p>
        </w:tc>
        <w:tc>
          <w:tcPr>
            <w:tcW w:w="1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(50,000)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(22,170)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(18,803)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2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(161)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141,562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156,721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169,538</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168,993</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91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from inventory to fixed assets for placements of Haemonetics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180"/>
              <w:spacing w:after="0"/>
              <w:rPr>
                <w:sz w:val="20"/>
                <w:szCs w:val="20"/>
                <w:color w:val="auto"/>
              </w:rPr>
            </w:pPr>
            <w:r>
              <w:rPr>
                <w:rFonts w:ascii="Arial" w:cs="Arial" w:eastAsia="Arial" w:hAnsi="Arial"/>
                <w:sz w:val="18"/>
                <w:szCs w:val="18"/>
                <w:color w:val="auto"/>
              </w:rPr>
              <w:t>Income taxes paid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9100" w:type="dxa"/>
            <w:vAlign w:val="bottom"/>
            <w:vMerge w:val="continue"/>
          </w:tcPr>
          <w:p>
            <w:pPr>
              <w:spacing w:after="0"/>
              <w:rPr>
                <w:sz w:val="17"/>
                <w:szCs w:val="17"/>
                <w:color w:val="auto"/>
              </w:rPr>
            </w:pPr>
          </w:p>
        </w:tc>
        <w:tc>
          <w:tcPr>
            <w:tcW w:w="120" w:type="dxa"/>
            <w:vAlign w:val="bottom"/>
          </w:tcPr>
          <w:p>
            <w:pPr>
              <w:jc w:val="right"/>
              <w:spacing w:after="0" w:line="205" w:lineRule="exact"/>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line="205" w:lineRule="exact"/>
              <w:rPr>
                <w:sz w:val="20"/>
                <w:szCs w:val="20"/>
                <w:color w:val="auto"/>
              </w:rPr>
            </w:pPr>
            <w:r>
              <w:rPr>
                <w:rFonts w:ascii="Arial" w:cs="Arial" w:eastAsia="Arial" w:hAnsi="Arial"/>
                <w:sz w:val="18"/>
                <w:szCs w:val="18"/>
                <w:color w:val="auto"/>
              </w:rPr>
              <w:t>9,995</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line="205" w:lineRule="exact"/>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15,521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17"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Our accompanying unaudited consolidated financial statements have been prepared in accordance with generally accepted accounting principles (“GAAP”) in the United States for interim financial information and with the instructions to Form 10-Q and Article 10 of Regulation S-X. Accordingly, they do not include all of the information and footnotes required by GAAP for complete financial statements. In the opinion of our management, all adjustments (consisting of normal recurring accruals) considered necessary for a fair presentation have been included. All significant intercompany transactions have been eliminated. Certain reclassifications were made to prior year balances to conform with the presentation of the financial statements for the nine months ended January 1, 2011. During the first nine months of fiscal year 2011, we received new information related to our Global Med acquisition which we have considered and estimated the effect on the carrying amount of certain assets and liabilities acquired. These adjustments have been reflected in our consolidated balance sheet as of April 3, 2010 and are discussed further in Note 9. Operating results for the nine month period ended January 1, 2011 are not necessarily indicative of the results that may be expected for the full fiscal year ending April 2, 2011, or any other interim period. These unaudited consolidated financial statements should be read in conjunction with our audited consolidated financial statements and footnotes included in our annual report on Form 10-K for the fiscal year ended April 3, 2010.</w:t>
      </w:r>
    </w:p>
    <w:p>
      <w:pPr>
        <w:spacing w:after="0" w:line="50" w:lineRule="exact"/>
        <w:rPr>
          <w:sz w:val="20"/>
          <w:szCs w:val="20"/>
          <w:color w:val="auto"/>
        </w:rPr>
      </w:pPr>
    </w:p>
    <w:p>
      <w:pPr>
        <w:ind w:right="260"/>
        <w:spacing w:after="0" w:line="318" w:lineRule="auto"/>
        <w:rPr>
          <w:sz w:val="20"/>
          <w:szCs w:val="20"/>
          <w:color w:val="auto"/>
        </w:rPr>
      </w:pPr>
      <w:r>
        <w:rPr>
          <w:rFonts w:ascii="Arial" w:cs="Arial" w:eastAsia="Arial" w:hAnsi="Arial"/>
          <w:sz w:val="15"/>
          <w:szCs w:val="15"/>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and these financial statements reflect those material items that arose after the balance sheet date but prior to the issuance of the financial statements that would be considered recognized subsequent events. There were no material recognized subsequent events recorded in the January 1, 2011 consolidated financial statements.</w:t>
      </w:r>
    </w:p>
    <w:p>
      <w:pPr>
        <w:spacing w:after="0" w:line="40"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Our fiscal year ends on the Saturday closest to the last day of March. Fiscal year 2011 includes 52 weeks with all four quarters each having 13 weeks. Fiscal year 2010 included 53 weeks with each of the first three quarters having 13 weeks and the fourth quarter having 14 weeks.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1"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 xml:space="preserve">Our revenue recognition policy is to recognize revenues from product sales, software and services in accordance with ASC Topic 605, </w:t>
      </w:r>
      <w:r>
        <w:rPr>
          <w:rFonts w:ascii="Arial" w:cs="Arial" w:eastAsia="Arial" w:hAnsi="Arial"/>
          <w:sz w:val="15"/>
          <w:szCs w:val="15"/>
          <w:i w:val="1"/>
          <w:iCs w:val="1"/>
          <w:color w:val="auto"/>
        </w:rPr>
        <w:t>Revenue Recognition</w:t>
      </w:r>
      <w:r>
        <w:rPr>
          <w:rFonts w:ascii="Arial" w:cs="Arial" w:eastAsia="Arial" w:hAnsi="Arial"/>
          <w:sz w:val="15"/>
          <w:szCs w:val="15"/>
          <w:color w:val="auto"/>
        </w:rPr>
        <w:t xml:space="preserve">, and ASC Topic 985-605, </w:t>
      </w:r>
      <w:r>
        <w:rPr>
          <w:rFonts w:ascii="Arial" w:cs="Arial" w:eastAsia="Arial" w:hAnsi="Arial"/>
          <w:sz w:val="15"/>
          <w:szCs w:val="15"/>
          <w:i w:val="1"/>
          <w:iCs w:val="1"/>
          <w:color w:val="auto"/>
        </w:rPr>
        <w:t>Software</w:t>
      </w:r>
      <w:r>
        <w:rPr>
          <w:rFonts w:ascii="Arial" w:cs="Arial" w:eastAsia="Arial" w:hAnsi="Arial"/>
          <w:sz w:val="15"/>
          <w:szCs w:val="15"/>
          <w:color w:val="auto"/>
        </w:rPr>
        <w:t>. These standards require that revenues are recognized when persuasive evidence of an arrangement exists, product delivery, including customer acceptance, has occurred or services have been rendered, the price is fixed or determinable and collectibility is reasonably assured. When more than one element such as equipment, disposables and services are contained in a single arrangement, we allocate revenue between the elements based on each element’s relative fair value, provided that each element meets the criteria for treatment as a separate unit of accounting. An item is considered a separate unit of accounting if it has value to the customer on a stand alone basis and there is objective and reliable evidence of the fair value of the undelivered items. The fair value of the undelivered elements is determined by the price charged when the element is sold separately, or in cases when the item is not sold separately, by using vendor specific objective evidenced under ASC Topic 985-605 or other objective evidence as defined in ASC Topic 605.</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111"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color w:val="auto"/>
        </w:rPr>
        <w:t>Product sales consist of the sale of our equipment devices and the related disposables used with these devices. On product sales to end customers, revenue is recognized when both the title and risk of loss have transferred to the customer as determined by the shipping terms and all obligations have been completed. Examples of common post delivery obligations are installation and training. For product sales to distributors, we recognize revenue for both equipment and disposables upon shipment of these products to our distributors. Our standard contracts with our distributors state that title to the equipment passes to the distributors at point of shipment to a distributor’s location. The distributors are responsible for shipment to the end customer along with installation, training and acceptance of the equipment by the end customer. All shipments to distributors are at contract prices and payment is not contingent upon resale of the product.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Solutions Revenues</w:t>
      </w:r>
    </w:p>
    <w:p>
      <w:pPr>
        <w:spacing w:after="0" w:line="111"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Our software solutions include software products and support for our plasma, blood bank, and hospital customers. For our blood bank customers, these products span blood center operations and automate and track operations from the recruitment of the blood donor to the disposition of the blood product. For plasma customers, we also provide information technology platforms for managing distribution of plasma from collection centers to plasma fractionation facilities. We offer products to our hospital customers that manage blood product inventory and support patient cross matching and transfusion management. We also offer an analytical tool that monitors and measures a hospital’s blood management practices. Software solution product offerings are sold both as a subscription, where license revenues are generally billed periodically, monthly, or quarterly, and recognized ratably over the term of the subscription, and as a perpetual license, which are billed up front. We recognize revenue from the sale of perpetual licenses when delivered, provided all other revenue recognition criteria are met and we have vendor specific objective evidence of fair value for undelivered elements sold with the license. Additionally, for certain software solutions products, we provide customized implementation services to our customer. For these arrangements, we recognize revenue on a percentage-of-completion basis. We also provide other services, including in some instances hosting, technical support, and maintenance, for the payment of periodic, monthly, or quarterly fees. We recognize these fees and charges as earned, typically as these services are provided during the contract period.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 xml:space="preserve">In October 2009, the FASB issued Accounting Standards Update No. 2009-13, </w:t>
      </w:r>
      <w:r>
        <w:rPr>
          <w:rFonts w:ascii="Arial" w:cs="Arial" w:eastAsia="Arial" w:hAnsi="Arial"/>
          <w:sz w:val="15"/>
          <w:szCs w:val="15"/>
          <w:i w:val="1"/>
          <w:iCs w:val="1"/>
          <w:color w:val="auto"/>
        </w:rPr>
        <w:t>Multiple-Deliverable Revenue Arrangements</w:t>
      </w:r>
      <w:r>
        <w:rPr>
          <w:rFonts w:ascii="Arial" w:cs="Arial" w:eastAsia="Arial" w:hAnsi="Arial"/>
          <w:sz w:val="15"/>
          <w:szCs w:val="15"/>
          <w:color w:val="auto"/>
        </w:rPr>
        <w:t xml:space="preserve">, an amendment to FASB ASC topic 605, </w:t>
      </w:r>
      <w:r>
        <w:rPr>
          <w:rFonts w:ascii="Arial" w:cs="Arial" w:eastAsia="Arial" w:hAnsi="Arial"/>
          <w:sz w:val="15"/>
          <w:szCs w:val="15"/>
          <w:i w:val="1"/>
          <w:iCs w:val="1"/>
          <w:color w:val="auto"/>
        </w:rPr>
        <w:t>Revenue Recognition</w:t>
      </w:r>
      <w:r>
        <w:rPr>
          <w:rFonts w:ascii="Arial" w:cs="Arial" w:eastAsia="Arial" w:hAnsi="Arial"/>
          <w:sz w:val="15"/>
          <w:szCs w:val="15"/>
          <w:color w:val="auto"/>
        </w:rPr>
        <w:t xml:space="preserve">, and Update No. 2009-14, </w:t>
      </w:r>
      <w:r>
        <w:rPr>
          <w:rFonts w:ascii="Arial" w:cs="Arial" w:eastAsia="Arial" w:hAnsi="Arial"/>
          <w:sz w:val="15"/>
          <w:szCs w:val="15"/>
          <w:i w:val="1"/>
          <w:iCs w:val="1"/>
          <w:color w:val="auto"/>
        </w:rPr>
        <w:t>Certain Revenue Arrangements That Include Software Elements</w:t>
      </w:r>
      <w:r>
        <w:rPr>
          <w:rFonts w:ascii="Arial" w:cs="Arial" w:eastAsia="Arial" w:hAnsi="Arial"/>
          <w:sz w:val="15"/>
          <w:szCs w:val="15"/>
          <w:color w:val="auto"/>
        </w:rPr>
        <w:t xml:space="preserve">, an amendment to FASB ASC subtopic 985-605, </w:t>
      </w:r>
      <w:r>
        <w:rPr>
          <w:rFonts w:ascii="Arial" w:cs="Arial" w:eastAsia="Arial" w:hAnsi="Arial"/>
          <w:sz w:val="15"/>
          <w:szCs w:val="15"/>
          <w:i w:val="1"/>
          <w:iCs w:val="1"/>
          <w:color w:val="auto"/>
        </w:rPr>
        <w:t>Software — Revenue Recognition</w:t>
      </w:r>
      <w:r>
        <w:rPr>
          <w:rFonts w:ascii="Arial" w:cs="Arial" w:eastAsia="Arial" w:hAnsi="Arial"/>
          <w:sz w:val="15"/>
          <w:szCs w:val="15"/>
          <w:color w:val="auto"/>
        </w:rPr>
        <w:t xml:space="preserve"> (the “Updates”). The Updates provide guidance on arrangements that include software elements, including tangible products that have software components that are essential to the functionality of the tangible product and will no longer be within the scope of the software revenue recognition guidance, and software-enabled products that will now be subject to other relevant revenue recognition guidance. The Updates provide authoritative guidance on revenue arrangements with multiple deliverables that are outside the scope of the software revenue recognition guidance. Under the new guidance, when vendor specific objective evidence or third party evidence of fair value for deliverables in an arrangement cannot be determined, a best estimate of the selling price is required to separate deliverables and allocate arrangement consideration using the relative selling price method. The Updates also include new disclosure requirements on how the application of the relative selling price method affects the timing and amount of revenue recognition. The Updates must be adopted in the same period using the same transition method and are effective prospectively, with retrospective adoption permitted, for revenue arrangements entered into or materially modified in fiscal years beginning on or after June 15, 2010. Early adoption is also permitted; however, early adoption during an interim period requires retrospective application from the beginning of the fiscal year. The Company will adopt the guidance on April 3, 2011, the first day of fiscal year 2012, and is currently assessing the possible impact of this guidance on its financial position and results of operations.</w:t>
      </w:r>
    </w:p>
    <w:p>
      <w:pPr>
        <w:spacing w:after="0" w:line="52" w:lineRule="exact"/>
        <w:rPr>
          <w:sz w:val="20"/>
          <w:szCs w:val="20"/>
          <w:color w:val="auto"/>
        </w:rPr>
      </w:pPr>
    </w:p>
    <w:p>
      <w:pPr>
        <w:ind w:right="80"/>
        <w:spacing w:after="0" w:line="309" w:lineRule="auto"/>
        <w:rPr>
          <w:sz w:val="20"/>
          <w:szCs w:val="20"/>
          <w:color w:val="auto"/>
        </w:rPr>
      </w:pPr>
      <w:r>
        <w:rPr>
          <w:rFonts w:ascii="Arial" w:cs="Arial" w:eastAsia="Arial" w:hAnsi="Arial"/>
          <w:sz w:val="15"/>
          <w:szCs w:val="15"/>
          <w:color w:val="auto"/>
        </w:rPr>
        <w:t xml:space="preserve">In December 2009, the FASB issued Accounting Standards Update No. 2009-17, </w:t>
      </w:r>
      <w:r>
        <w:rPr>
          <w:rFonts w:ascii="Arial" w:cs="Arial" w:eastAsia="Arial" w:hAnsi="Arial"/>
          <w:sz w:val="15"/>
          <w:szCs w:val="15"/>
          <w:i w:val="1"/>
          <w:iCs w:val="1"/>
          <w:color w:val="auto"/>
        </w:rPr>
        <w:t>Improvements to Financial Reporting by Enterprises Involved with Variable</w:t>
      </w:r>
      <w:r>
        <w:rPr>
          <w:rFonts w:ascii="Arial" w:cs="Arial" w:eastAsia="Arial" w:hAnsi="Arial"/>
          <w:sz w:val="15"/>
          <w:szCs w:val="15"/>
          <w:color w:val="auto"/>
        </w:rPr>
        <w:t xml:space="preserve"> </w:t>
      </w:r>
      <w:r>
        <w:rPr>
          <w:rFonts w:ascii="Arial" w:cs="Arial" w:eastAsia="Arial" w:hAnsi="Arial"/>
          <w:sz w:val="15"/>
          <w:szCs w:val="15"/>
          <w:i w:val="1"/>
          <w:iCs w:val="1"/>
          <w:color w:val="auto"/>
        </w:rPr>
        <w:t>Interest Entities</w:t>
      </w:r>
      <w:r>
        <w:rPr>
          <w:rFonts w:ascii="Arial" w:cs="Arial" w:eastAsia="Arial" w:hAnsi="Arial"/>
          <w:sz w:val="15"/>
          <w:szCs w:val="15"/>
          <w:color w:val="auto"/>
        </w:rPr>
        <w:t>, an amendment to FASB ASC Topic 810,</w:t>
      </w:r>
      <w:r>
        <w:rPr>
          <w:rFonts w:ascii="Arial" w:cs="Arial" w:eastAsia="Arial" w:hAnsi="Arial"/>
          <w:sz w:val="15"/>
          <w:szCs w:val="15"/>
          <w:i w:val="1"/>
          <w:iCs w:val="1"/>
          <w:color w:val="auto"/>
        </w:rPr>
        <w:t xml:space="preserve"> Consolidations</w:t>
      </w:r>
      <w:r>
        <w:rPr>
          <w:rFonts w:ascii="Arial" w:cs="Arial" w:eastAsia="Arial" w:hAnsi="Arial"/>
          <w:sz w:val="15"/>
          <w:szCs w:val="15"/>
          <w:color w:val="auto"/>
        </w:rPr>
        <w:t>. ASU No. 2009-17 requires an enterprise to perform an analysis to determine whether</w:t>
      </w:r>
      <w:r>
        <w:rPr>
          <w:rFonts w:ascii="Arial" w:cs="Arial" w:eastAsia="Arial" w:hAnsi="Arial"/>
          <w:sz w:val="15"/>
          <w:szCs w:val="15"/>
          <w:i w:val="1"/>
          <w:iCs w:val="1"/>
          <w:color w:val="auto"/>
        </w:rPr>
        <w:t xml:space="preserve"> </w:t>
      </w:r>
      <w:r>
        <w:rPr>
          <w:rFonts w:ascii="Arial" w:cs="Arial" w:eastAsia="Arial" w:hAnsi="Arial"/>
          <w:sz w:val="15"/>
          <w:szCs w:val="15"/>
          <w:color w:val="auto"/>
        </w:rPr>
        <w:t>the enterprise’s variable interest or interests give it a controlling financial interest in a variable interest entity. Additionally, an enterprise is required to assess whether it has an implicit financial responsibility to ensure that a variable interest entity operates as designed when determining whether it has the power to direct the activities of the variable interest entity that most significantly impact the entity’s economic performance. The update became effective for our fiscal year 2011 and did not have an impact on our consolidated financial statements for the first nine months ended January 1, 2011.</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 (“EPS”)</w:t>
      </w:r>
    </w:p>
    <w:p>
      <w:pPr>
        <w:spacing w:after="0" w:line="117" w:lineRule="exact"/>
        <w:rPr>
          <w:sz w:val="20"/>
          <w:szCs w:val="20"/>
          <w:color w:val="auto"/>
        </w:rPr>
      </w:pPr>
    </w:p>
    <w:p>
      <w:pPr>
        <w:ind w:right="620"/>
        <w:spacing w:after="0" w:line="366" w:lineRule="auto"/>
        <w:rPr>
          <w:sz w:val="20"/>
          <w:szCs w:val="20"/>
          <w:color w:val="auto"/>
        </w:rPr>
      </w:pPr>
      <w:r>
        <w:rPr>
          <w:rFonts w:ascii="Arial" w:cs="Arial" w:eastAsia="Arial" w:hAnsi="Arial"/>
          <w:sz w:val="15"/>
          <w:szCs w:val="15"/>
          <w:color w:val="auto"/>
        </w:rPr>
        <w:t>The following table provides a reconciliation of the numerators and denominators of the basic and diluted earnings per share computations. Basic EPS is computed by dividing net income by weighted average shares outstanding. Diluted EPS includes the effect of potentially dilutive common shares.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left="275"/>
              <w:spacing w:after="0"/>
              <w:rPr>
                <w:sz w:val="20"/>
                <w:szCs w:val="20"/>
                <w:color w:val="auto"/>
              </w:rPr>
            </w:pPr>
            <w:r>
              <w:rPr>
                <w:rFonts w:ascii="Arial" w:cs="Arial" w:eastAsia="Arial" w:hAnsi="Arial"/>
                <w:sz w:val="14"/>
                <w:szCs w:val="14"/>
                <w:color w:val="auto"/>
                <w:w w:val="91"/>
              </w:rPr>
              <w:t>For the Three Months Ended</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tcBorders>
              <w:bottom w:val="single" w:sz="8" w:color="auto"/>
            </w:tcBorders>
            <w:gridSpan w:val="4"/>
          </w:tcPr>
          <w:p>
            <w:pPr>
              <w:spacing w:after="0" w:line="139" w:lineRule="exact"/>
              <w:rPr>
                <w:sz w:val="20"/>
                <w:szCs w:val="20"/>
                <w:color w:val="auto"/>
              </w:rPr>
            </w:pPr>
            <w:r>
              <w:rPr>
                <w:rFonts w:ascii="Arial" w:cs="Arial" w:eastAsia="Arial" w:hAnsi="Arial"/>
                <w:sz w:val="14"/>
                <w:szCs w:val="14"/>
                <w:color w:val="auto"/>
              </w:rPr>
              <w:t>January 1, 2011</w:t>
            </w:r>
          </w:p>
        </w:tc>
        <w:tc>
          <w:tcPr>
            <w:tcW w:w="1120" w:type="dxa"/>
            <w:vAlign w:val="bottom"/>
            <w:tcBorders>
              <w:bottom w:val="single" w:sz="8" w:color="auto"/>
            </w:tcBorders>
            <w:gridSpan w:val="2"/>
          </w:tcPr>
          <w:p>
            <w:pPr>
              <w:spacing w:after="0" w:line="139" w:lineRule="exact"/>
              <w:rPr>
                <w:sz w:val="20"/>
                <w:szCs w:val="20"/>
                <w:color w:val="auto"/>
              </w:rPr>
            </w:pPr>
            <w:r>
              <w:rPr>
                <w:rFonts w:ascii="Arial" w:cs="Arial" w:eastAsia="Arial" w:hAnsi="Arial"/>
                <w:sz w:val="14"/>
                <w:szCs w:val="14"/>
                <w:color w:val="auto"/>
                <w:w w:val="89"/>
              </w:rPr>
              <w:t>December 26,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gridSpan w:val="5"/>
          </w:tcPr>
          <w:p>
            <w:pPr>
              <w:jc w:val="center"/>
              <w:ind w:right="72"/>
              <w:spacing w:after="0" w:line="139" w:lineRule="exact"/>
              <w:rPr>
                <w:sz w:val="20"/>
                <w:szCs w:val="20"/>
                <w:color w:val="auto"/>
              </w:rPr>
            </w:pPr>
            <w:r>
              <w:rPr>
                <w:rFonts w:ascii="Arial" w:cs="Arial" w:eastAsia="Arial" w:hAnsi="Arial"/>
                <w:sz w:val="14"/>
                <w:szCs w:val="14"/>
                <w:color w:val="auto"/>
                <w:w w:val="89"/>
              </w:rPr>
              <w:t>(in thousands, except per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19,734</w:t>
            </w:r>
          </w:p>
        </w:tc>
        <w:tc>
          <w:tcPr>
            <w:tcW w:w="74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18,286</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8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24,973</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560" w:type="dxa"/>
            <w:vAlign w:val="bottom"/>
            <w:gridSpan w:val="2"/>
          </w:tcPr>
          <w:p>
            <w:pPr>
              <w:spacing w:after="0"/>
              <w:rPr>
                <w:sz w:val="20"/>
                <w:szCs w:val="20"/>
                <w:color w:val="auto"/>
              </w:rPr>
            </w:pPr>
            <w:r>
              <w:rPr>
                <w:rFonts w:ascii="Arial" w:cs="Arial" w:eastAsia="Arial" w:hAnsi="Arial"/>
                <w:sz w:val="18"/>
                <w:szCs w:val="18"/>
                <w:color w:val="auto"/>
              </w:rPr>
              <w:t>Basic income per share</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0.79</w:t>
            </w:r>
          </w:p>
        </w:tc>
        <w:tc>
          <w:tcPr>
            <w:tcW w:w="7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8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19,734</w:t>
            </w:r>
          </w:p>
        </w:tc>
        <w:tc>
          <w:tcPr>
            <w:tcW w:w="74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18,286</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8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24,973</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25,289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Net effect of common stock equivalents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25,517</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25,907</w:t>
            </w:r>
          </w:p>
        </w:tc>
        <w:tc>
          <w:tcPr>
            <w:tcW w:w="0" w:type="dxa"/>
            <w:vAlign w:val="bottom"/>
          </w:tcPr>
          <w:p>
            <w:pPr>
              <w:spacing w:after="0"/>
              <w:rPr>
                <w:sz w:val="1"/>
                <w:szCs w:val="1"/>
                <w:color w:val="auto"/>
              </w:rPr>
            </w:pPr>
          </w:p>
        </w:tc>
      </w:tr>
      <w:tr>
        <w:trPr>
          <w:trHeight w:val="424"/>
        </w:trPr>
        <w:tc>
          <w:tcPr>
            <w:tcW w:w="8560" w:type="dxa"/>
            <w:vAlign w:val="bottom"/>
            <w:gridSpan w:val="2"/>
          </w:tcPr>
          <w:p>
            <w:pPr>
              <w:spacing w:after="0"/>
              <w:rPr>
                <w:sz w:val="20"/>
                <w:szCs w:val="20"/>
                <w:color w:val="auto"/>
              </w:rPr>
            </w:pPr>
            <w:r>
              <w:rPr>
                <w:rFonts w:ascii="Arial" w:cs="Arial" w:eastAsia="Arial" w:hAnsi="Arial"/>
                <w:sz w:val="18"/>
                <w:szCs w:val="18"/>
                <w:color w:val="auto"/>
              </w:rPr>
              <w:t>Diluted income per share</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0.77</w:t>
            </w:r>
          </w:p>
        </w:tc>
        <w:tc>
          <w:tcPr>
            <w:tcW w:w="7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center"/>
              <w:ind w:left="255"/>
              <w:spacing w:after="0"/>
              <w:rPr>
                <w:sz w:val="20"/>
                <w:szCs w:val="20"/>
                <w:color w:val="auto"/>
              </w:rPr>
            </w:pPr>
            <w:r>
              <w:rPr>
                <w:rFonts w:ascii="Arial" w:cs="Arial" w:eastAsia="Arial" w:hAnsi="Arial"/>
                <w:sz w:val="14"/>
                <w:szCs w:val="14"/>
                <w:color w:val="auto"/>
                <w:w w:val="92"/>
              </w:rPr>
              <w:t>For the Nine Months Ended</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tcBorders>
              <w:bottom w:val="single" w:sz="8" w:color="auto"/>
            </w:tcBorders>
            <w:gridSpan w:val="4"/>
          </w:tcPr>
          <w:p>
            <w:pPr>
              <w:spacing w:after="0" w:line="139" w:lineRule="exact"/>
              <w:rPr>
                <w:sz w:val="20"/>
                <w:szCs w:val="20"/>
                <w:color w:val="auto"/>
              </w:rPr>
            </w:pPr>
            <w:r>
              <w:rPr>
                <w:rFonts w:ascii="Arial" w:cs="Arial" w:eastAsia="Arial" w:hAnsi="Arial"/>
                <w:sz w:val="14"/>
                <w:szCs w:val="14"/>
                <w:color w:val="auto"/>
              </w:rPr>
              <w:t>January 1, 2011</w:t>
            </w:r>
          </w:p>
        </w:tc>
        <w:tc>
          <w:tcPr>
            <w:tcW w:w="1120" w:type="dxa"/>
            <w:vAlign w:val="bottom"/>
            <w:tcBorders>
              <w:bottom w:val="single" w:sz="8" w:color="auto"/>
            </w:tcBorders>
            <w:gridSpan w:val="2"/>
          </w:tcPr>
          <w:p>
            <w:pPr>
              <w:spacing w:after="0" w:line="139" w:lineRule="exact"/>
              <w:rPr>
                <w:sz w:val="20"/>
                <w:szCs w:val="20"/>
                <w:color w:val="auto"/>
              </w:rPr>
            </w:pPr>
            <w:r>
              <w:rPr>
                <w:rFonts w:ascii="Arial" w:cs="Arial" w:eastAsia="Arial" w:hAnsi="Arial"/>
                <w:sz w:val="14"/>
                <w:szCs w:val="14"/>
                <w:color w:val="auto"/>
                <w:w w:val="89"/>
              </w:rPr>
              <w:t>December 26,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gridSpan w:val="5"/>
          </w:tcPr>
          <w:p>
            <w:pPr>
              <w:jc w:val="center"/>
              <w:ind w:right="72"/>
              <w:spacing w:after="0" w:line="139" w:lineRule="exact"/>
              <w:rPr>
                <w:sz w:val="20"/>
                <w:szCs w:val="20"/>
                <w:color w:val="auto"/>
              </w:rPr>
            </w:pPr>
            <w:r>
              <w:rPr>
                <w:rFonts w:ascii="Arial" w:cs="Arial" w:eastAsia="Arial" w:hAnsi="Arial"/>
                <w:sz w:val="14"/>
                <w:szCs w:val="14"/>
                <w:color w:val="auto"/>
                <w:w w:val="89"/>
              </w:rPr>
              <w:t>(in thousands, except per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58,992</w:t>
            </w:r>
          </w:p>
        </w:tc>
        <w:tc>
          <w:tcPr>
            <w:tcW w:w="74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54,409</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8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24,933</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560" w:type="dxa"/>
            <w:vAlign w:val="bottom"/>
            <w:gridSpan w:val="2"/>
          </w:tcPr>
          <w:p>
            <w:pPr>
              <w:spacing w:after="0"/>
              <w:rPr>
                <w:sz w:val="20"/>
                <w:szCs w:val="20"/>
                <w:color w:val="auto"/>
              </w:rPr>
            </w:pPr>
            <w:r>
              <w:rPr>
                <w:rFonts w:ascii="Arial" w:cs="Arial" w:eastAsia="Arial" w:hAnsi="Arial"/>
                <w:sz w:val="18"/>
                <w:szCs w:val="18"/>
                <w:color w:val="auto"/>
              </w:rPr>
              <w:t>Basic income per share</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2.37</w:t>
            </w:r>
          </w:p>
        </w:tc>
        <w:tc>
          <w:tcPr>
            <w:tcW w:w="7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8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58,992</w:t>
            </w:r>
          </w:p>
        </w:tc>
        <w:tc>
          <w:tcPr>
            <w:tcW w:w="74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54,409</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8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24,933</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25,544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Net effect of common stock equivalents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25,477</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26,150</w:t>
            </w:r>
          </w:p>
        </w:tc>
        <w:tc>
          <w:tcPr>
            <w:tcW w:w="0" w:type="dxa"/>
            <w:vAlign w:val="bottom"/>
          </w:tcPr>
          <w:p>
            <w:pPr>
              <w:spacing w:after="0"/>
              <w:rPr>
                <w:sz w:val="1"/>
                <w:szCs w:val="1"/>
                <w:color w:val="auto"/>
              </w:rPr>
            </w:pPr>
          </w:p>
        </w:tc>
      </w:tr>
      <w:tr>
        <w:trPr>
          <w:trHeight w:val="424"/>
        </w:trPr>
        <w:tc>
          <w:tcPr>
            <w:tcW w:w="8560" w:type="dxa"/>
            <w:vAlign w:val="bottom"/>
            <w:gridSpan w:val="2"/>
          </w:tcPr>
          <w:p>
            <w:pPr>
              <w:spacing w:after="0"/>
              <w:rPr>
                <w:sz w:val="20"/>
                <w:szCs w:val="20"/>
                <w:color w:val="auto"/>
              </w:rPr>
            </w:pPr>
            <w:r>
              <w:rPr>
                <w:rFonts w:ascii="Arial" w:cs="Arial" w:eastAsia="Arial" w:hAnsi="Arial"/>
                <w:sz w:val="18"/>
                <w:szCs w:val="18"/>
                <w:color w:val="auto"/>
              </w:rPr>
              <w:t>Diluted income per share</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2.32</w:t>
            </w:r>
          </w:p>
        </w:tc>
        <w:tc>
          <w:tcPr>
            <w:tcW w:w="7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420"/>
        <w:spacing w:after="0" w:line="255" w:lineRule="auto"/>
        <w:rPr>
          <w:sz w:val="20"/>
          <w:szCs w:val="20"/>
          <w:color w:val="auto"/>
        </w:rPr>
      </w:pPr>
      <w:r>
        <w:rPr>
          <w:rFonts w:ascii="Arial" w:cs="Arial" w:eastAsia="Arial" w:hAnsi="Arial"/>
          <w:sz w:val="18"/>
          <w:szCs w:val="18"/>
          <w:color w:val="auto"/>
        </w:rPr>
        <w:t>Weighted average shares outstanding, assuming dilution, excludes the impact of 1.0 million and 1.1 million stock options for the third quarter and first nine months, respectively, of fiscal year 2011 and 0.8 million stock options for both the third quarter and the first nine months of fiscal year 2010 because these securities were anti-dilutive during the noted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11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Stock-based compensation expense of $8.1 million and $7.6 million was recognized for the nine months ended January 1, 2011 and December 26, 2009, respectively. The related income tax benefit recognized was $2.2 million and $2.3 million for the nine months ended January 1, 2011 and December 26, 2009, respectively. We recognize stock-based compensation on a straight line basis.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For a more detailed description of our stock-based compensation plans, see Note 11—Capital Stock to the Company’s consolidated financial statements included in our Annual Report on Form 10-K for the year ended April 3, 2010. Our stock-based compensation plans currently consist of stock options, restricted stock awards, restricted stock units and an employee stock purchase plan. Options become exercisable in the manner specified by the Compensation Committee of our Board of Directors. All options, restricted stock awards, and restricted stock units granted to employees in the nine months ended January 1, 2011 vest over a four year period of time and the options expire not more than 7 years from the date of grant.</w:t>
      </w:r>
    </w:p>
    <w:p>
      <w:pPr>
        <w:spacing w:after="0" w:line="46" w:lineRule="exact"/>
        <w:rPr>
          <w:sz w:val="20"/>
          <w:szCs w:val="20"/>
          <w:color w:val="auto"/>
        </w:rPr>
      </w:pPr>
    </w:p>
    <w:p>
      <w:pPr>
        <w:ind w:right="80"/>
        <w:spacing w:after="0" w:line="366" w:lineRule="auto"/>
        <w:rPr>
          <w:sz w:val="20"/>
          <w:szCs w:val="20"/>
          <w:color w:val="auto"/>
        </w:rPr>
      </w:pPr>
      <w:r>
        <w:rPr>
          <w:rFonts w:ascii="Arial" w:cs="Arial" w:eastAsia="Arial" w:hAnsi="Arial"/>
          <w:sz w:val="15"/>
          <w:szCs w:val="15"/>
          <w:color w:val="auto"/>
        </w:rPr>
        <w:t>Cash flows relating to the benefits of tax deductions in excess of compensation cost recognized are reported as a financing cash flow, rather than as an operating cash flow. This excess tax benefit was $1.2 million and $0.2 million for the three months ended January 1, 2011 and December 26, 2009, respectively.</w:t>
      </w:r>
    </w:p>
    <w:p>
      <w:pPr>
        <w:spacing w:after="0" w:line="4"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As of January 1, 2011 and December 26, 2009, there was $11.6 million and $10.9 million, respectively, of total unrecognized compensation cost related to non-vested stock options.</w:t>
      </w:r>
    </w:p>
    <w:p>
      <w:pPr>
        <w:spacing w:after="0" w:line="73" w:lineRule="exact"/>
        <w:rPr>
          <w:sz w:val="20"/>
          <w:szCs w:val="20"/>
          <w:color w:val="auto"/>
        </w:rPr>
      </w:pPr>
    </w:p>
    <w:p>
      <w:pPr>
        <w:ind w:right="760"/>
        <w:spacing w:after="0" w:line="265" w:lineRule="auto"/>
        <w:rPr>
          <w:sz w:val="20"/>
          <w:szCs w:val="20"/>
          <w:color w:val="auto"/>
        </w:rPr>
      </w:pPr>
      <w:r>
        <w:rPr>
          <w:rFonts w:ascii="Arial" w:cs="Arial" w:eastAsia="Arial" w:hAnsi="Arial"/>
          <w:sz w:val="18"/>
          <w:szCs w:val="18"/>
          <w:color w:val="auto"/>
        </w:rPr>
        <w:t>The weighted average fair value for our options granted in the first nine months of fiscal year 2011 and 2010 was $15.63 and $14.92, respectively. The assumptions utilized for estimating the fair value of option grants during the periods presented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380" w:type="dxa"/>
            <w:vAlign w:val="bottom"/>
          </w:tcPr>
          <w:p>
            <w:pPr>
              <w:spacing w:after="0"/>
              <w:rPr>
                <w:sz w:val="14"/>
                <w:szCs w:val="14"/>
                <w:color w:val="auto"/>
              </w:rPr>
            </w:pPr>
          </w:p>
        </w:tc>
        <w:tc>
          <w:tcPr>
            <w:tcW w:w="3040" w:type="dxa"/>
            <w:vAlign w:val="bottom"/>
            <w:tcBorders>
              <w:bottom w:val="single" w:sz="8" w:color="auto"/>
            </w:tcBorders>
            <w:gridSpan w:val="3"/>
          </w:tcPr>
          <w:p>
            <w:pPr>
              <w:jc w:val="right"/>
              <w:ind w:right="869"/>
              <w:spacing w:after="0"/>
              <w:rPr>
                <w:sz w:val="20"/>
                <w:szCs w:val="20"/>
                <w:color w:val="auto"/>
              </w:rPr>
            </w:pPr>
            <w:r>
              <w:rPr>
                <w:rFonts w:ascii="Arial" w:cs="Arial" w:eastAsia="Arial" w:hAnsi="Arial"/>
                <w:sz w:val="14"/>
                <w:szCs w:val="14"/>
                <w:color w:val="auto"/>
              </w:rPr>
              <w:t>Nine Months Ended</w:t>
            </w:r>
          </w:p>
        </w:tc>
      </w:tr>
      <w:tr>
        <w:trPr>
          <w:trHeight w:val="139"/>
        </w:trPr>
        <w:tc>
          <w:tcPr>
            <w:tcW w:w="8380" w:type="dxa"/>
            <w:vAlign w:val="bottom"/>
          </w:tcPr>
          <w:p>
            <w:pPr>
              <w:spacing w:after="0"/>
              <w:rPr>
                <w:sz w:val="12"/>
                <w:szCs w:val="12"/>
                <w:color w:val="auto"/>
              </w:rPr>
            </w:pPr>
          </w:p>
        </w:tc>
        <w:tc>
          <w:tcPr>
            <w:tcW w:w="1180" w:type="dxa"/>
            <w:vAlign w:val="bottom"/>
            <w:tcBorders>
              <w:bottom w:val="single" w:sz="8" w:color="auto"/>
            </w:tcBorders>
          </w:tcPr>
          <w:p>
            <w:pPr>
              <w:jc w:val="right"/>
              <w:ind w:right="58"/>
              <w:spacing w:after="0" w:line="139" w:lineRule="exact"/>
              <w:rPr>
                <w:sz w:val="20"/>
                <w:szCs w:val="20"/>
                <w:color w:val="auto"/>
              </w:rPr>
            </w:pPr>
            <w:r>
              <w:rPr>
                <w:rFonts w:ascii="Arial" w:cs="Arial" w:eastAsia="Arial" w:hAnsi="Arial"/>
                <w:sz w:val="14"/>
                <w:szCs w:val="14"/>
                <w:color w:val="auto"/>
              </w:rPr>
              <w:t>January 1, 2011</w:t>
            </w:r>
          </w:p>
        </w:tc>
        <w:tc>
          <w:tcPr>
            <w:tcW w:w="500" w:type="dxa"/>
            <w:vAlign w:val="bottom"/>
          </w:tcPr>
          <w:p>
            <w:pPr>
              <w:spacing w:after="0"/>
              <w:rPr>
                <w:sz w:val="12"/>
                <w:szCs w:val="12"/>
                <w:color w:val="auto"/>
              </w:rPr>
            </w:pPr>
          </w:p>
        </w:tc>
        <w:tc>
          <w:tcPr>
            <w:tcW w:w="1360" w:type="dxa"/>
            <w:vAlign w:val="bottom"/>
            <w:tcBorders>
              <w:bottom w:val="single" w:sz="8" w:color="auto"/>
            </w:tcBorders>
          </w:tcPr>
          <w:p>
            <w:pPr>
              <w:jc w:val="right"/>
              <w:ind w:right="49"/>
              <w:spacing w:after="0" w:line="139" w:lineRule="exact"/>
              <w:rPr>
                <w:sz w:val="20"/>
                <w:szCs w:val="20"/>
                <w:color w:val="auto"/>
              </w:rPr>
            </w:pPr>
            <w:r>
              <w:rPr>
                <w:rFonts w:ascii="Arial" w:cs="Arial" w:eastAsia="Arial" w:hAnsi="Arial"/>
                <w:sz w:val="14"/>
                <w:szCs w:val="14"/>
                <w:color w:val="auto"/>
                <w:w w:val="99"/>
              </w:rPr>
              <w:t>December 26, 2009</w:t>
            </w:r>
          </w:p>
        </w:tc>
      </w:tr>
      <w:tr>
        <w:trPr>
          <w:trHeight w:val="205"/>
        </w:trPr>
        <w:tc>
          <w:tcPr>
            <w:tcW w:w="83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Stock Options Black-Scholes assumptions (weighted average):</w:t>
            </w:r>
          </w:p>
        </w:tc>
        <w:tc>
          <w:tcPr>
            <w:tcW w:w="1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2"/>
        </w:trPr>
        <w:tc>
          <w:tcPr>
            <w:tcW w:w="8380" w:type="dxa"/>
            <w:vAlign w:val="bottom"/>
          </w:tcPr>
          <w:p>
            <w:pPr>
              <w:ind w:left="200"/>
              <w:spacing w:after="0"/>
              <w:rPr>
                <w:sz w:val="20"/>
                <w:szCs w:val="20"/>
                <w:color w:val="auto"/>
              </w:rPr>
            </w:pPr>
            <w:r>
              <w:rPr>
                <w:rFonts w:ascii="Arial" w:cs="Arial" w:eastAsia="Arial" w:hAnsi="Arial"/>
                <w:sz w:val="18"/>
                <w:szCs w:val="18"/>
                <w:color w:val="auto"/>
              </w:rPr>
              <w:t>Volatility</w:t>
            </w:r>
          </w:p>
        </w:tc>
        <w:tc>
          <w:tcPr>
            <w:tcW w:w="1180" w:type="dxa"/>
            <w:vAlign w:val="bottom"/>
          </w:tcPr>
          <w:p>
            <w:pPr>
              <w:jc w:val="right"/>
              <w:ind w:right="158"/>
              <w:spacing w:after="0"/>
              <w:rPr>
                <w:sz w:val="20"/>
                <w:szCs w:val="20"/>
                <w:color w:val="auto"/>
              </w:rPr>
            </w:pPr>
            <w:r>
              <w:rPr>
                <w:rFonts w:ascii="Arial" w:cs="Arial" w:eastAsia="Arial" w:hAnsi="Arial"/>
                <w:sz w:val="18"/>
                <w:szCs w:val="18"/>
                <w:color w:val="auto"/>
              </w:rPr>
              <w:t>27.67%</w:t>
            </w:r>
          </w:p>
        </w:tc>
        <w:tc>
          <w:tcPr>
            <w:tcW w:w="1860" w:type="dxa"/>
            <w:vAlign w:val="bottom"/>
            <w:gridSpan w:val="2"/>
          </w:tcPr>
          <w:p>
            <w:pPr>
              <w:jc w:val="right"/>
              <w:ind w:right="249"/>
              <w:spacing w:after="0"/>
              <w:rPr>
                <w:sz w:val="20"/>
                <w:szCs w:val="20"/>
                <w:color w:val="auto"/>
              </w:rPr>
            </w:pPr>
            <w:r>
              <w:rPr>
                <w:rFonts w:ascii="Arial" w:cs="Arial" w:eastAsia="Arial" w:hAnsi="Arial"/>
                <w:sz w:val="18"/>
                <w:szCs w:val="18"/>
                <w:color w:val="auto"/>
              </w:rPr>
              <w:t>28.34%</w:t>
            </w:r>
          </w:p>
        </w:tc>
      </w:tr>
      <w:tr>
        <w:trPr>
          <w:trHeight w:val="212"/>
        </w:trPr>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Expected life (years)</w:t>
            </w:r>
          </w:p>
        </w:tc>
        <w:tc>
          <w:tcPr>
            <w:tcW w:w="118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4.9</w:t>
            </w:r>
          </w:p>
        </w:tc>
        <w:tc>
          <w:tcPr>
            <w:tcW w:w="186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4.9</w:t>
            </w:r>
          </w:p>
        </w:tc>
      </w:tr>
      <w:tr>
        <w:trPr>
          <w:trHeight w:val="212"/>
        </w:trPr>
        <w:tc>
          <w:tcPr>
            <w:tcW w:w="8380" w:type="dxa"/>
            <w:vAlign w:val="bottom"/>
          </w:tcPr>
          <w:p>
            <w:pPr>
              <w:ind w:left="200"/>
              <w:spacing w:after="0"/>
              <w:rPr>
                <w:sz w:val="20"/>
                <w:szCs w:val="20"/>
                <w:color w:val="auto"/>
              </w:rPr>
            </w:pPr>
            <w:r>
              <w:rPr>
                <w:rFonts w:ascii="Arial" w:cs="Arial" w:eastAsia="Arial" w:hAnsi="Arial"/>
                <w:sz w:val="18"/>
                <w:szCs w:val="18"/>
                <w:color w:val="auto"/>
              </w:rPr>
              <w:t>Risk-free interest rate</w:t>
            </w:r>
          </w:p>
        </w:tc>
        <w:tc>
          <w:tcPr>
            <w:tcW w:w="1180" w:type="dxa"/>
            <w:vAlign w:val="bottom"/>
          </w:tcPr>
          <w:p>
            <w:pPr>
              <w:jc w:val="right"/>
              <w:ind w:right="158"/>
              <w:spacing w:after="0"/>
              <w:rPr>
                <w:sz w:val="20"/>
                <w:szCs w:val="20"/>
                <w:color w:val="auto"/>
              </w:rPr>
            </w:pPr>
            <w:r>
              <w:rPr>
                <w:rFonts w:ascii="Arial" w:cs="Arial" w:eastAsia="Arial" w:hAnsi="Arial"/>
                <w:sz w:val="18"/>
                <w:szCs w:val="18"/>
                <w:color w:val="auto"/>
              </w:rPr>
              <w:t>1.89%</w:t>
            </w:r>
          </w:p>
        </w:tc>
        <w:tc>
          <w:tcPr>
            <w:tcW w:w="1860" w:type="dxa"/>
            <w:vAlign w:val="bottom"/>
            <w:gridSpan w:val="2"/>
          </w:tcPr>
          <w:p>
            <w:pPr>
              <w:jc w:val="right"/>
              <w:ind w:right="249"/>
              <w:spacing w:after="0"/>
              <w:rPr>
                <w:sz w:val="20"/>
                <w:szCs w:val="20"/>
                <w:color w:val="auto"/>
              </w:rPr>
            </w:pPr>
            <w:r>
              <w:rPr>
                <w:rFonts w:ascii="Arial" w:cs="Arial" w:eastAsia="Arial" w:hAnsi="Arial"/>
                <w:sz w:val="18"/>
                <w:szCs w:val="18"/>
                <w:color w:val="auto"/>
              </w:rPr>
              <w:t>2.46%</w:t>
            </w:r>
          </w:p>
        </w:tc>
      </w:tr>
      <w:tr>
        <w:trPr>
          <w:trHeight w:val="212"/>
        </w:trPr>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yield</w:t>
            </w:r>
          </w:p>
        </w:tc>
        <w:tc>
          <w:tcPr>
            <w:tcW w:w="118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0.00%</w:t>
            </w:r>
          </w:p>
        </w:tc>
        <w:tc>
          <w:tcPr>
            <w:tcW w:w="186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0.00%</w:t>
            </w:r>
          </w:p>
        </w:tc>
      </w:tr>
    </w:tbl>
    <w:p>
      <w:pPr>
        <w:spacing w:after="0" w:line="94" w:lineRule="exact"/>
        <w:rPr>
          <w:sz w:val="20"/>
          <w:szCs w:val="20"/>
          <w:color w:val="auto"/>
        </w:rPr>
      </w:pPr>
    </w:p>
    <w:p>
      <w:pPr>
        <w:ind w:right="20"/>
        <w:spacing w:after="0" w:line="330" w:lineRule="auto"/>
        <w:rPr>
          <w:sz w:val="20"/>
          <w:szCs w:val="20"/>
          <w:color w:val="auto"/>
        </w:rPr>
      </w:pPr>
      <w:r>
        <w:rPr>
          <w:rFonts w:ascii="Arial" w:cs="Arial" w:eastAsia="Arial" w:hAnsi="Arial"/>
          <w:sz w:val="15"/>
          <w:szCs w:val="15"/>
          <w:color w:val="auto"/>
        </w:rPr>
        <w:t>As of January 1, 2011 and December 26, 2009, there was less than $0.1 million and $0.1 million, respectively, of total unrecognized compensation cost related to non vested restricted stock awards. That cost is expected to be recognized over a weighted average period of 0.3 years and 1.4 years, respectively. The total fair value of restricted stock awards vested was $0.1 million for both the nine months ended January 1, 2011 and December 26, 2009.</w:t>
      </w:r>
    </w:p>
    <w:p>
      <w:pPr>
        <w:spacing w:after="0" w:line="31" w:lineRule="exact"/>
        <w:rPr>
          <w:sz w:val="20"/>
          <w:szCs w:val="20"/>
          <w:color w:val="auto"/>
        </w:rPr>
      </w:pPr>
    </w:p>
    <w:p>
      <w:pPr>
        <w:ind w:right="180"/>
        <w:spacing w:after="0" w:line="330" w:lineRule="auto"/>
        <w:rPr>
          <w:sz w:val="20"/>
          <w:szCs w:val="20"/>
          <w:color w:val="auto"/>
        </w:rPr>
      </w:pPr>
      <w:r>
        <w:rPr>
          <w:rFonts w:ascii="Arial" w:cs="Arial" w:eastAsia="Arial" w:hAnsi="Arial"/>
          <w:sz w:val="15"/>
          <w:szCs w:val="15"/>
          <w:color w:val="auto"/>
        </w:rPr>
        <w:t>As of January 1, 2011 and December 26, 2009, there was $5.5 million and $4.5 million, respectively, of total unrecognized compensation cost related to non vested restricted stock units. That cost is expected to be recognized over a weighted average period of 2.7 years and 2.6 years, respectively. The total fair value of shares fully vested was $1.8 million for the nine months ended January 1, 2011 and $1.5 million for the same period ended December 26, 2009.</w:t>
      </w:r>
    </w:p>
    <w:p>
      <w:pPr>
        <w:spacing w:after="0" w:line="31" w:lineRule="exact"/>
        <w:rPr>
          <w:sz w:val="20"/>
          <w:szCs w:val="20"/>
          <w:color w:val="auto"/>
        </w:rPr>
      </w:pPr>
    </w:p>
    <w:p>
      <w:pPr>
        <w:ind w:right="600"/>
        <w:spacing w:after="0" w:line="366" w:lineRule="auto"/>
        <w:rPr>
          <w:sz w:val="20"/>
          <w:szCs w:val="20"/>
          <w:color w:val="auto"/>
        </w:rPr>
      </w:pPr>
      <w:r>
        <w:rPr>
          <w:rFonts w:ascii="Arial" w:cs="Arial" w:eastAsia="Arial" w:hAnsi="Arial"/>
          <w:sz w:val="15"/>
          <w:szCs w:val="15"/>
          <w:color w:val="auto"/>
        </w:rPr>
        <w:t>As of January 1, 2011 and December 26, 2009, there was $0.3 million and $0.2 million, respectively, of total unrecognized compensation expense, net of estimated forfeitures, related to the Employee Stock Purchase Plan (“ESPP”) shares. That cost is recognized over the remaining purchase period.</w:t>
      </w:r>
    </w:p>
    <w:p>
      <w:pPr>
        <w:spacing w:after="0" w:line="4"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During the nine months ended January 1, 2011 and December 26, 2009, there were 78,107 and 66,100 shares, respectively, purchased under the ESPP. They were purchased at $46.04 and $44.01 per share, respectively, under the ESPP.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ACCOUNTING FOR SHIPPING AND HANDLING COSTS</w:t>
      </w:r>
    </w:p>
    <w:p>
      <w:pPr>
        <w:spacing w:after="0" w:line="11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Shipping and handling costs are included in cost of goods sold with the exception of $2.4 million and $7.0 million for the third quarter and nine months ended January 1, 2011, respectively, and $3.0 million and $8.8 million for the same periods ended December 26, 2009 that are included in selling, general, and administrative expenses. Freight is classified in cost of goods sold when the customer is charged for freight and in selling, general and administration when the customer is not explicitly charged for freight.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PRODUCT WARRANTIES</w:t>
      </w:r>
    </w:p>
    <w:p>
      <w:pPr>
        <w:spacing w:after="0" w:line="117"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We generally provide a warranty on parts and labor for one year after the sale and installation of each device. We also warrant our disposables products through their use or expiration. We estimate our potential warranty expense based on our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historical warranty experience, and we periodically assess the adequacy of our warranty accrual and make adjustments as necessary.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left="135"/>
              <w:spacing w:after="0"/>
              <w:rPr>
                <w:sz w:val="20"/>
                <w:szCs w:val="20"/>
                <w:color w:val="auto"/>
              </w:rPr>
            </w:pPr>
            <w:r>
              <w:rPr>
                <w:rFonts w:ascii="Arial" w:cs="Arial" w:eastAsia="Arial" w:hAnsi="Arial"/>
                <w:sz w:val="14"/>
                <w:szCs w:val="14"/>
                <w:b w:val="1"/>
                <w:bCs w:val="1"/>
                <w:color w:val="auto"/>
                <w:w w:val="89"/>
              </w:rPr>
              <w:t>For the three months ended</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8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Borders>
              <w:bottom w:val="single" w:sz="8" w:color="auto"/>
            </w:tcBorders>
            <w:gridSpan w:val="4"/>
          </w:tcPr>
          <w:p>
            <w:pPr>
              <w:spacing w:after="0" w:line="139" w:lineRule="exact"/>
              <w:rPr>
                <w:sz w:val="20"/>
                <w:szCs w:val="20"/>
                <w:color w:val="auto"/>
              </w:rPr>
            </w:pPr>
            <w:r>
              <w:rPr>
                <w:rFonts w:ascii="Arial" w:cs="Arial" w:eastAsia="Arial" w:hAnsi="Arial"/>
                <w:sz w:val="14"/>
                <w:szCs w:val="14"/>
                <w:color w:val="auto"/>
              </w:rPr>
              <w:t>January 1, 2011</w:t>
            </w:r>
          </w:p>
        </w:tc>
        <w:tc>
          <w:tcPr>
            <w:tcW w:w="1120" w:type="dxa"/>
            <w:vAlign w:val="bottom"/>
            <w:tcBorders>
              <w:bottom w:val="single" w:sz="8" w:color="auto"/>
            </w:tcBorders>
            <w:gridSpan w:val="2"/>
          </w:tcPr>
          <w:p>
            <w:pPr>
              <w:spacing w:after="0" w:line="139" w:lineRule="exact"/>
              <w:rPr>
                <w:sz w:val="20"/>
                <w:szCs w:val="20"/>
                <w:color w:val="auto"/>
              </w:rPr>
            </w:pPr>
            <w:r>
              <w:rPr>
                <w:rFonts w:ascii="Arial" w:cs="Arial" w:eastAsia="Arial" w:hAnsi="Arial"/>
                <w:sz w:val="14"/>
                <w:szCs w:val="14"/>
                <w:color w:val="auto"/>
                <w:w w:val="89"/>
              </w:rPr>
              <w:t>December 26,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2"/>
          </w:tcPr>
          <w:p>
            <w:pPr>
              <w:jc w:val="center"/>
              <w:ind w:right="358"/>
              <w:spacing w:after="0" w:line="139" w:lineRule="exact"/>
              <w:rPr>
                <w:sz w:val="20"/>
                <w:szCs w:val="20"/>
                <w:color w:val="auto"/>
              </w:rPr>
            </w:pPr>
            <w:r>
              <w:rPr>
                <w:rFonts w:ascii="Arial" w:cs="Arial" w:eastAsia="Arial" w:hAnsi="Arial"/>
                <w:sz w:val="14"/>
                <w:szCs w:val="14"/>
                <w:color w:val="auto"/>
                <w:w w:val="92"/>
              </w:rPr>
              <w:t>(in thousands)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Warranty accrual as of the beginning of the period</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662</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12"/>
        </w:trPr>
        <w:tc>
          <w:tcPr>
            <w:tcW w:w="8660" w:type="dxa"/>
            <w:vAlign w:val="bottom"/>
          </w:tcPr>
          <w:p>
            <w:pPr>
              <w:spacing w:after="0"/>
              <w:rPr>
                <w:sz w:val="20"/>
                <w:szCs w:val="20"/>
                <w:color w:val="auto"/>
              </w:rPr>
            </w:pPr>
            <w:r>
              <w:rPr>
                <w:rFonts w:ascii="Arial" w:cs="Arial" w:eastAsia="Arial" w:hAnsi="Arial"/>
                <w:sz w:val="18"/>
                <w:szCs w:val="18"/>
                <w:color w:val="auto"/>
              </w:rPr>
              <w:t>Warranty provision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Warranty spending</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9"/>
              <w:spacing w:after="0"/>
              <w:rPr>
                <w:sz w:val="20"/>
                <w:szCs w:val="20"/>
                <w:color w:val="auto"/>
              </w:rPr>
            </w:pPr>
            <w:r>
              <w:rPr>
                <w:rFonts w:ascii="Arial" w:cs="Arial" w:eastAsia="Arial" w:hAnsi="Arial"/>
                <w:sz w:val="18"/>
                <w:szCs w:val="18"/>
                <w:color w:val="auto"/>
              </w:rPr>
              <w:t>(248)</w:t>
            </w:r>
          </w:p>
        </w:tc>
        <w:tc>
          <w:tcPr>
            <w:tcW w:w="6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8"/>
                <w:szCs w:val="18"/>
                <w:color w:val="auto"/>
              </w:rPr>
              <w:t>Warranty accrual as of the end of the period</w:t>
            </w: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660" w:type="dxa"/>
            <w:vAlign w:val="bottom"/>
            <w:vMerge w:val="continue"/>
          </w:tcPr>
          <w:p>
            <w:pPr>
              <w:spacing w:after="0"/>
              <w:rPr>
                <w:sz w:val="18"/>
                <w:szCs w:val="18"/>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601</w:t>
            </w:r>
          </w:p>
        </w:tc>
        <w:tc>
          <w:tcPr>
            <w:tcW w:w="6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center"/>
              <w:ind w:left="135"/>
              <w:spacing w:after="0"/>
              <w:rPr>
                <w:sz w:val="20"/>
                <w:szCs w:val="20"/>
                <w:color w:val="auto"/>
              </w:rPr>
            </w:pPr>
            <w:r>
              <w:rPr>
                <w:rFonts w:ascii="Arial" w:cs="Arial" w:eastAsia="Arial" w:hAnsi="Arial"/>
                <w:sz w:val="14"/>
                <w:szCs w:val="14"/>
                <w:b w:val="1"/>
                <w:bCs w:val="1"/>
                <w:color w:val="auto"/>
                <w:w w:val="90"/>
              </w:rPr>
              <w:t>For the nine months ended</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8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Borders>
              <w:bottom w:val="single" w:sz="8" w:color="auto"/>
            </w:tcBorders>
            <w:gridSpan w:val="4"/>
          </w:tcPr>
          <w:p>
            <w:pPr>
              <w:spacing w:after="0" w:line="139" w:lineRule="exact"/>
              <w:rPr>
                <w:sz w:val="20"/>
                <w:szCs w:val="20"/>
                <w:color w:val="auto"/>
              </w:rPr>
            </w:pPr>
            <w:r>
              <w:rPr>
                <w:rFonts w:ascii="Arial" w:cs="Arial" w:eastAsia="Arial" w:hAnsi="Arial"/>
                <w:sz w:val="14"/>
                <w:szCs w:val="14"/>
                <w:color w:val="auto"/>
              </w:rPr>
              <w:t>January 1, 2011</w:t>
            </w:r>
          </w:p>
        </w:tc>
        <w:tc>
          <w:tcPr>
            <w:tcW w:w="1120" w:type="dxa"/>
            <w:vAlign w:val="bottom"/>
            <w:tcBorders>
              <w:bottom w:val="single" w:sz="8" w:color="auto"/>
            </w:tcBorders>
            <w:gridSpan w:val="2"/>
          </w:tcPr>
          <w:p>
            <w:pPr>
              <w:spacing w:after="0" w:line="139" w:lineRule="exact"/>
              <w:rPr>
                <w:sz w:val="20"/>
                <w:szCs w:val="20"/>
                <w:color w:val="auto"/>
              </w:rPr>
            </w:pPr>
            <w:r>
              <w:rPr>
                <w:rFonts w:ascii="Arial" w:cs="Arial" w:eastAsia="Arial" w:hAnsi="Arial"/>
                <w:sz w:val="14"/>
                <w:szCs w:val="14"/>
                <w:color w:val="auto"/>
                <w:w w:val="89"/>
              </w:rPr>
              <w:t>December 26,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2"/>
          </w:tcPr>
          <w:p>
            <w:pPr>
              <w:jc w:val="center"/>
              <w:ind w:right="358"/>
              <w:spacing w:after="0" w:line="139" w:lineRule="exact"/>
              <w:rPr>
                <w:sz w:val="20"/>
                <w:szCs w:val="20"/>
                <w:color w:val="auto"/>
              </w:rPr>
            </w:pPr>
            <w:r>
              <w:rPr>
                <w:rFonts w:ascii="Arial" w:cs="Arial" w:eastAsia="Arial" w:hAnsi="Arial"/>
                <w:sz w:val="14"/>
                <w:szCs w:val="14"/>
                <w:color w:val="auto"/>
                <w:w w:val="92"/>
              </w:rPr>
              <w:t>(in thousands)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Warranty accrual as of the beginning of the period</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903</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12"/>
        </w:trPr>
        <w:tc>
          <w:tcPr>
            <w:tcW w:w="8660" w:type="dxa"/>
            <w:vAlign w:val="bottom"/>
          </w:tcPr>
          <w:p>
            <w:pPr>
              <w:spacing w:after="0"/>
              <w:rPr>
                <w:sz w:val="20"/>
                <w:szCs w:val="20"/>
                <w:color w:val="auto"/>
              </w:rPr>
            </w:pPr>
            <w:r>
              <w:rPr>
                <w:rFonts w:ascii="Arial" w:cs="Arial" w:eastAsia="Arial" w:hAnsi="Arial"/>
                <w:sz w:val="18"/>
                <w:szCs w:val="18"/>
                <w:color w:val="auto"/>
              </w:rPr>
              <w:t>Warranty provision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886</w:t>
            </w: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Warranty spending</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9"/>
              <w:spacing w:after="0"/>
              <w:rPr>
                <w:sz w:val="20"/>
                <w:szCs w:val="20"/>
                <w:color w:val="auto"/>
              </w:rPr>
            </w:pPr>
            <w:r>
              <w:rPr>
                <w:rFonts w:ascii="Arial" w:cs="Arial" w:eastAsia="Arial" w:hAnsi="Arial"/>
                <w:sz w:val="18"/>
                <w:szCs w:val="18"/>
                <w:color w:val="auto"/>
              </w:rPr>
              <w:t>(1,188)</w:t>
            </w:r>
          </w:p>
        </w:tc>
        <w:tc>
          <w:tcPr>
            <w:tcW w:w="6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(1,548)</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8"/>
                <w:szCs w:val="18"/>
                <w:color w:val="auto"/>
              </w:rPr>
              <w:t>Warranty accrual as of the end of the period</w:t>
            </w: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660" w:type="dxa"/>
            <w:vAlign w:val="bottom"/>
            <w:vMerge w:val="continue"/>
          </w:tcPr>
          <w:p>
            <w:pPr>
              <w:spacing w:after="0"/>
              <w:rPr>
                <w:sz w:val="18"/>
                <w:szCs w:val="18"/>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601</w:t>
            </w:r>
          </w:p>
        </w:tc>
        <w:tc>
          <w:tcPr>
            <w:tcW w:w="6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COMPREHENSIVE INCOME</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Comprehensive income is the total of net income and all other non-owner changes in stockholders’ equity. Other non-owner changes are primarily foreign currency translation, the change in our net minimum pension liability, and the changes in fair value of the effective portion of our outstanding cash flow hedge contracts.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other comprehensive income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5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center"/>
              <w:ind w:left="154"/>
              <w:spacing w:after="0"/>
              <w:rPr>
                <w:sz w:val="20"/>
                <w:szCs w:val="20"/>
                <w:color w:val="auto"/>
              </w:rPr>
            </w:pPr>
            <w:r>
              <w:rPr>
                <w:rFonts w:ascii="Arial" w:cs="Arial" w:eastAsia="Arial" w:hAnsi="Arial"/>
                <w:sz w:val="14"/>
                <w:szCs w:val="14"/>
                <w:b w:val="1"/>
                <w:bCs w:val="1"/>
                <w:color w:val="auto"/>
                <w:w w:val="89"/>
              </w:rPr>
              <w:t>For the three months ended</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8580" w:type="dxa"/>
            <w:vAlign w:val="bottom"/>
            <w:gridSpan w:val="3"/>
            <w:vMerge w:val="continue"/>
          </w:tcPr>
          <w:p>
            <w:pPr>
              <w:spacing w:after="0"/>
              <w:rPr>
                <w:sz w:val="12"/>
                <w:szCs w:val="12"/>
                <w:color w:val="auto"/>
              </w:rPr>
            </w:pPr>
          </w:p>
        </w:tc>
        <w:tc>
          <w:tcPr>
            <w:tcW w:w="160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January 1, 2011</w:t>
            </w:r>
          </w:p>
        </w:tc>
        <w:tc>
          <w:tcPr>
            <w:tcW w:w="114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w w:val="88"/>
              </w:rPr>
              <w:t>December 26,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4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19,734</w:t>
            </w:r>
          </w:p>
        </w:tc>
        <w:tc>
          <w:tcPr>
            <w:tcW w:w="64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0"/>
              </w:rPr>
              <w:t>18,286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8580" w:type="dxa"/>
            <w:vAlign w:val="bottom"/>
            <w:gridSpan w:val="3"/>
          </w:tcPr>
          <w:p>
            <w:pPr>
              <w:spacing w:after="0"/>
              <w:rPr>
                <w:sz w:val="20"/>
                <w:szCs w:val="20"/>
                <w:color w:val="auto"/>
              </w:rPr>
            </w:pPr>
            <w:r>
              <w:rPr>
                <w:rFonts w:ascii="Arial" w:cs="Arial" w:eastAsia="Arial" w:hAnsi="Arial"/>
                <w:sz w:val="18"/>
                <w:szCs w:val="18"/>
                <w:color w:val="auto"/>
              </w:rPr>
              <w:t>Other comprehensive income:</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minimum pension liability</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w:t>
            </w:r>
          </w:p>
        </w:tc>
        <w:tc>
          <w:tcPr>
            <w:tcW w:w="6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(345)</w:t>
            </w:r>
          </w:p>
        </w:tc>
        <w:tc>
          <w:tcPr>
            <w:tcW w:w="6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 on cash flow hedges, net of tax</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925</w:t>
            </w:r>
          </w:p>
        </w:tc>
        <w:tc>
          <w:tcPr>
            <w:tcW w:w="6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Reclassifications into earnings of cash flow hedge (gains)/losses, net of tax</w:t>
            </w:r>
          </w:p>
        </w:tc>
        <w:tc>
          <w:tcPr>
            <w:tcW w:w="280" w:type="dxa"/>
            <w:vAlign w:val="bottom"/>
          </w:tcPr>
          <w:p>
            <w:pPr>
              <w:spacing w:after="0"/>
              <w:rPr>
                <w:sz w:val="19"/>
                <w:szCs w:val="19"/>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(45)</w:t>
            </w:r>
          </w:p>
        </w:tc>
        <w:tc>
          <w:tcPr>
            <w:tcW w:w="6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20,289</w:t>
            </w:r>
          </w:p>
        </w:tc>
        <w:tc>
          <w:tcPr>
            <w:tcW w:w="64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85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ind w:left="154"/>
              <w:spacing w:after="0"/>
              <w:rPr>
                <w:sz w:val="20"/>
                <w:szCs w:val="20"/>
                <w:color w:val="auto"/>
              </w:rPr>
            </w:pPr>
            <w:r>
              <w:rPr>
                <w:rFonts w:ascii="Arial" w:cs="Arial" w:eastAsia="Arial" w:hAnsi="Arial"/>
                <w:sz w:val="14"/>
                <w:szCs w:val="14"/>
                <w:b w:val="1"/>
                <w:bCs w:val="1"/>
                <w:color w:val="auto"/>
                <w:w w:val="90"/>
              </w:rPr>
              <w:t>For the nine months ended</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8580" w:type="dxa"/>
            <w:vAlign w:val="bottom"/>
            <w:gridSpan w:val="3"/>
            <w:vMerge w:val="continue"/>
          </w:tcPr>
          <w:p>
            <w:pPr>
              <w:spacing w:after="0"/>
              <w:rPr>
                <w:sz w:val="12"/>
                <w:szCs w:val="12"/>
                <w:color w:val="auto"/>
              </w:rPr>
            </w:pPr>
          </w:p>
        </w:tc>
        <w:tc>
          <w:tcPr>
            <w:tcW w:w="160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January 1, 2011</w:t>
            </w:r>
          </w:p>
        </w:tc>
        <w:tc>
          <w:tcPr>
            <w:tcW w:w="114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w w:val="88"/>
              </w:rPr>
              <w:t>December 26,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4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58,992</w:t>
            </w:r>
          </w:p>
        </w:tc>
        <w:tc>
          <w:tcPr>
            <w:tcW w:w="64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0"/>
              </w:rPr>
              <w:t>54,409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8580" w:type="dxa"/>
            <w:vAlign w:val="bottom"/>
            <w:gridSpan w:val="3"/>
          </w:tcPr>
          <w:p>
            <w:pPr>
              <w:spacing w:after="0"/>
              <w:rPr>
                <w:sz w:val="20"/>
                <w:szCs w:val="20"/>
                <w:color w:val="auto"/>
              </w:rPr>
            </w:pPr>
            <w:r>
              <w:rPr>
                <w:rFonts w:ascii="Arial" w:cs="Arial" w:eastAsia="Arial" w:hAnsi="Arial"/>
                <w:sz w:val="18"/>
                <w:szCs w:val="18"/>
                <w:color w:val="auto"/>
              </w:rPr>
              <w:t>Other comprehensive income:</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minimum pension liability</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2,889</w:t>
            </w:r>
          </w:p>
        </w:tc>
        <w:tc>
          <w:tcPr>
            <w:tcW w:w="6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loss on cash flow hedges, net of tax</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(3,144)</w:t>
            </w:r>
          </w:p>
        </w:tc>
        <w:tc>
          <w:tcPr>
            <w:tcW w:w="6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(2,836)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Reclassifications into earnings of cash flow hedge losses, net of tax</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6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58,808</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56,721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INVENTORIES</w:t>
      </w:r>
    </w:p>
    <w:p>
      <w:pPr>
        <w:spacing w:after="0" w:line="117"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on the first-in, first-out method.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00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color w:val="auto"/>
              </w:rPr>
              <w:t>January 1, 2011</w:t>
            </w:r>
          </w:p>
        </w:tc>
        <w:tc>
          <w:tcPr>
            <w:tcW w:w="860" w:type="dxa"/>
            <w:vAlign w:val="bottom"/>
            <w:gridSpan w:val="3"/>
          </w:tcPr>
          <w:p>
            <w:pPr>
              <w:spacing w:after="0"/>
              <w:rPr>
                <w:sz w:val="20"/>
                <w:szCs w:val="20"/>
                <w:color w:val="auto"/>
              </w:rPr>
            </w:pPr>
            <w:r>
              <w:rPr>
                <w:rFonts w:ascii="Arial" w:cs="Arial" w:eastAsia="Arial" w:hAnsi="Arial"/>
                <w:sz w:val="14"/>
                <w:szCs w:val="14"/>
                <w:color w:val="auto"/>
              </w:rPr>
              <w:t>April 3, 2010</w:t>
            </w:r>
          </w:p>
        </w:tc>
      </w:tr>
      <w:tr>
        <w:trPr>
          <w:trHeight w:val="139"/>
        </w:trPr>
        <w:tc>
          <w:tcPr>
            <w:tcW w:w="90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ind w:left="500"/>
              <w:spacing w:after="0" w:line="139" w:lineRule="exact"/>
              <w:rPr>
                <w:sz w:val="20"/>
                <w:szCs w:val="20"/>
                <w:color w:val="auto"/>
              </w:rPr>
            </w:pPr>
            <w:r>
              <w:rPr>
                <w:rFonts w:ascii="Arial" w:cs="Arial" w:eastAsia="Arial" w:hAnsi="Arial"/>
                <w:sz w:val="14"/>
                <w:szCs w:val="14"/>
                <w:color w:val="auto"/>
              </w:rPr>
              <w:t>(in thousands)</w:t>
            </w: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25,850</w:t>
            </w:r>
          </w:p>
        </w:tc>
      </w:tr>
      <w:tr>
        <w:trPr>
          <w:trHeight w:val="212"/>
        </w:trPr>
        <w:tc>
          <w:tcPr>
            <w:tcW w:w="9000" w:type="dxa"/>
            <w:vAlign w:val="bottom"/>
          </w:tcPr>
          <w:p>
            <w:pPr>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2,925</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3,825</w:t>
            </w:r>
          </w:p>
        </w:tc>
      </w:tr>
      <w:tr>
        <w:trPr>
          <w:trHeight w:val="212"/>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48,433</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50,278</w:t>
            </w:r>
          </w:p>
        </w:tc>
        <w:tc>
          <w:tcPr>
            <w:tcW w:w="100" w:type="dxa"/>
            <w:vAlign w:val="bottom"/>
            <w:shd w:val="clear" w:color="auto" w:fill="CCEEFF"/>
          </w:tcPr>
          <w:p>
            <w:pPr>
              <w:spacing w:after="0"/>
              <w:rPr>
                <w:sz w:val="18"/>
                <w:szCs w:val="18"/>
                <w:color w:val="auto"/>
              </w:rPr>
            </w:pPr>
          </w:p>
        </w:tc>
      </w:tr>
      <w:tr>
        <w:trPr>
          <w:trHeight w:val="218"/>
        </w:trPr>
        <w:tc>
          <w:tcPr>
            <w:tcW w:w="90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81,915</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79,953</w:t>
            </w:r>
          </w:p>
        </w:tc>
      </w:tr>
      <w:tr>
        <w:trPr>
          <w:trHeight w:val="20"/>
        </w:trPr>
        <w:tc>
          <w:tcPr>
            <w:tcW w:w="9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right="5800" w:firstLine="6"/>
        <w:spacing w:after="0" w:line="372" w:lineRule="auto"/>
        <w:tabs>
          <w:tab w:leader="none" w:pos="177"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OTHER INTANGIBLE ASSETS, AND ACQUISITIONS Goodwill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our goodwill during the nine months ended January 1, 2011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as of April 3, 2010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$ 108,812</w:t>
            </w:r>
          </w:p>
        </w:tc>
      </w:tr>
      <w:tr>
        <w:trPr>
          <w:trHeight w:val="212"/>
        </w:trPr>
        <w:tc>
          <w:tcPr>
            <w:tcW w:w="2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SEBRA (a)</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r>
      <w:tr>
        <w:trPr>
          <w:trHeight w:val="212"/>
        </w:trPr>
        <w:tc>
          <w:tcPr>
            <w:tcW w:w="20" w:type="dxa"/>
            <w:vAlign w:val="bottom"/>
          </w:tcPr>
          <w:p>
            <w:pPr>
              <w:spacing w:after="0"/>
              <w:rPr>
                <w:sz w:val="18"/>
                <w:szCs w:val="18"/>
                <w:color w:val="auto"/>
              </w:rPr>
            </w:pPr>
          </w:p>
        </w:tc>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Altivation (b)</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r>
      <w:tr>
        <w:trPr>
          <w:trHeight w:val="219"/>
        </w:trPr>
        <w:tc>
          <w:tcPr>
            <w:tcW w:w="2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Effect of change in foreign currency exchange rates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as of January 1, 2011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$ 111,268</w:t>
            </w:r>
          </w:p>
        </w:tc>
      </w:tr>
      <w:tr>
        <w:trPr>
          <w:trHeight w:val="20"/>
        </w:trPr>
        <w:tc>
          <w:tcPr>
            <w:tcW w:w="20" w:type="dxa"/>
            <w:vAlign w:val="bottom"/>
          </w:tcPr>
          <w:p>
            <w:pPr>
              <w:spacing w:after="0" w:line="20" w:lineRule="exact"/>
              <w:rPr>
                <w:sz w:val="1"/>
                <w:szCs w:val="1"/>
                <w:color w:val="auto"/>
              </w:rPr>
            </w:pPr>
          </w:p>
        </w:tc>
        <w:tc>
          <w:tcPr>
            <w:tcW w:w="10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13049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51" w:lineRule="exact"/>
        <w:rPr>
          <w:sz w:val="20"/>
          <w:szCs w:val="20"/>
          <w:color w:val="auto"/>
        </w:rPr>
      </w:pPr>
    </w:p>
    <w:p>
      <w:pPr>
        <w:ind w:left="480" w:hanging="47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description of the acquisition of SEBRA</w:t>
      </w:r>
      <w:r>
        <w:rPr>
          <w:rFonts w:ascii="Arial" w:cs="Arial" w:eastAsia="Arial" w:hAnsi="Arial"/>
          <w:sz w:val="15"/>
          <w:szCs w:val="15"/>
          <w:color w:val="auto"/>
        </w:rPr>
        <w:t>®</w:t>
      </w:r>
      <w:r>
        <w:rPr>
          <w:rFonts w:ascii="Arial" w:cs="Arial" w:eastAsia="Arial" w:hAnsi="Arial"/>
          <w:sz w:val="18"/>
          <w:szCs w:val="18"/>
          <w:color w:val="auto"/>
        </w:rPr>
        <w:t>, which occurred on September 4, 2009, is included later in this footnote.</w:t>
      </w:r>
    </w:p>
    <w:p>
      <w:pPr>
        <w:spacing w:after="0" w:line="72" w:lineRule="exact"/>
        <w:rPr>
          <w:rFonts w:ascii="Arial" w:cs="Arial" w:eastAsia="Arial" w:hAnsi="Arial"/>
          <w:sz w:val="18"/>
          <w:szCs w:val="18"/>
          <w:color w:val="auto"/>
        </w:rPr>
      </w:pPr>
    </w:p>
    <w:p>
      <w:pPr>
        <w:ind w:left="480" w:right="80" w:hanging="474"/>
        <w:spacing w:after="0" w:line="265"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Note 3, Acquisitions, in our fiscal year 2010 Form 10-K for a full description of the acquisition of Altivation Software (“Altivation”), which occurred on March 27, 2009.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ACCS Acquisition</w:t>
      </w:r>
    </w:p>
    <w:p>
      <w:pPr>
        <w:spacing w:after="0" w:line="111"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On December 28, 2010, Haemonetics acquired the assets of Applied Critical Care Services, Inc,. (ACCS) for $6.2 million. ACCS was an exclusive manufacturer representative for Haemonetics engaged in the selling and servicing of the TEG product line. The full purchase price was allocated to customer relationships. The Company is still in the process of obtaining and evaluating the information necessary to determine the allocation of fair value of the assets and liabilities acquired. The preliminary purchase price allocation will be finalized once the Company has received and completed this evaluation, which will occur not later than one year from the acquisition date. When finalized, the purchase price will be more specifically allocated to identifiable intangible assets acquired. Additionally, estimated intangible asset amortization expense recorded to date may also be adjusted. The impact of these adjustments may result in a change in the preliminary value attributed to goodwill, which in our preliminary purchase price allocation has zero value.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Med Acquisition</w:t>
      </w:r>
    </w:p>
    <w:p>
      <w:pPr>
        <w:spacing w:after="0" w:line="111"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On March 31, 2010 the Company completed its cash tender offer for the shares of Global Med Technologies, Inc. (“Global Med”). The total acquisition cost for the shares and outstanding warrants of Global Med was approximately $60.4 million.</w:t>
      </w:r>
    </w:p>
    <w:p>
      <w:pPr>
        <w:spacing w:after="0" w:line="73"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Goodwill was preliminarily determined by comparing the purchase price with the preliminarily determined fair value of the assets and liabilities acquired. Once the purchase price allocation is finalized, the preliminary carrying value of the related goodwill may be adjusted accordingly. At January 1, 2011, goodwill recorded after our preliminary purchase price allocation was $38.4 million and is not tax deductible. Global Med has an in-place workforce with extensive knowledge and experience in the development and support of blood management software. The acquisition was a unique strategic fit for the Company given our global presence and customer relationships in blood management.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Preliminary Purchase Price Allocation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summarizes the preliminary purchase price allocation: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4760" w:type="dxa"/>
            <w:vAlign w:val="bottom"/>
            <w:gridSpan w:val="4"/>
          </w:tcPr>
          <w:p>
            <w:pPr>
              <w:ind w:left="3800"/>
              <w:spacing w:after="0"/>
              <w:rPr>
                <w:sz w:val="20"/>
                <w:szCs w:val="20"/>
                <w:color w:val="auto"/>
              </w:rPr>
            </w:pPr>
            <w:r>
              <w:rPr>
                <w:rFonts w:ascii="Arial" w:cs="Arial" w:eastAsia="Arial" w:hAnsi="Arial"/>
                <w:sz w:val="14"/>
                <w:szCs w:val="14"/>
                <w:b w:val="1"/>
                <w:bCs w:val="1"/>
                <w:color w:val="auto"/>
                <w:w w:val="97"/>
              </w:rPr>
              <w:t>(in thousands)</w:t>
            </w:r>
          </w:p>
        </w:tc>
      </w:tr>
      <w:tr>
        <w:trPr>
          <w:trHeight w:val="212"/>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040" w:type="dxa"/>
            <w:vAlign w:val="bottom"/>
            <w:gridSpan w:val="2"/>
            <w:shd w:val="clear" w:color="auto" w:fill="CCEEFF"/>
          </w:tcPr>
          <w:p>
            <w:pPr>
              <w:ind w:left="38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38,378</w:t>
            </w:r>
          </w:p>
        </w:tc>
      </w:tr>
      <w:tr>
        <w:trPr>
          <w:trHeight w:val="212"/>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Intangible assets subject to amortization</w:t>
            </w: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37,021</w:t>
            </w:r>
          </w:p>
        </w:tc>
      </w:tr>
      <w:tr>
        <w:trPr>
          <w:trHeight w:val="212"/>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3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6,820</w:t>
            </w:r>
          </w:p>
        </w:tc>
      </w:tr>
      <w:tr>
        <w:trPr>
          <w:trHeight w:val="212"/>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Other assets</w:t>
            </w: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7,650</w:t>
            </w:r>
          </w:p>
        </w:tc>
      </w:tr>
      <w:tr>
        <w:trPr>
          <w:trHeight w:val="212"/>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3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(6,940)</w:t>
            </w:r>
          </w:p>
        </w:tc>
      </w:tr>
      <w:tr>
        <w:trPr>
          <w:trHeight w:val="212"/>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Notes payable</w:t>
            </w: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(7,702)</w:t>
            </w:r>
          </w:p>
        </w:tc>
      </w:tr>
      <w:tr>
        <w:trPr>
          <w:trHeight w:val="212"/>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(7,180)</w:t>
            </w:r>
          </w:p>
        </w:tc>
      </w:tr>
      <w:tr>
        <w:trPr>
          <w:trHeight w:val="219"/>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Other liabilities</w:t>
            </w:r>
          </w:p>
        </w:tc>
        <w:tc>
          <w:tcPr>
            <w:tcW w:w="3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(7,620)</w:t>
            </w:r>
          </w:p>
        </w:tc>
      </w:tr>
      <w:tr>
        <w:trPr>
          <w:trHeight w:val="212"/>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0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60,427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The Company is still in the process of obtaining and evaluating the information necessary to determine the allocation of fair value of the assets and liabilities acquired. The preliminary purchase price allocation will be finalized once the Company has received and completed this evaluation, which will occur not later than one year from the acquisition date. When finalized, the purchase price will be more specifically allocated to identified intangible assets acquired, the value of tangible assets and liabilities acquired may be adjusted, and the value of the tax attributes acquired may change. Additionally, estimated intangible asset amortization expense recorded to date may also be adjusted. The impact of these adjustments may result in a change in the preliminary value attributed to goodwill. The results of Global Med’s operations are included in our consolidated financial statements for the third quarter and the first nine months of fiscal year 2011.</w:t>
      </w:r>
    </w:p>
    <w:p>
      <w:pPr>
        <w:spacing w:after="0" w:line="88" w:lineRule="exact"/>
        <w:rPr>
          <w:sz w:val="20"/>
          <w:szCs w:val="20"/>
          <w:color w:val="auto"/>
        </w:rPr>
      </w:pPr>
    </w:p>
    <w:p>
      <w:pPr>
        <w:ind w:right="600"/>
        <w:spacing w:after="0" w:line="364" w:lineRule="auto"/>
        <w:rPr>
          <w:sz w:val="20"/>
          <w:szCs w:val="20"/>
          <w:color w:val="auto"/>
        </w:rPr>
      </w:pPr>
      <w:r>
        <w:rPr>
          <w:rFonts w:ascii="Arial" w:cs="Arial" w:eastAsia="Arial" w:hAnsi="Arial"/>
          <w:sz w:val="15"/>
          <w:szCs w:val="15"/>
          <w:color w:val="auto"/>
        </w:rPr>
        <w:t>After the April 3, 2010 financial statements were issued, we received new information related to the fair value of the assets and liabilities acquired. After considering this new information, we have estimated the effect on the carrying amount of certain assets and liabilities acquired as follows:</w:t>
      </w:r>
    </w:p>
    <w:p>
      <w:pPr>
        <w:spacing w:after="0" w:line="7" w:lineRule="exact"/>
        <w:rPr>
          <w:sz w:val="20"/>
          <w:szCs w:val="20"/>
          <w:color w:val="auto"/>
        </w:rPr>
      </w:pPr>
    </w:p>
    <w:p>
      <w:pPr>
        <w:ind w:left="660" w:hanging="429"/>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Increase of $11.1 million in intangible assets which resulted in a decrease in goodwill</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Increase of $1.9 million in net deferred tax liabilities resulting in an increase to goodwill</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$1.4 million increase in trade accounts receivable and other assets resulting in a decrease in goodwill</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$0.9 million decrease in deferred revenue which resulted in a decrease to goodwill</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$0.2 million decrease in accounts payable and other liabilities resulting in an decrease to goodwill</w:t>
      </w:r>
    </w:p>
    <w:p>
      <w:pPr>
        <w:spacing w:after="0" w:line="111" w:lineRule="exact"/>
        <w:rPr>
          <w:sz w:val="20"/>
          <w:szCs w:val="20"/>
          <w:color w:val="auto"/>
        </w:rPr>
      </w:pPr>
    </w:p>
    <w:p>
      <w:pPr>
        <w:ind w:right="820"/>
        <w:spacing w:after="0" w:line="265" w:lineRule="auto"/>
        <w:rPr>
          <w:sz w:val="20"/>
          <w:szCs w:val="20"/>
          <w:color w:val="auto"/>
        </w:rPr>
      </w:pPr>
      <w:r>
        <w:rPr>
          <w:rFonts w:ascii="Arial" w:cs="Arial" w:eastAsia="Arial" w:hAnsi="Arial"/>
          <w:sz w:val="18"/>
          <w:szCs w:val="18"/>
          <w:color w:val="auto"/>
        </w:rPr>
        <w:t>The net effect of these estimated changes resulted in a corresponding net decrease to goodwill of $11.7 million. These estimated changes are reflected accordingly in the purchase price allocation table above.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Accordingly, amortization expense recorded reflects these revised fair value estimates and the present preliminary purchase price allocation.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SEBRA Acquisition</w:t>
      </w:r>
    </w:p>
    <w:p>
      <w:pPr>
        <w:spacing w:after="0" w:line="111"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On September 4, 2009, Haemonetics acquired the assets of the blood collection and processing business unit (“SEBRA”) of Engineering and Research Associates, Inc., a leading provider of blood and medical manufacturing technologies. SEBRA products, which include tubing sealers, blood shakers, sterile connection systems, mobile lounges and ancillary products used in blood collection and processing, complement Haemonetics’ portfolio and add depth to Haemonetics’ blood bank and plasma product lines. The purchase price of $12.8 million was allocated to core technology of $2.0 million, customer relationships of $4.6 million, trade name intangible of $0.4 million, trade accounts receivables of $1.0 million, inventory of $1.1 million, and goodwill of $3.7 million.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Neoteric Acquisition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April 16, 2009, Haemonetics acquired the outstanding shares of Neoteric. Neoteric is a medical information management company that markets a full end-to-end suite of products to track, allocate, release, and dispense hospital blood units while controlling inventory and recording the disposition of blood. The acquisition strategically broadened Haemonetics’ blood management solutions. The purchase price was $6.6 million plus contingent consideration of $5.0 million was allocated to other intangible assets of $5.0 million, deferred tax liabilities of $1.6 million, and goodwill of $8.2 million.</w:t>
      </w:r>
    </w:p>
    <w:p>
      <w:pPr>
        <w:spacing w:after="0" w:line="72"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The contingent consideration is based upon estimated annual revenue growth for the three years following the acquisition, at established profitability thresholds, and is not limited. Using projected revenues for fiscal years 2010, 2011, and 2012, an analysis was performed that probability weighted three performance outcomes for the noted years. The performance outcomes are then discounted using a discount rate commensurate with the risks associated with Neoteric to arrive at the fair value of the contingent consideration. The Company is required to reassess the fair value of contingent consideration on a periodic basis. During fiscal year 2010, the Company reassessed the fair value of the contingent consideration as performance outcomes for 2010 were not met, which resulted in a reduction in the estimated liability. During the first nine months of fiscal year 2011, the Company continued to reassess the fair value of the contingent consideration and further reduced the estimated liability based upon performance to date and expected performance outcomes for fiscal year 2011. The ending liability balance is $2.0 million at January 1,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Amortized Intangibles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40" w:type="dxa"/>
            <w:vAlign w:val="bottom"/>
            <w:gridSpan w:val="3"/>
          </w:tcPr>
          <w:p>
            <w:pPr>
              <w:spacing w:after="0" w:line="146" w:lineRule="exact"/>
              <w:rPr>
                <w:sz w:val="20"/>
                <w:szCs w:val="20"/>
                <w:color w:val="auto"/>
              </w:rPr>
            </w:pPr>
            <w:r>
              <w:rPr>
                <w:rFonts w:ascii="Arial" w:cs="Arial" w:eastAsia="Arial" w:hAnsi="Arial"/>
                <w:sz w:val="14"/>
                <w:szCs w:val="14"/>
                <w:color w:val="auto"/>
              </w:rPr>
              <w:t>Gross Carrying</w:t>
            </w:r>
          </w:p>
        </w:tc>
        <w:tc>
          <w:tcPr>
            <w:tcW w:w="1460" w:type="dxa"/>
            <w:vAlign w:val="bottom"/>
            <w:gridSpan w:val="3"/>
          </w:tcPr>
          <w:p>
            <w:pPr>
              <w:ind w:left="20"/>
              <w:spacing w:after="0" w:line="146" w:lineRule="exact"/>
              <w:rPr>
                <w:sz w:val="20"/>
                <w:szCs w:val="20"/>
                <w:color w:val="auto"/>
              </w:rPr>
            </w:pPr>
            <w:r>
              <w:rPr>
                <w:rFonts w:ascii="Arial" w:cs="Arial" w:eastAsia="Arial" w:hAnsi="Arial"/>
                <w:sz w:val="14"/>
                <w:szCs w:val="14"/>
                <w:color w:val="auto"/>
              </w:rPr>
              <w:t>Accumulated</w:t>
            </w:r>
          </w:p>
        </w:tc>
        <w:tc>
          <w:tcPr>
            <w:tcW w:w="780" w:type="dxa"/>
            <w:vAlign w:val="bottom"/>
            <w:gridSpan w:val="2"/>
          </w:tcPr>
          <w:p>
            <w:pPr>
              <w:jc w:val="center"/>
              <w:ind w:right="100"/>
              <w:spacing w:after="0" w:line="146"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820"/>
              <w:spacing w:after="0" w:line="146" w:lineRule="exact"/>
              <w:rPr>
                <w:sz w:val="20"/>
                <w:szCs w:val="20"/>
                <w:color w:val="auto"/>
              </w:rPr>
            </w:pPr>
            <w:r>
              <w:rPr>
                <w:rFonts w:ascii="Arial" w:cs="Arial" w:eastAsia="Arial" w:hAnsi="Arial"/>
                <w:sz w:val="14"/>
                <w:szCs w:val="14"/>
                <w:color w:val="auto"/>
                <w:w w:val="99"/>
              </w:rPr>
              <w:t>Amount</w:t>
            </w:r>
          </w:p>
        </w:tc>
        <w:tc>
          <w:tcPr>
            <w:tcW w:w="1460" w:type="dxa"/>
            <w:vAlign w:val="bottom"/>
            <w:gridSpan w:val="3"/>
          </w:tcPr>
          <w:p>
            <w:pPr>
              <w:ind w:left="20"/>
              <w:spacing w:after="0" w:line="146" w:lineRule="exact"/>
              <w:rPr>
                <w:sz w:val="20"/>
                <w:szCs w:val="20"/>
                <w:color w:val="auto"/>
              </w:rPr>
            </w:pPr>
            <w:r>
              <w:rPr>
                <w:rFonts w:ascii="Arial" w:cs="Arial" w:eastAsia="Arial" w:hAnsi="Arial"/>
                <w:sz w:val="14"/>
                <w:szCs w:val="14"/>
                <w:color w:val="auto"/>
              </w:rPr>
              <w:t>Amortization</w:t>
            </w:r>
          </w:p>
        </w:tc>
        <w:tc>
          <w:tcPr>
            <w:tcW w:w="780" w:type="dxa"/>
            <w:vAlign w:val="bottom"/>
            <w:gridSpan w:val="2"/>
          </w:tcPr>
          <w:p>
            <w:pPr>
              <w:jc w:val="center"/>
              <w:ind w:right="100"/>
              <w:spacing w:after="0" w:line="146" w:lineRule="exact"/>
              <w:rPr>
                <w:sz w:val="20"/>
                <w:szCs w:val="20"/>
                <w:color w:val="auto"/>
              </w:rPr>
            </w:pPr>
            <w:r>
              <w:rPr>
                <w:rFonts w:ascii="Arial" w:cs="Arial" w:eastAsia="Arial" w:hAnsi="Arial"/>
                <w:sz w:val="14"/>
                <w:szCs w:val="14"/>
                <w:color w:val="auto"/>
                <w:w w:val="96"/>
              </w:rPr>
              <w:t>Useful Life</w:t>
            </w:r>
          </w:p>
        </w:tc>
        <w:tc>
          <w:tcPr>
            <w:tcW w:w="0" w:type="dxa"/>
            <w:vAlign w:val="bottom"/>
          </w:tcPr>
          <w:p>
            <w:pPr>
              <w:spacing w:after="0"/>
              <w:rPr>
                <w:sz w:val="1"/>
                <w:szCs w:val="1"/>
                <w:color w:val="auto"/>
              </w:rPr>
            </w:pPr>
          </w:p>
        </w:tc>
      </w:tr>
      <w:tr>
        <w:trPr>
          <w:trHeight w:val="164"/>
        </w:trPr>
        <w:tc>
          <w:tcPr>
            <w:tcW w:w="7080" w:type="dxa"/>
            <w:vAlign w:val="bottom"/>
            <w:gridSpan w:val="2"/>
          </w:tcPr>
          <w:p>
            <w:pPr>
              <w:spacing w:after="0"/>
              <w:rPr>
                <w:sz w:val="20"/>
                <w:szCs w:val="20"/>
                <w:color w:val="auto"/>
              </w:rPr>
            </w:pPr>
            <w:r>
              <w:rPr>
                <w:rFonts w:ascii="Arial" w:cs="Arial" w:eastAsia="Arial" w:hAnsi="Arial"/>
                <w:sz w:val="14"/>
                <w:szCs w:val="14"/>
                <w:color w:val="auto"/>
              </w:rPr>
              <w:t>As of January 1, 2011</w:t>
            </w:r>
          </w:p>
        </w:tc>
        <w:tc>
          <w:tcPr>
            <w:tcW w:w="560" w:type="dxa"/>
            <w:vAlign w:val="bottom"/>
          </w:tcPr>
          <w:p>
            <w:pPr>
              <w:spacing w:after="0"/>
              <w:rPr>
                <w:sz w:val="14"/>
                <w:szCs w:val="14"/>
                <w:color w:val="auto"/>
              </w:rPr>
            </w:pPr>
          </w:p>
        </w:tc>
        <w:tc>
          <w:tcPr>
            <w:tcW w:w="1540" w:type="dxa"/>
            <w:vAlign w:val="bottom"/>
            <w:gridSpan w:val="3"/>
          </w:tcPr>
          <w:p>
            <w:pPr>
              <w:jc w:val="center"/>
              <w:ind w:right="660"/>
              <w:spacing w:after="0"/>
              <w:rPr>
                <w:sz w:val="20"/>
                <w:szCs w:val="20"/>
                <w:color w:val="auto"/>
              </w:rPr>
            </w:pPr>
            <w:r>
              <w:rPr>
                <w:rFonts w:ascii="Arial" w:cs="Arial" w:eastAsia="Arial" w:hAnsi="Arial"/>
                <w:sz w:val="14"/>
                <w:szCs w:val="14"/>
                <w:color w:val="auto"/>
                <w:w w:val="90"/>
              </w:rPr>
              <w:t>(in thousands)</w:t>
            </w:r>
          </w:p>
        </w:tc>
        <w:tc>
          <w:tcPr>
            <w:tcW w:w="146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(in years)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6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Patents</w:t>
            </w:r>
          </w:p>
        </w:tc>
        <w:tc>
          <w:tcPr>
            <w:tcW w:w="5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12,346</w:t>
            </w:r>
          </w:p>
        </w:tc>
        <w:tc>
          <w:tcPr>
            <w:tcW w:w="6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6,575</w:t>
            </w:r>
          </w:p>
        </w:tc>
        <w:tc>
          <w:tcPr>
            <w:tcW w:w="6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Capitalized software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12,834</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616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Other technology</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45,289</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19,495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Customer contracts and related relationships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66,130</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14,601</w:t>
            </w: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5,185</w:t>
            </w: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6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8"/>
        </w:trPr>
        <w:tc>
          <w:tcPr>
            <w:tcW w:w="7080" w:type="dxa"/>
            <w:vAlign w:val="bottom"/>
            <w:gridSpan w:val="2"/>
          </w:tcPr>
          <w:p>
            <w:pPr>
              <w:spacing w:after="0"/>
              <w:rPr>
                <w:sz w:val="20"/>
                <w:szCs w:val="20"/>
                <w:color w:val="auto"/>
              </w:rPr>
            </w:pPr>
            <w:r>
              <w:rPr>
                <w:rFonts w:ascii="Arial" w:cs="Arial" w:eastAsia="Arial" w:hAnsi="Arial"/>
                <w:sz w:val="18"/>
                <w:szCs w:val="18"/>
                <w:color w:val="auto"/>
              </w:rPr>
              <w:t>Total intangibles</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141,784</w:t>
            </w:r>
          </w:p>
        </w:tc>
        <w:tc>
          <w:tcPr>
            <w:tcW w:w="6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42,135</w:t>
            </w: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Weighted</w:t>
            </w: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40" w:type="dxa"/>
            <w:vAlign w:val="bottom"/>
            <w:gridSpan w:val="3"/>
          </w:tcPr>
          <w:p>
            <w:pPr>
              <w:spacing w:after="0" w:line="146" w:lineRule="exact"/>
              <w:rPr>
                <w:sz w:val="20"/>
                <w:szCs w:val="20"/>
                <w:color w:val="auto"/>
              </w:rPr>
            </w:pPr>
            <w:r>
              <w:rPr>
                <w:rFonts w:ascii="Arial" w:cs="Arial" w:eastAsia="Arial" w:hAnsi="Arial"/>
                <w:sz w:val="14"/>
                <w:szCs w:val="14"/>
                <w:color w:val="auto"/>
              </w:rPr>
              <w:t>Gross Carrying</w:t>
            </w:r>
          </w:p>
        </w:tc>
        <w:tc>
          <w:tcPr>
            <w:tcW w:w="1460" w:type="dxa"/>
            <w:vAlign w:val="bottom"/>
            <w:gridSpan w:val="3"/>
          </w:tcPr>
          <w:p>
            <w:pPr>
              <w:ind w:left="20"/>
              <w:spacing w:after="0" w:line="146" w:lineRule="exact"/>
              <w:rPr>
                <w:sz w:val="20"/>
                <w:szCs w:val="20"/>
                <w:color w:val="auto"/>
              </w:rPr>
            </w:pPr>
            <w:r>
              <w:rPr>
                <w:rFonts w:ascii="Arial" w:cs="Arial" w:eastAsia="Arial" w:hAnsi="Arial"/>
                <w:sz w:val="14"/>
                <w:szCs w:val="14"/>
                <w:color w:val="auto"/>
              </w:rPr>
              <w:t>Accumulated</w:t>
            </w:r>
          </w:p>
        </w:tc>
        <w:tc>
          <w:tcPr>
            <w:tcW w:w="780" w:type="dxa"/>
            <w:vAlign w:val="bottom"/>
            <w:gridSpan w:val="2"/>
          </w:tcPr>
          <w:p>
            <w:pPr>
              <w:jc w:val="center"/>
              <w:ind w:right="100"/>
              <w:spacing w:after="0" w:line="146"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820"/>
              <w:spacing w:after="0" w:line="146" w:lineRule="exact"/>
              <w:rPr>
                <w:sz w:val="20"/>
                <w:szCs w:val="20"/>
                <w:color w:val="auto"/>
              </w:rPr>
            </w:pPr>
            <w:r>
              <w:rPr>
                <w:rFonts w:ascii="Arial" w:cs="Arial" w:eastAsia="Arial" w:hAnsi="Arial"/>
                <w:sz w:val="14"/>
                <w:szCs w:val="14"/>
                <w:color w:val="auto"/>
                <w:w w:val="99"/>
              </w:rPr>
              <w:t>Amount</w:t>
            </w:r>
          </w:p>
        </w:tc>
        <w:tc>
          <w:tcPr>
            <w:tcW w:w="1460" w:type="dxa"/>
            <w:vAlign w:val="bottom"/>
            <w:gridSpan w:val="3"/>
          </w:tcPr>
          <w:p>
            <w:pPr>
              <w:ind w:left="20"/>
              <w:spacing w:after="0" w:line="146" w:lineRule="exact"/>
              <w:rPr>
                <w:sz w:val="20"/>
                <w:szCs w:val="20"/>
                <w:color w:val="auto"/>
              </w:rPr>
            </w:pPr>
            <w:r>
              <w:rPr>
                <w:rFonts w:ascii="Arial" w:cs="Arial" w:eastAsia="Arial" w:hAnsi="Arial"/>
                <w:sz w:val="14"/>
                <w:szCs w:val="14"/>
                <w:color w:val="auto"/>
              </w:rPr>
              <w:t>Amortization</w:t>
            </w:r>
          </w:p>
        </w:tc>
        <w:tc>
          <w:tcPr>
            <w:tcW w:w="780" w:type="dxa"/>
            <w:vAlign w:val="bottom"/>
            <w:gridSpan w:val="2"/>
          </w:tcPr>
          <w:p>
            <w:pPr>
              <w:jc w:val="center"/>
              <w:ind w:right="100"/>
              <w:spacing w:after="0" w:line="146" w:lineRule="exact"/>
              <w:rPr>
                <w:sz w:val="20"/>
                <w:szCs w:val="20"/>
                <w:color w:val="auto"/>
              </w:rPr>
            </w:pPr>
            <w:r>
              <w:rPr>
                <w:rFonts w:ascii="Arial" w:cs="Arial" w:eastAsia="Arial" w:hAnsi="Arial"/>
                <w:sz w:val="14"/>
                <w:szCs w:val="14"/>
                <w:color w:val="auto"/>
                <w:w w:val="96"/>
              </w:rPr>
              <w:t>Useful Life</w:t>
            </w:r>
          </w:p>
        </w:tc>
        <w:tc>
          <w:tcPr>
            <w:tcW w:w="0" w:type="dxa"/>
            <w:vAlign w:val="bottom"/>
          </w:tcPr>
          <w:p>
            <w:pPr>
              <w:spacing w:after="0"/>
              <w:rPr>
                <w:sz w:val="1"/>
                <w:szCs w:val="1"/>
                <w:color w:val="auto"/>
              </w:rPr>
            </w:pPr>
          </w:p>
        </w:tc>
      </w:tr>
      <w:tr>
        <w:trPr>
          <w:trHeight w:val="164"/>
        </w:trPr>
        <w:tc>
          <w:tcPr>
            <w:tcW w:w="7080" w:type="dxa"/>
            <w:vAlign w:val="bottom"/>
            <w:gridSpan w:val="2"/>
          </w:tcPr>
          <w:p>
            <w:pPr>
              <w:spacing w:after="0"/>
              <w:rPr>
                <w:sz w:val="20"/>
                <w:szCs w:val="20"/>
                <w:color w:val="auto"/>
              </w:rPr>
            </w:pPr>
            <w:r>
              <w:rPr>
                <w:rFonts w:ascii="Arial" w:cs="Arial" w:eastAsia="Arial" w:hAnsi="Arial"/>
                <w:sz w:val="14"/>
                <w:szCs w:val="14"/>
                <w:color w:val="auto"/>
              </w:rPr>
              <w:t>As of April 3, 2010</w:t>
            </w:r>
          </w:p>
        </w:tc>
        <w:tc>
          <w:tcPr>
            <w:tcW w:w="560" w:type="dxa"/>
            <w:vAlign w:val="bottom"/>
          </w:tcPr>
          <w:p>
            <w:pPr>
              <w:spacing w:after="0"/>
              <w:rPr>
                <w:sz w:val="14"/>
                <w:szCs w:val="14"/>
                <w:color w:val="auto"/>
              </w:rPr>
            </w:pPr>
          </w:p>
        </w:tc>
        <w:tc>
          <w:tcPr>
            <w:tcW w:w="1540" w:type="dxa"/>
            <w:vAlign w:val="bottom"/>
            <w:gridSpan w:val="3"/>
          </w:tcPr>
          <w:p>
            <w:pPr>
              <w:jc w:val="center"/>
              <w:ind w:right="660"/>
              <w:spacing w:after="0"/>
              <w:rPr>
                <w:sz w:val="20"/>
                <w:szCs w:val="20"/>
                <w:color w:val="auto"/>
              </w:rPr>
            </w:pPr>
            <w:r>
              <w:rPr>
                <w:rFonts w:ascii="Arial" w:cs="Arial" w:eastAsia="Arial" w:hAnsi="Arial"/>
                <w:sz w:val="14"/>
                <w:szCs w:val="14"/>
                <w:color w:val="auto"/>
                <w:w w:val="90"/>
              </w:rPr>
              <w:t>(in thousands)</w:t>
            </w:r>
          </w:p>
        </w:tc>
        <w:tc>
          <w:tcPr>
            <w:tcW w:w="146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(in years)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6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Patents</w:t>
            </w:r>
          </w:p>
        </w:tc>
        <w:tc>
          <w:tcPr>
            <w:tcW w:w="5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11,928</w:t>
            </w:r>
          </w:p>
        </w:tc>
        <w:tc>
          <w:tcPr>
            <w:tcW w:w="6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5,801</w:t>
            </w:r>
          </w:p>
        </w:tc>
        <w:tc>
          <w:tcPr>
            <w:tcW w:w="6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Capitalized software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7,642</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498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Other technology</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43,182</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14,187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Customer contracts and related relationships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61,919</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11,549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5,182</w:t>
            </w: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6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8"/>
        </w:trPr>
        <w:tc>
          <w:tcPr>
            <w:tcW w:w="7080" w:type="dxa"/>
            <w:vAlign w:val="bottom"/>
            <w:gridSpan w:val="2"/>
          </w:tcPr>
          <w:p>
            <w:pPr>
              <w:spacing w:after="0"/>
              <w:rPr>
                <w:sz w:val="20"/>
                <w:szCs w:val="20"/>
                <w:color w:val="auto"/>
              </w:rPr>
            </w:pPr>
            <w:r>
              <w:rPr>
                <w:rFonts w:ascii="Arial" w:cs="Arial" w:eastAsia="Arial" w:hAnsi="Arial"/>
                <w:sz w:val="18"/>
                <w:szCs w:val="18"/>
                <w:color w:val="auto"/>
              </w:rPr>
              <w:t>Total intangibles</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129,853</w:t>
            </w:r>
          </w:p>
        </w:tc>
        <w:tc>
          <w:tcPr>
            <w:tcW w:w="6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32,693</w:t>
            </w: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380"/>
        <w:spacing w:after="0" w:line="252" w:lineRule="auto"/>
        <w:rPr>
          <w:sz w:val="20"/>
          <w:szCs w:val="20"/>
          <w:color w:val="auto"/>
        </w:rPr>
      </w:pPr>
      <w:r>
        <w:rPr>
          <w:rFonts w:ascii="Arial" w:cs="Arial" w:eastAsia="Arial" w:hAnsi="Arial"/>
          <w:sz w:val="18"/>
          <w:szCs w:val="18"/>
          <w:color w:val="auto"/>
        </w:rPr>
        <w:t>Amortization expense for amortized intangible assets was $2.9 million and $2.0 million for the third quarter of fiscal year 2011 and 2010, respectively, and $9.4 million and $5.5 million for the nine months ended January 1, 2011 and December 26, 2009, respectively. Annual amortization expense is expected to approximate $13.6 million for fiscal year 2011, $13.6 million for fiscal year 2012, $13.4 million for fiscal year 2013, $13.2 million for fiscal year 2014, and $11.8 million for fiscal year 2015.</w:t>
      </w:r>
    </w:p>
    <w:p>
      <w:pPr>
        <w:spacing w:after="0" w:line="85" w:lineRule="exact"/>
        <w:rPr>
          <w:sz w:val="20"/>
          <w:szCs w:val="20"/>
          <w:color w:val="auto"/>
        </w:rPr>
      </w:pPr>
    </w:p>
    <w:p>
      <w:pPr>
        <w:ind w:right="300"/>
        <w:spacing w:after="0" w:line="277" w:lineRule="auto"/>
        <w:rPr>
          <w:sz w:val="20"/>
          <w:szCs w:val="20"/>
          <w:color w:val="auto"/>
        </w:rPr>
      </w:pPr>
      <w:r>
        <w:rPr>
          <w:rFonts w:ascii="Arial" w:cs="Arial" w:eastAsia="Arial" w:hAnsi="Arial"/>
          <w:sz w:val="17"/>
          <w:szCs w:val="17"/>
          <w:color w:val="auto"/>
        </w:rPr>
        <w:t>In addition to the acquisitions of SEBRA, Neoteric, Global Med, and ACCS, discussed above, changes to the net carrying value of our intangible assets from April 3, 2010 to January 1, 2011 reflect the capitalization of software costs associated with our devices and software products (see Note 16), amortization expense and the effect of exchange rate changes in the translation of our intangible assets held by our international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DERIVATIVES AND FAIR VALUE MEASUREMENTS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
        <w:spacing w:after="0" w:line="330" w:lineRule="auto"/>
        <w:rPr>
          <w:sz w:val="20"/>
          <w:szCs w:val="20"/>
          <w:color w:val="auto"/>
        </w:rPr>
      </w:pPr>
      <w:r>
        <w:rPr>
          <w:rFonts w:ascii="Arial" w:cs="Arial" w:eastAsia="Arial" w:hAnsi="Arial"/>
          <w:sz w:val="15"/>
          <w:szCs w:val="15"/>
          <w:color w:val="auto"/>
        </w:rPr>
        <w:t>We manufacture, market and sell our products globally. For the nine-month period ended January 1, 2011, approximately 53% of our sales were generated outside the U.S. in local currencies. We also incur certain manufacturing, marketing and selling costs in international markets in local currency. Accordingly, our earnings and cash flows are exposed to market risk from changes in foreign currency exchange rates relative to the U.S. dollar, our reporting currency.</w:t>
      </w:r>
    </w:p>
    <w:p>
      <w:pPr>
        <w:spacing w:after="0" w:line="31"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the Japanese Yen and the Euro, and to a lesser extent the Swiss Franc, British Pound Sterling and the Canadian Dollar. This does not eliminate the volatility of foreign exchange rates, but because we generally enter into forward contracts one year out, rates are fixed for a one-year period, thereby facilitating financial planning and resource allocation.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Designated Foreign Currency Hedge Contracts</w:t>
      </w:r>
    </w:p>
    <w:p>
      <w:pPr>
        <w:spacing w:after="0" w:line="111"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color w:val="auto"/>
        </w:rPr>
        <w:t xml:space="preserve">All of our designated foreign currency hedge contracts as of January 1, 2011 and April 3, 2010 were cash flow hedges under ASC Topic 815, </w:t>
      </w:r>
      <w:r>
        <w:rPr>
          <w:rFonts w:ascii="Arial" w:cs="Arial" w:eastAsia="Arial" w:hAnsi="Arial"/>
          <w:sz w:val="15"/>
          <w:szCs w:val="15"/>
          <w:i w:val="1"/>
          <w:iCs w:val="1"/>
          <w:color w:val="auto"/>
        </w:rPr>
        <w:t>Derivatives and</w:t>
      </w:r>
      <w:r>
        <w:rPr>
          <w:rFonts w:ascii="Arial" w:cs="Arial" w:eastAsia="Arial" w:hAnsi="Arial"/>
          <w:sz w:val="15"/>
          <w:szCs w:val="15"/>
          <w:color w:val="auto"/>
        </w:rPr>
        <w:t xml:space="preserve"> </w:t>
      </w:r>
      <w:r>
        <w:rPr>
          <w:rFonts w:ascii="Arial" w:cs="Arial" w:eastAsia="Arial" w:hAnsi="Arial"/>
          <w:sz w:val="15"/>
          <w:szCs w:val="15"/>
          <w:i w:val="1"/>
          <w:iCs w:val="1"/>
          <w:color w:val="auto"/>
        </w:rPr>
        <w:t>Hedging</w:t>
      </w:r>
      <w:r>
        <w:rPr>
          <w:rFonts w:ascii="Arial" w:cs="Arial" w:eastAsia="Arial" w:hAnsi="Arial"/>
          <w:sz w:val="15"/>
          <w:szCs w:val="15"/>
          <w:color w:val="auto"/>
        </w:rPr>
        <w:t>. We record the effective portion of any change in the fair value of designated foreign currency hedge contracts in Other Comprehensive Income in the</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 of Stockholders’ Equity until 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$162.1 million as of January 1, 2011 and $136.7 million as of April 3, 2010.</w:t>
      </w:r>
    </w:p>
    <w:p>
      <w:pPr>
        <w:spacing w:after="0" w:line="4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During the third quarter of fiscal year 2011, we recognized net losses of $1.6 million in earnings on our cash flow hedges. All currency cash flow hedges outstanding as of January 1, 2011 mature within twelve months. For the nine-month period ended January 1, 2011, $3.1 million of losses, net of tax, were recorded in Other Comprehensive Income to recognize the effective portion of the fair value of any designated foreign currency hedge contracts that are, or previously were, designated as foreign currency cash flow hedges, as compared to net losses of $4.3 million as of December 26, 2009. At January 1, 2011, gains of $0.1 million, net of tax, may be reclassified to earnings within the next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Non-designated Foreign Currency Contracts</w:t>
      </w:r>
    </w:p>
    <w:p>
      <w:pPr>
        <w:spacing w:after="0" w:line="111"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color w:val="auto"/>
        </w:rPr>
        <w:t>We manage our exposure to changes in foreign currency on a consolidated basis to take advantage of offsetting transactions and balances. We use currency forward contracts as a part of our strategy to manage exposure related to foreign currency denominated monetary assets and liabilities. These currency forward contracts are not designated as cash flow or fair value hedges under ASC Topic 815. These forward contracts are marked-to-market with changes in fair value recorded to earnings; and are entered into for periods consistent with currency transaction exposures, generally one month. We had non-designated foreign currency hedge contracts under ASC Topic 815 outstanding in the contract amount of $34.5 million as of January 1, 2011 and $29.6 million as of April 3, 2010.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111"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The following table presents the effect of our derivative instruments designated as cash flow hedges and those not designated as hedging instruments under ASC Topic 815 in our consolidated statement of income for the nine months ended January 1, 2011.</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gridSpan w:val="3"/>
          </w:tcPr>
          <w:p>
            <w:pPr>
              <w:jc w:val="center"/>
              <w:ind w:right="60"/>
              <w:spacing w:after="0"/>
              <w:rPr>
                <w:sz w:val="20"/>
                <w:szCs w:val="20"/>
                <w:color w:val="auto"/>
              </w:rPr>
            </w:pPr>
            <w:r>
              <w:rPr>
                <w:rFonts w:ascii="Arial" w:cs="Arial" w:eastAsia="Arial" w:hAnsi="Arial"/>
                <w:sz w:val="14"/>
                <w:szCs w:val="14"/>
                <w:color w:val="auto"/>
                <w:w w:val="96"/>
              </w:rPr>
              <w:t>Amount of Gain</w:t>
            </w: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1360" w:type="dxa"/>
            <w:vAlign w:val="bottom"/>
            <w:gridSpan w:val="2"/>
          </w:tcPr>
          <w:p>
            <w:pPr>
              <w:jc w:val="center"/>
              <w:ind w:right="240"/>
              <w:spacing w:after="0" w:line="146" w:lineRule="exact"/>
              <w:rPr>
                <w:sz w:val="20"/>
                <w:szCs w:val="20"/>
                <w:color w:val="auto"/>
              </w:rPr>
            </w:pPr>
            <w:r>
              <w:rPr>
                <w:rFonts w:ascii="Arial" w:cs="Arial" w:eastAsia="Arial" w:hAnsi="Arial"/>
                <w:sz w:val="14"/>
                <w:szCs w:val="14"/>
                <w:color w:val="auto"/>
                <w:w w:val="94"/>
              </w:rPr>
              <w:t>Amount of Loss</w:t>
            </w:r>
          </w:p>
        </w:tc>
        <w:tc>
          <w:tcPr>
            <w:tcW w:w="360" w:type="dxa"/>
            <w:vAlign w:val="bottom"/>
          </w:tcPr>
          <w:p>
            <w:pPr>
              <w:spacing w:after="0"/>
              <w:rPr>
                <w:sz w:val="12"/>
                <w:szCs w:val="12"/>
                <w:color w:val="auto"/>
              </w:rPr>
            </w:pPr>
          </w:p>
        </w:tc>
        <w:tc>
          <w:tcPr>
            <w:tcW w:w="1280" w:type="dxa"/>
            <w:vAlign w:val="bottom"/>
            <w:gridSpan w:val="2"/>
          </w:tcPr>
          <w:p>
            <w:pPr>
              <w:jc w:val="center"/>
              <w:ind w:right="420"/>
              <w:spacing w:after="0" w:line="146" w:lineRule="exact"/>
              <w:rPr>
                <w:sz w:val="20"/>
                <w:szCs w:val="20"/>
                <w:color w:val="auto"/>
              </w:rPr>
            </w:pPr>
            <w:r>
              <w:rPr>
                <w:rFonts w:ascii="Arial" w:cs="Arial" w:eastAsia="Arial" w:hAnsi="Arial"/>
                <w:sz w:val="14"/>
                <w:szCs w:val="14"/>
                <w:color w:val="auto"/>
                <w:w w:val="92"/>
              </w:rPr>
              <w:t>Reclassified</w:t>
            </w: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00"/>
              <w:spacing w:after="0" w:line="146" w:lineRule="exact"/>
              <w:rPr>
                <w:sz w:val="20"/>
                <w:szCs w:val="20"/>
                <w:color w:val="auto"/>
              </w:rPr>
            </w:pPr>
            <w:r>
              <w:rPr>
                <w:rFonts w:ascii="Arial" w:cs="Arial" w:eastAsia="Arial" w:hAnsi="Arial"/>
                <w:sz w:val="14"/>
                <w:szCs w:val="14"/>
                <w:color w:val="auto"/>
                <w:w w:val="95"/>
              </w:rPr>
              <w:t>Amount</w:t>
            </w: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380"/>
              <w:spacing w:after="0" w:line="146" w:lineRule="exact"/>
              <w:rPr>
                <w:sz w:val="20"/>
                <w:szCs w:val="20"/>
                <w:color w:val="auto"/>
              </w:rPr>
            </w:pPr>
            <w:r>
              <w:rPr>
                <w:rFonts w:ascii="Arial" w:cs="Arial" w:eastAsia="Arial" w:hAnsi="Arial"/>
                <w:sz w:val="14"/>
                <w:szCs w:val="14"/>
                <w:color w:val="auto"/>
                <w:w w:val="91"/>
              </w:rPr>
              <w:t>Recognized</w:t>
            </w:r>
          </w:p>
        </w:tc>
        <w:tc>
          <w:tcPr>
            <w:tcW w:w="360" w:type="dxa"/>
            <w:vAlign w:val="bottom"/>
          </w:tcPr>
          <w:p>
            <w:pPr>
              <w:spacing w:after="0"/>
              <w:rPr>
                <w:sz w:val="12"/>
                <w:szCs w:val="12"/>
                <w:color w:val="auto"/>
              </w:rPr>
            </w:pPr>
          </w:p>
        </w:tc>
        <w:tc>
          <w:tcPr>
            <w:tcW w:w="1280" w:type="dxa"/>
            <w:vAlign w:val="bottom"/>
            <w:gridSpan w:val="2"/>
          </w:tcPr>
          <w:p>
            <w:pPr>
              <w:jc w:val="center"/>
              <w:ind w:right="420"/>
              <w:spacing w:after="0" w:line="146" w:lineRule="exact"/>
              <w:rPr>
                <w:sz w:val="20"/>
                <w:szCs w:val="20"/>
                <w:color w:val="auto"/>
              </w:rPr>
            </w:pPr>
            <w:r>
              <w:rPr>
                <w:rFonts w:ascii="Arial" w:cs="Arial" w:eastAsia="Arial" w:hAnsi="Arial"/>
                <w:sz w:val="14"/>
                <w:szCs w:val="14"/>
                <w:color w:val="auto"/>
                <w:w w:val="98"/>
              </w:rPr>
              <w:t>from OCI into</w:t>
            </w:r>
          </w:p>
        </w:tc>
        <w:tc>
          <w:tcPr>
            <w:tcW w:w="1680" w:type="dxa"/>
            <w:vAlign w:val="bottom"/>
          </w:tcPr>
          <w:p>
            <w:pPr>
              <w:ind w:left="340"/>
              <w:spacing w:after="0" w:line="146" w:lineRule="exact"/>
              <w:rPr>
                <w:sz w:val="20"/>
                <w:szCs w:val="20"/>
                <w:color w:val="auto"/>
              </w:rPr>
            </w:pPr>
            <w:r>
              <w:rPr>
                <w:rFonts w:ascii="Arial" w:cs="Arial" w:eastAsia="Arial" w:hAnsi="Arial"/>
                <w:sz w:val="14"/>
                <w:szCs w:val="14"/>
                <w:color w:val="auto"/>
              </w:rPr>
              <w:t>Location in</w:t>
            </w:r>
          </w:p>
        </w:tc>
        <w:tc>
          <w:tcPr>
            <w:tcW w:w="1160" w:type="dxa"/>
            <w:vAlign w:val="bottom"/>
            <w:gridSpan w:val="3"/>
          </w:tcPr>
          <w:p>
            <w:pPr>
              <w:jc w:val="center"/>
              <w:ind w:right="300"/>
              <w:spacing w:after="0" w:line="146" w:lineRule="exact"/>
              <w:rPr>
                <w:sz w:val="20"/>
                <w:szCs w:val="20"/>
                <w:color w:val="auto"/>
              </w:rPr>
            </w:pPr>
            <w:r>
              <w:rPr>
                <w:rFonts w:ascii="Arial" w:cs="Arial" w:eastAsia="Arial" w:hAnsi="Arial"/>
                <w:sz w:val="14"/>
                <w:szCs w:val="14"/>
                <w:color w:val="auto"/>
                <w:w w:val="96"/>
              </w:rPr>
              <w:t>Excluded from</w:t>
            </w:r>
          </w:p>
        </w:tc>
        <w:tc>
          <w:tcPr>
            <w:tcW w:w="1240" w:type="dxa"/>
            <w:vAlign w:val="bottom"/>
            <w:gridSpan w:val="2"/>
          </w:tcPr>
          <w:p>
            <w:pPr>
              <w:jc w:val="center"/>
              <w:ind w:left="45"/>
              <w:spacing w:after="0" w:line="146" w:lineRule="exact"/>
              <w:rPr>
                <w:sz w:val="20"/>
                <w:szCs w:val="20"/>
                <w:color w:val="auto"/>
              </w:rPr>
            </w:pPr>
            <w:r>
              <w:rPr>
                <w:rFonts w:ascii="Arial" w:cs="Arial" w:eastAsia="Arial" w:hAnsi="Arial"/>
                <w:sz w:val="14"/>
                <w:szCs w:val="14"/>
                <w:color w:val="auto"/>
                <w:w w:val="94"/>
              </w:rPr>
              <w:t>Location in</w:t>
            </w: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380"/>
              <w:spacing w:after="0" w:line="146" w:lineRule="exact"/>
              <w:rPr>
                <w:sz w:val="20"/>
                <w:szCs w:val="20"/>
                <w:color w:val="auto"/>
              </w:rPr>
            </w:pPr>
            <w:r>
              <w:rPr>
                <w:rFonts w:ascii="Arial" w:cs="Arial" w:eastAsia="Arial" w:hAnsi="Arial"/>
                <w:sz w:val="14"/>
                <w:szCs w:val="14"/>
                <w:color w:val="auto"/>
              </w:rPr>
              <w:t>in OCI</w:t>
            </w:r>
          </w:p>
        </w:tc>
        <w:tc>
          <w:tcPr>
            <w:tcW w:w="360" w:type="dxa"/>
            <w:vAlign w:val="bottom"/>
          </w:tcPr>
          <w:p>
            <w:pPr>
              <w:spacing w:after="0"/>
              <w:rPr>
                <w:sz w:val="12"/>
                <w:szCs w:val="12"/>
                <w:color w:val="auto"/>
              </w:rPr>
            </w:pPr>
          </w:p>
        </w:tc>
        <w:tc>
          <w:tcPr>
            <w:tcW w:w="1280" w:type="dxa"/>
            <w:vAlign w:val="bottom"/>
            <w:gridSpan w:val="2"/>
          </w:tcPr>
          <w:p>
            <w:pPr>
              <w:jc w:val="center"/>
              <w:ind w:right="420"/>
              <w:spacing w:after="0" w:line="146" w:lineRule="exact"/>
              <w:rPr>
                <w:sz w:val="20"/>
                <w:szCs w:val="20"/>
                <w:color w:val="auto"/>
              </w:rPr>
            </w:pPr>
            <w:r>
              <w:rPr>
                <w:rFonts w:ascii="Arial" w:cs="Arial" w:eastAsia="Arial" w:hAnsi="Arial"/>
                <w:sz w:val="14"/>
                <w:szCs w:val="14"/>
                <w:color w:val="auto"/>
                <w:w w:val="90"/>
              </w:rPr>
              <w:t>Earnings</w:t>
            </w:r>
          </w:p>
        </w:tc>
        <w:tc>
          <w:tcPr>
            <w:tcW w:w="1680" w:type="dxa"/>
            <w:vAlign w:val="bottom"/>
          </w:tcPr>
          <w:p>
            <w:pPr>
              <w:ind w:left="300"/>
              <w:spacing w:after="0" w:line="146" w:lineRule="exact"/>
              <w:rPr>
                <w:sz w:val="20"/>
                <w:szCs w:val="20"/>
                <w:color w:val="auto"/>
              </w:rPr>
            </w:pPr>
            <w:r>
              <w:rPr>
                <w:rFonts w:ascii="Arial" w:cs="Arial" w:eastAsia="Arial" w:hAnsi="Arial"/>
                <w:sz w:val="14"/>
                <w:szCs w:val="14"/>
                <w:color w:val="auto"/>
              </w:rPr>
              <w:t>Statement of</w:t>
            </w:r>
          </w:p>
        </w:tc>
        <w:tc>
          <w:tcPr>
            <w:tcW w:w="1160" w:type="dxa"/>
            <w:vAlign w:val="bottom"/>
            <w:gridSpan w:val="3"/>
          </w:tcPr>
          <w:p>
            <w:pPr>
              <w:jc w:val="center"/>
              <w:ind w:right="320"/>
              <w:spacing w:after="0" w:line="146" w:lineRule="exact"/>
              <w:rPr>
                <w:sz w:val="20"/>
                <w:szCs w:val="20"/>
                <w:color w:val="auto"/>
              </w:rPr>
            </w:pPr>
            <w:r>
              <w:rPr>
                <w:rFonts w:ascii="Arial" w:cs="Arial" w:eastAsia="Arial" w:hAnsi="Arial"/>
                <w:sz w:val="14"/>
                <w:szCs w:val="14"/>
                <w:color w:val="auto"/>
                <w:w w:val="91"/>
              </w:rPr>
              <w:t>Effectiveness</w:t>
            </w:r>
          </w:p>
        </w:tc>
        <w:tc>
          <w:tcPr>
            <w:tcW w:w="1240" w:type="dxa"/>
            <w:vAlign w:val="bottom"/>
            <w:gridSpan w:val="2"/>
          </w:tcPr>
          <w:p>
            <w:pPr>
              <w:jc w:val="center"/>
              <w:ind w:left="45"/>
              <w:spacing w:after="0" w:line="146" w:lineRule="exact"/>
              <w:rPr>
                <w:sz w:val="20"/>
                <w:szCs w:val="20"/>
                <w:color w:val="auto"/>
              </w:rPr>
            </w:pPr>
            <w:r>
              <w:rPr>
                <w:rFonts w:ascii="Arial" w:cs="Arial" w:eastAsia="Arial" w:hAnsi="Arial"/>
                <w:sz w:val="14"/>
                <w:szCs w:val="14"/>
                <w:color w:val="auto"/>
                <w:w w:val="90"/>
              </w:rPr>
              <w:t>Statement of</w:t>
            </w:r>
          </w:p>
        </w:tc>
        <w:tc>
          <w:tcPr>
            <w:tcW w:w="0" w:type="dxa"/>
            <w:vAlign w:val="bottom"/>
          </w:tcPr>
          <w:p>
            <w:pPr>
              <w:spacing w:after="0"/>
              <w:rPr>
                <w:sz w:val="1"/>
                <w:szCs w:val="1"/>
                <w:color w:val="auto"/>
              </w:rPr>
            </w:pPr>
          </w:p>
        </w:tc>
      </w:tr>
      <w:tr>
        <w:trPr>
          <w:trHeight w:val="164"/>
        </w:trPr>
        <w:tc>
          <w:tcPr>
            <w:tcW w:w="4360" w:type="dxa"/>
            <w:vAlign w:val="bottom"/>
          </w:tcPr>
          <w:p>
            <w:pPr>
              <w:spacing w:after="0"/>
              <w:rPr>
                <w:sz w:val="20"/>
                <w:szCs w:val="20"/>
                <w:color w:val="auto"/>
              </w:rPr>
            </w:pPr>
            <w:r>
              <w:rPr>
                <w:rFonts w:ascii="Arial" w:cs="Arial" w:eastAsia="Arial" w:hAnsi="Arial"/>
                <w:sz w:val="14"/>
                <w:szCs w:val="14"/>
                <w:color w:val="auto"/>
              </w:rPr>
              <w:t>Derivative Instruments</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(Effective Portion)</w:t>
            </w:r>
          </w:p>
        </w:tc>
        <w:tc>
          <w:tcPr>
            <w:tcW w:w="1640" w:type="dxa"/>
            <w:vAlign w:val="bottom"/>
            <w:gridSpan w:val="3"/>
          </w:tcPr>
          <w:p>
            <w:pPr>
              <w:jc w:val="center"/>
              <w:ind w:right="60"/>
              <w:spacing w:after="0"/>
              <w:rPr>
                <w:sz w:val="20"/>
                <w:szCs w:val="20"/>
                <w:color w:val="auto"/>
              </w:rPr>
            </w:pPr>
            <w:r>
              <w:rPr>
                <w:rFonts w:ascii="Arial" w:cs="Arial" w:eastAsia="Arial" w:hAnsi="Arial"/>
                <w:sz w:val="14"/>
                <w:szCs w:val="14"/>
                <w:color w:val="auto"/>
                <w:w w:val="95"/>
              </w:rPr>
              <w:t>(Effective Portion)</w:t>
            </w:r>
          </w:p>
        </w:tc>
        <w:tc>
          <w:tcPr>
            <w:tcW w:w="1680" w:type="dxa"/>
            <w:vAlign w:val="bottom"/>
          </w:tcPr>
          <w:p>
            <w:pPr>
              <w:ind w:left="360"/>
              <w:spacing w:after="0"/>
              <w:rPr>
                <w:sz w:val="20"/>
                <w:szCs w:val="20"/>
                <w:color w:val="auto"/>
              </w:rPr>
            </w:pPr>
            <w:r>
              <w:rPr>
                <w:rFonts w:ascii="Arial" w:cs="Arial" w:eastAsia="Arial" w:hAnsi="Arial"/>
                <w:sz w:val="14"/>
                <w:szCs w:val="14"/>
                <w:color w:val="auto"/>
              </w:rPr>
              <w:t>Operations</w:t>
            </w:r>
          </w:p>
        </w:tc>
        <w:tc>
          <w:tcPr>
            <w:tcW w:w="10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Testing (*)</w:t>
            </w:r>
          </w:p>
        </w:tc>
        <w:tc>
          <w:tcPr>
            <w:tcW w:w="1240" w:type="dxa"/>
            <w:vAlign w:val="bottom"/>
            <w:gridSpan w:val="2"/>
          </w:tcPr>
          <w:p>
            <w:pPr>
              <w:jc w:val="center"/>
              <w:ind w:left="25"/>
              <w:spacing w:after="0"/>
              <w:rPr>
                <w:sz w:val="20"/>
                <w:szCs w:val="20"/>
                <w:color w:val="auto"/>
              </w:rPr>
            </w:pPr>
            <w:r>
              <w:rPr>
                <w:rFonts w:ascii="Arial" w:cs="Arial" w:eastAsia="Arial" w:hAnsi="Arial"/>
                <w:sz w:val="14"/>
                <w:szCs w:val="14"/>
                <w:color w:val="auto"/>
                <w:w w:val="90"/>
              </w:rPr>
              <w:t>Operations</w:t>
            </w:r>
          </w:p>
        </w:tc>
        <w:tc>
          <w:tcPr>
            <w:tcW w:w="0" w:type="dxa"/>
            <w:vAlign w:val="bottom"/>
          </w:tcPr>
          <w:p>
            <w:pPr>
              <w:spacing w:after="0"/>
              <w:rPr>
                <w:sz w:val="1"/>
                <w:szCs w:val="1"/>
                <w:color w:val="auto"/>
              </w:rPr>
            </w:pPr>
          </w:p>
        </w:tc>
      </w:tr>
      <w:tr>
        <w:trPr>
          <w:trHeight w:val="127"/>
        </w:trPr>
        <w:tc>
          <w:tcPr>
            <w:tcW w:w="4360" w:type="dxa"/>
            <w:vAlign w:val="bottom"/>
            <w:tcBorders>
              <w:top w:val="single" w:sz="8" w:color="auto"/>
            </w:tcBorders>
          </w:tcPr>
          <w:p>
            <w:pPr>
              <w:spacing w:after="0" w:line="127" w:lineRule="exact"/>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Designated foreign currency hedge contracts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80"/>
              <w:spacing w:after="0"/>
              <w:rPr>
                <w:sz w:val="20"/>
                <w:szCs w:val="20"/>
                <w:color w:val="auto"/>
              </w:rPr>
            </w:pPr>
            <w:r>
              <w:rPr>
                <w:rFonts w:ascii="Arial" w:cs="Arial" w:eastAsia="Arial" w:hAnsi="Arial"/>
                <w:sz w:val="18"/>
                <w:szCs w:val="18"/>
                <w:color w:val="auto"/>
              </w:rPr>
              <w:t>(3,144)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(73)</w:t>
            </w:r>
          </w:p>
        </w:tc>
        <w:tc>
          <w:tcPr>
            <w:tcW w:w="1680" w:type="dxa"/>
            <w:vAlign w:val="bottom"/>
          </w:tcPr>
          <w:p>
            <w:pPr>
              <w:jc w:val="center"/>
              <w:ind w:right="120"/>
              <w:spacing w:after="0"/>
              <w:rPr>
                <w:sz w:val="20"/>
                <w:szCs w:val="20"/>
                <w:color w:val="auto"/>
              </w:rPr>
            </w:pPr>
            <w:r>
              <w:rPr>
                <w:rFonts w:ascii="Arial" w:cs="Arial" w:eastAsia="Arial" w:hAnsi="Arial"/>
                <w:sz w:val="18"/>
                <w:szCs w:val="18"/>
                <w:color w:val="auto"/>
                <w:w w:val="85"/>
              </w:rPr>
              <w:t>Net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(273)</w:t>
            </w:r>
          </w:p>
        </w:tc>
        <w:tc>
          <w:tcPr>
            <w:tcW w:w="1240" w:type="dxa"/>
            <w:vAlign w:val="bottom"/>
            <w:gridSpan w:val="2"/>
          </w:tcPr>
          <w:p>
            <w:pPr>
              <w:ind w:left="260"/>
              <w:spacing w:after="0"/>
              <w:rPr>
                <w:sz w:val="20"/>
                <w:szCs w:val="20"/>
                <w:color w:val="auto"/>
              </w:rPr>
            </w:pPr>
            <w:r>
              <w:rPr>
                <w:rFonts w:ascii="Arial" w:cs="Arial" w:eastAsia="Arial" w:hAnsi="Arial"/>
                <w:sz w:val="18"/>
                <w:szCs w:val="18"/>
                <w:color w:val="auto"/>
                <w:w w:val="88"/>
              </w:rPr>
              <w:t>Other income</w:t>
            </w:r>
          </w:p>
        </w:tc>
        <w:tc>
          <w:tcPr>
            <w:tcW w:w="0" w:type="dxa"/>
            <w:vAlign w:val="bottom"/>
          </w:tcPr>
          <w:p>
            <w:pPr>
              <w:spacing w:after="0"/>
              <w:rPr>
                <w:sz w:val="1"/>
                <w:szCs w:val="1"/>
                <w:color w:val="auto"/>
              </w:rPr>
            </w:pPr>
          </w:p>
        </w:tc>
      </w:tr>
      <w:tr>
        <w:trPr>
          <w:trHeight w:val="207"/>
        </w:trPr>
        <w:tc>
          <w:tcPr>
            <w:tcW w:w="4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ind w:left="320"/>
              <w:spacing w:after="0"/>
              <w:rPr>
                <w:sz w:val="20"/>
                <w:szCs w:val="20"/>
                <w:color w:val="auto"/>
              </w:rPr>
            </w:pPr>
            <w:r>
              <w:rPr>
                <w:rFonts w:ascii="Arial" w:cs="Arial" w:eastAsia="Arial" w:hAnsi="Arial"/>
                <w:sz w:val="18"/>
                <w:szCs w:val="18"/>
                <w:color w:val="auto"/>
              </w:rPr>
              <w:t>COGS, and</w:t>
            </w: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vMerge w:val="restart"/>
          </w:tcPr>
          <w:p>
            <w:pPr>
              <w:jc w:val="right"/>
              <w:ind w:right="180"/>
              <w:spacing w:after="0"/>
              <w:rPr>
                <w:sz w:val="20"/>
                <w:szCs w:val="20"/>
                <w:color w:val="auto"/>
              </w:rPr>
            </w:pPr>
            <w:r>
              <w:rPr>
                <w:rFonts w:ascii="Arial" w:cs="Arial" w:eastAsia="Arial" w:hAnsi="Arial"/>
                <w:sz w:val="18"/>
                <w:szCs w:val="18"/>
                <w:color w:val="auto"/>
              </w:rPr>
              <w:t>(3,144)</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(73)</w:t>
            </w:r>
          </w:p>
        </w:tc>
        <w:tc>
          <w:tcPr>
            <w:tcW w:w="1680" w:type="dxa"/>
            <w:vAlign w:val="bottom"/>
          </w:tcPr>
          <w:p>
            <w:pPr>
              <w:jc w:val="center"/>
              <w:ind w:right="140"/>
              <w:spacing w:after="0"/>
              <w:rPr>
                <w:sz w:val="20"/>
                <w:szCs w:val="20"/>
                <w:color w:val="auto"/>
              </w:rPr>
            </w:pPr>
            <w:r>
              <w:rPr>
                <w:rFonts w:ascii="Arial" w:cs="Arial" w:eastAsia="Arial" w:hAnsi="Arial"/>
                <w:sz w:val="18"/>
                <w:szCs w:val="18"/>
                <w:color w:val="auto"/>
                <w:w w:val="99"/>
              </w:rPr>
              <w:t>SG&amp;A</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(273)</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13049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52" w:lineRule="exact"/>
        <w:rPr>
          <w:sz w:val="20"/>
          <w:szCs w:val="20"/>
          <w:color w:val="auto"/>
        </w:rPr>
      </w:pPr>
    </w:p>
    <w:p>
      <w:pPr>
        <w:ind w:right="3580" w:firstLine="6"/>
        <w:spacing w:after="0" w:line="442" w:lineRule="auto"/>
        <w:tabs>
          <w:tab w:leader="none" w:pos="464"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exclude the difference between the spot rate and hedge forward rate from our effectiveness testing. We did not have fair value hedges or net investment hedges outstanding as of January 1, 2011 or April 3, 2010.</w:t>
      </w:r>
    </w:p>
    <w:p>
      <w:pPr>
        <w:spacing w:after="0" w:line="1"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 xml:space="preserve">ASC Topic 815 requires all derivative instruments to be recognized at their fair values as either assets or liabilities on the balance sheet. We determine the fair value of our derivative instruments using the framework prescribed by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we would receive or pay to sell or transfer these instruments at the reporting date and by taking into account current interest rates, currency exchange rates,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January 1, 2011, we have classified our derivative assets and liabilities within Level 2 of the fair value hierarchy prescribed by ASC Topic 815, as discussed below, because these observable inputs are available for substantially the full term of our derivative instruments.</w:t>
      </w:r>
    </w:p>
    <w:p>
      <w:pPr>
        <w:spacing w:after="0" w:line="80" w:lineRule="exact"/>
        <w:rPr>
          <w:sz w:val="20"/>
          <w:szCs w:val="20"/>
          <w:color w:val="auto"/>
        </w:rPr>
      </w:pPr>
    </w:p>
    <w:p>
      <w:pPr>
        <w:ind w:right="540"/>
        <w:spacing w:after="0" w:line="265" w:lineRule="auto"/>
        <w:rPr>
          <w:sz w:val="20"/>
          <w:szCs w:val="20"/>
          <w:color w:val="auto"/>
        </w:rPr>
      </w:pPr>
      <w:r>
        <w:rPr>
          <w:rFonts w:ascii="Arial" w:cs="Arial" w:eastAsia="Arial" w:hAnsi="Arial"/>
          <w:sz w:val="18"/>
          <w:szCs w:val="18"/>
          <w:color w:val="auto"/>
        </w:rPr>
        <w:t>The following tables present the fair value of our derivative instruments as they appear in our consolidated balance sheets as of January 1, 2011 by type of contract and whether it is a qualifying hedge under ASC Topic 815.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0" w:type="dxa"/>
            <w:vAlign w:val="bottom"/>
            <w:gridSpan w:val="2"/>
          </w:tcPr>
          <w:p>
            <w:pPr>
              <w:jc w:val="center"/>
              <w:ind w:right="760"/>
              <w:spacing w:after="0"/>
              <w:rPr>
                <w:sz w:val="20"/>
                <w:szCs w:val="20"/>
                <w:color w:val="auto"/>
              </w:rPr>
            </w:pPr>
            <w:r>
              <w:rPr>
                <w:rFonts w:ascii="Arial" w:cs="Arial" w:eastAsia="Arial" w:hAnsi="Arial"/>
                <w:sz w:val="14"/>
                <w:szCs w:val="14"/>
                <w:color w:val="auto"/>
                <w:w w:val="94"/>
              </w:rPr>
              <w:t>Location in</w:t>
            </w:r>
          </w:p>
        </w:tc>
        <w:tc>
          <w:tcPr>
            <w:tcW w:w="1720" w:type="dxa"/>
            <w:vAlign w:val="bottom"/>
            <w:gridSpan w:val="4"/>
          </w:tcPr>
          <w:p>
            <w:pPr>
              <w:ind w:left="80"/>
              <w:spacing w:after="0"/>
              <w:rPr>
                <w:sz w:val="20"/>
                <w:szCs w:val="20"/>
                <w:color w:val="auto"/>
              </w:rPr>
            </w:pPr>
            <w:r>
              <w:rPr>
                <w:rFonts w:ascii="Arial" w:cs="Arial" w:eastAsia="Arial" w:hAnsi="Arial"/>
                <w:sz w:val="14"/>
                <w:szCs w:val="14"/>
                <w:color w:val="auto"/>
              </w:rPr>
              <w:t>Balance as of</w:t>
            </w:r>
          </w:p>
        </w:tc>
        <w:tc>
          <w:tcPr>
            <w:tcW w:w="860" w:type="dxa"/>
            <w:vAlign w:val="bottom"/>
            <w:gridSpan w:val="3"/>
          </w:tcPr>
          <w:p>
            <w:pPr>
              <w:spacing w:after="0"/>
              <w:rPr>
                <w:sz w:val="20"/>
                <w:szCs w:val="20"/>
                <w:color w:val="auto"/>
              </w:rPr>
            </w:pPr>
            <w:r>
              <w:rPr>
                <w:rFonts w:ascii="Arial" w:cs="Arial" w:eastAsia="Arial" w:hAnsi="Arial"/>
                <w:sz w:val="14"/>
                <w:szCs w:val="14"/>
                <w:color w:val="auto"/>
                <w:w w:val="98"/>
              </w:rPr>
              <w:t>Balance as of</w:t>
            </w:r>
          </w:p>
        </w:tc>
        <w:tc>
          <w:tcPr>
            <w:tcW w:w="0" w:type="dxa"/>
            <w:vAlign w:val="bottom"/>
          </w:tcPr>
          <w:p>
            <w:pPr>
              <w:spacing w:after="0"/>
              <w:rPr>
                <w:sz w:val="1"/>
                <w:szCs w:val="1"/>
                <w:color w:val="auto"/>
              </w:rPr>
            </w:pPr>
          </w:p>
        </w:tc>
      </w:tr>
      <w:tr>
        <w:trPr>
          <w:trHeight w:val="164"/>
        </w:trPr>
        <w:tc>
          <w:tcPr>
            <w:tcW w:w="61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14"/>
                <w:szCs w:val="14"/>
                <w:color w:val="auto"/>
              </w:rPr>
            </w:pPr>
          </w:p>
        </w:tc>
        <w:tc>
          <w:tcPr>
            <w:tcW w:w="2200" w:type="dxa"/>
            <w:vAlign w:val="bottom"/>
            <w:gridSpan w:val="2"/>
          </w:tcPr>
          <w:p>
            <w:pPr>
              <w:jc w:val="center"/>
              <w:ind w:right="760"/>
              <w:spacing w:after="0"/>
              <w:rPr>
                <w:sz w:val="20"/>
                <w:szCs w:val="20"/>
                <w:color w:val="auto"/>
              </w:rPr>
            </w:pPr>
            <w:r>
              <w:rPr>
                <w:rFonts w:ascii="Arial" w:cs="Arial" w:eastAsia="Arial" w:hAnsi="Arial"/>
                <w:sz w:val="14"/>
                <w:szCs w:val="14"/>
                <w:color w:val="auto"/>
                <w:w w:val="87"/>
              </w:rPr>
              <w:t>Balance Sheet</w:t>
            </w:r>
          </w:p>
        </w:tc>
        <w:tc>
          <w:tcPr>
            <w:tcW w:w="1720" w:type="dxa"/>
            <w:vAlign w:val="bottom"/>
            <w:gridSpan w:val="4"/>
          </w:tcPr>
          <w:p>
            <w:pPr>
              <w:spacing w:after="0"/>
              <w:rPr>
                <w:sz w:val="20"/>
                <w:szCs w:val="20"/>
                <w:color w:val="auto"/>
              </w:rPr>
            </w:pPr>
            <w:r>
              <w:rPr>
                <w:rFonts w:ascii="Arial" w:cs="Arial" w:eastAsia="Arial" w:hAnsi="Arial"/>
                <w:sz w:val="14"/>
                <w:szCs w:val="14"/>
                <w:color w:val="auto"/>
              </w:rPr>
              <w:t>January 1, 2011</w:t>
            </w:r>
          </w:p>
        </w:tc>
        <w:tc>
          <w:tcPr>
            <w:tcW w:w="860" w:type="dxa"/>
            <w:vAlign w:val="bottom"/>
            <w:gridSpan w:val="3"/>
          </w:tcPr>
          <w:p>
            <w:pPr>
              <w:spacing w:after="0"/>
              <w:rPr>
                <w:sz w:val="20"/>
                <w:szCs w:val="20"/>
                <w:color w:val="auto"/>
              </w:rPr>
            </w:pPr>
            <w:r>
              <w:rPr>
                <w:rFonts w:ascii="Arial" w:cs="Arial" w:eastAsia="Arial" w:hAnsi="Arial"/>
                <w:sz w:val="14"/>
                <w:szCs w:val="14"/>
                <w:color w:val="auto"/>
              </w:rPr>
              <w:t>April 3, 2010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0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Derivative Assets:</w:t>
            </w:r>
          </w:p>
        </w:tc>
        <w:tc>
          <w:tcPr>
            <w:tcW w:w="520" w:type="dxa"/>
            <w:vAlign w:val="bottom"/>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Designated foreign currency hedge contracts</w:t>
            </w:r>
          </w:p>
        </w:tc>
        <w:tc>
          <w:tcPr>
            <w:tcW w:w="520" w:type="dxa"/>
            <w:vAlign w:val="bottom"/>
          </w:tcPr>
          <w:p>
            <w:pPr>
              <w:spacing w:after="0"/>
              <w:rPr>
                <w:sz w:val="19"/>
                <w:szCs w:val="19"/>
                <w:color w:val="auto"/>
              </w:rPr>
            </w:pPr>
          </w:p>
        </w:tc>
        <w:tc>
          <w:tcPr>
            <w:tcW w:w="2200" w:type="dxa"/>
            <w:vAlign w:val="bottom"/>
            <w:gridSpan w:val="2"/>
          </w:tcPr>
          <w:p>
            <w:pPr>
              <w:jc w:val="center"/>
              <w:ind w:right="520"/>
              <w:spacing w:after="0"/>
              <w:rPr>
                <w:sz w:val="20"/>
                <w:szCs w:val="20"/>
                <w:color w:val="auto"/>
              </w:rPr>
            </w:pPr>
            <w:r>
              <w:rPr>
                <w:rFonts w:ascii="Arial" w:cs="Arial" w:eastAsia="Arial" w:hAnsi="Arial"/>
                <w:sz w:val="18"/>
                <w:szCs w:val="18"/>
                <w:color w:val="auto"/>
                <w:w w:val="85"/>
              </w:rPr>
              <w:t>Other current assets</w:t>
            </w: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2,481</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4,407</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612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Designated foreign currency hedge contracts</w:t>
            </w:r>
          </w:p>
        </w:tc>
        <w:tc>
          <w:tcPr>
            <w:tcW w:w="27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Other accrued liabilities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4,374</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4,374</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Fair Value Measurements</w:t>
      </w:r>
    </w:p>
    <w:p>
      <w:pPr>
        <w:spacing w:after="0" w:line="111"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 xml:space="preserve">ASC Topic 820, </w:t>
      </w:r>
      <w:r>
        <w:rPr>
          <w:rFonts w:ascii="Arial" w:cs="Arial" w:eastAsia="Arial" w:hAnsi="Arial"/>
          <w:sz w:val="15"/>
          <w:szCs w:val="15"/>
          <w:i w:val="1"/>
          <w:iCs w:val="1"/>
          <w:color w:val="auto"/>
        </w:rPr>
        <w:t>Fair Value Measurements and Disclosures</w:t>
      </w:r>
      <w:r>
        <w:rPr>
          <w:rFonts w:ascii="Arial" w:cs="Arial" w:eastAsia="Arial" w:hAnsi="Arial"/>
          <w:sz w:val="15"/>
          <w:szCs w:val="15"/>
          <w:color w:val="auto"/>
        </w:rPr>
        <w:t>, defines fair value, establishes a framework for measuring fair value in accordance with U.S. GAAP, and expands disclosures about fair value measurements. ASC Topic 820 does not require any new fair value measurements; rather, it applies to other accounting pronouncements that require or permit fair value measurements. In accordance with ASC Topic 820, for the quarter and the nine months ended January 1, 2011, we applied the requirements under ASC Topic 820 to our non-financial assets and non-financial liabilities. As we did not have an impairment of any non-financial assets or non-financial liabilities, there was no disclosure required relating to our non-financial assets or non-financial liabilities.</w:t>
      </w:r>
    </w:p>
    <w:p>
      <w:pPr>
        <w:spacing w:after="0" w:line="4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a recurring basis, we measure certain financial assets and financial liabilities at fair value, including our money market funds, foreign currency derivative contracts, and contingent consideration. ASC Topic 820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40"/>
          </w:cols>
          <w:pgMar w:left="240" w:top="413" w:right="2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0"/>
        <w:spacing w:after="0" w:line="265" w:lineRule="auto"/>
        <w:rPr>
          <w:sz w:val="20"/>
          <w:szCs w:val="20"/>
          <w:color w:val="auto"/>
        </w:rPr>
      </w:pPr>
      <w:r>
        <w:rPr>
          <w:rFonts w:ascii="Arial" w:cs="Arial" w:eastAsia="Arial" w:hAnsi="Arial"/>
          <w:sz w:val="18"/>
          <w:szCs w:val="18"/>
          <w:color w:val="auto"/>
        </w:rPr>
        <w:t>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7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ASC Topic 820 establishes a three-level valuation hierarchy for disclosure of fair value measurements. The categorization of assets and liabilities within the valuation hierarchy is based upon the lowest level of input that is significant to the measurement of fair value. The three levels of the hierarchy are defined as follows:</w:t>
      </w:r>
    </w:p>
    <w:p>
      <w:pPr>
        <w:spacing w:after="0" w:line="83" w:lineRule="exact"/>
        <w:rPr>
          <w:sz w:val="20"/>
          <w:szCs w:val="20"/>
          <w:color w:val="auto"/>
        </w:rPr>
      </w:pPr>
    </w:p>
    <w:p>
      <w:pPr>
        <w:ind w:left="660" w:hanging="429"/>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124" w:lineRule="exact"/>
        <w:rPr>
          <w:rFonts w:ascii="Arial" w:cs="Arial" w:eastAsia="Arial" w:hAnsi="Arial"/>
          <w:sz w:val="18"/>
          <w:szCs w:val="18"/>
          <w:b w:val="1"/>
          <w:bCs w:val="1"/>
          <w:color w:val="auto"/>
        </w:rPr>
      </w:pPr>
    </w:p>
    <w:p>
      <w:pPr>
        <w:ind w:left="660" w:right="120" w:hanging="429"/>
        <w:spacing w:after="0" w:line="265"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spacing w:after="0" w:line="86" w:lineRule="exact"/>
        <w:rPr>
          <w:rFonts w:ascii="Arial" w:cs="Arial" w:eastAsia="Arial" w:hAnsi="Arial"/>
          <w:sz w:val="18"/>
          <w:szCs w:val="18"/>
          <w:b w:val="1"/>
          <w:bCs w:val="1"/>
          <w:color w:val="auto"/>
        </w:rPr>
      </w:pPr>
    </w:p>
    <w:p>
      <w:pPr>
        <w:ind w:left="660" w:right="140" w:hanging="429"/>
        <w:spacing w:after="0" w:line="265"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73" w:lineRule="exact"/>
        <w:rPr>
          <w:sz w:val="20"/>
          <w:szCs w:val="20"/>
          <w:color w:val="auto"/>
        </w:rPr>
      </w:pPr>
    </w:p>
    <w:p>
      <w:pPr>
        <w:ind w:right="380"/>
        <w:spacing w:after="0" w:line="265" w:lineRule="auto"/>
        <w:rPr>
          <w:sz w:val="20"/>
          <w:szCs w:val="20"/>
          <w:color w:val="auto"/>
        </w:rPr>
      </w:pPr>
      <w:r>
        <w:rPr>
          <w:rFonts w:ascii="Arial" w:cs="Arial" w:eastAsia="Arial" w:hAnsi="Arial"/>
          <w:sz w:val="18"/>
          <w:szCs w:val="18"/>
          <w:color w:val="auto"/>
        </w:rPr>
        <w:t>Our money market funds carried at fair value are generally classified within Level 1 of the fair value hierarchy because they are valued using quoted market prices.</w:t>
      </w:r>
    </w:p>
    <w:p>
      <w:pPr>
        <w:spacing w:after="0" w:line="73"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 xml:space="preserve">We recognize all derivative financial instruments in our consolidated financial statements at fair value in accordance with ASC Topic 815,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w:t>
      </w:r>
      <w:r>
        <w:rPr>
          <w:rFonts w:ascii="Arial" w:cs="Arial" w:eastAsia="Arial" w:hAnsi="Arial"/>
          <w:sz w:val="17"/>
          <w:szCs w:val="17"/>
          <w:color w:val="auto"/>
        </w:rPr>
        <w:t>. We determine the fair value of these instruments using the framework prescribed by ASC Topic 820 by considering the estimated amount we would</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or pay to terminate these agreements at the reporting date and by taking into account current spot rates, the creditworthiness of the counterparty for assets, and our creditworthiness for liabilities. We have classified our foreign currency hedge contracts within Level 2 of the fair value hierarchy because these observable inputs are available for substantially the full term of our derivative instruments. For the quarter and first nine months ended January 1, 2011, we have classified our other liabilities — contingent consideration relating to our acquisition of Neoteric within Level 3 of the fair value hierarchy because the value is determined using significant unobservable inputs.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Measured on a Recurring Basis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financial liabilities measured at fair value on a recurring basis consist of the following as of January 1, 2011: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color w:val="auto"/>
                <w:w w:val="95"/>
              </w:rPr>
              <w:t>Significant</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360" w:type="dxa"/>
            <w:vAlign w:val="bottom"/>
            <w:gridSpan w:val="2"/>
          </w:tcPr>
          <w:p>
            <w:pPr>
              <w:jc w:val="center"/>
              <w:spacing w:after="0" w:line="146" w:lineRule="exact"/>
              <w:rPr>
                <w:sz w:val="20"/>
                <w:szCs w:val="20"/>
                <w:color w:val="auto"/>
              </w:rPr>
            </w:pPr>
            <w:r>
              <w:rPr>
                <w:rFonts w:ascii="Arial" w:cs="Arial" w:eastAsia="Arial" w:hAnsi="Arial"/>
                <w:sz w:val="14"/>
                <w:szCs w:val="14"/>
                <w:color w:val="auto"/>
                <w:w w:val="90"/>
              </w:rPr>
              <w:t>Quoted Market</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center"/>
              <w:ind w:right="256"/>
              <w:spacing w:after="0" w:line="146" w:lineRule="exact"/>
              <w:rPr>
                <w:sz w:val="20"/>
                <w:szCs w:val="20"/>
                <w:color w:val="auto"/>
              </w:rPr>
            </w:pPr>
            <w:r>
              <w:rPr>
                <w:rFonts w:ascii="Arial" w:cs="Arial" w:eastAsia="Arial" w:hAnsi="Arial"/>
                <w:sz w:val="14"/>
                <w:szCs w:val="14"/>
                <w:color w:val="auto"/>
                <w:w w:val="91"/>
              </w:rPr>
              <w:t>Other</w:t>
            </w:r>
          </w:p>
        </w:tc>
        <w:tc>
          <w:tcPr>
            <w:tcW w:w="480" w:type="dxa"/>
            <w:vAlign w:val="bottom"/>
          </w:tcPr>
          <w:p>
            <w:pPr>
              <w:spacing w:after="0"/>
              <w:rPr>
                <w:sz w:val="12"/>
                <w:szCs w:val="12"/>
                <w:color w:val="auto"/>
              </w:rPr>
            </w:pPr>
          </w:p>
        </w:tc>
        <w:tc>
          <w:tcPr>
            <w:tcW w:w="1060" w:type="dxa"/>
            <w:vAlign w:val="bottom"/>
            <w:gridSpan w:val="2"/>
          </w:tcPr>
          <w:p>
            <w:pPr>
              <w:jc w:val="center"/>
              <w:spacing w:after="0" w:line="146" w:lineRule="exact"/>
              <w:rPr>
                <w:sz w:val="20"/>
                <w:szCs w:val="20"/>
                <w:color w:val="auto"/>
              </w:rPr>
            </w:pPr>
            <w:r>
              <w:rPr>
                <w:rFonts w:ascii="Arial" w:cs="Arial" w:eastAsia="Arial" w:hAnsi="Arial"/>
                <w:sz w:val="14"/>
                <w:szCs w:val="14"/>
                <w:color w:val="auto"/>
                <w:w w:val="95"/>
              </w:rPr>
              <w:t>Significant</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center"/>
              <w:ind w:right="316"/>
              <w:spacing w:after="0" w:line="146" w:lineRule="exact"/>
              <w:rPr>
                <w:sz w:val="20"/>
                <w:szCs w:val="20"/>
                <w:color w:val="auto"/>
              </w:rPr>
            </w:pPr>
            <w:r>
              <w:rPr>
                <w:rFonts w:ascii="Arial" w:cs="Arial" w:eastAsia="Arial" w:hAnsi="Arial"/>
                <w:sz w:val="14"/>
                <w:szCs w:val="14"/>
                <w:color w:val="auto"/>
                <w:w w:val="94"/>
              </w:rPr>
              <w:t>Prices for</w:t>
            </w:r>
          </w:p>
        </w:tc>
        <w:tc>
          <w:tcPr>
            <w:tcW w:w="480" w:type="dxa"/>
            <w:vAlign w:val="bottom"/>
          </w:tcPr>
          <w:p>
            <w:pPr>
              <w:spacing w:after="0"/>
              <w:rPr>
                <w:sz w:val="12"/>
                <w:szCs w:val="12"/>
                <w:color w:val="auto"/>
              </w:rPr>
            </w:pPr>
          </w:p>
        </w:tc>
        <w:tc>
          <w:tcPr>
            <w:tcW w:w="1060" w:type="dxa"/>
            <w:vAlign w:val="bottom"/>
            <w:gridSpan w:val="2"/>
          </w:tcPr>
          <w:p>
            <w:pPr>
              <w:jc w:val="center"/>
              <w:spacing w:after="0" w:line="146" w:lineRule="exact"/>
              <w:rPr>
                <w:sz w:val="20"/>
                <w:szCs w:val="20"/>
                <w:color w:val="auto"/>
              </w:rPr>
            </w:pPr>
            <w:r>
              <w:rPr>
                <w:rFonts w:ascii="Arial" w:cs="Arial" w:eastAsia="Arial" w:hAnsi="Arial"/>
                <w:sz w:val="14"/>
                <w:szCs w:val="14"/>
                <w:color w:val="auto"/>
                <w:w w:val="89"/>
              </w:rPr>
              <w:t>Observable</w:t>
            </w:r>
          </w:p>
        </w:tc>
        <w:tc>
          <w:tcPr>
            <w:tcW w:w="480" w:type="dxa"/>
            <w:vAlign w:val="bottom"/>
          </w:tcPr>
          <w:p>
            <w:pPr>
              <w:spacing w:after="0"/>
              <w:rPr>
                <w:sz w:val="12"/>
                <w:szCs w:val="12"/>
                <w:color w:val="auto"/>
              </w:rPr>
            </w:pPr>
          </w:p>
        </w:tc>
        <w:tc>
          <w:tcPr>
            <w:tcW w:w="1060" w:type="dxa"/>
            <w:vAlign w:val="bottom"/>
            <w:gridSpan w:val="2"/>
          </w:tcPr>
          <w:p>
            <w:pPr>
              <w:jc w:val="center"/>
              <w:spacing w:after="0" w:line="146" w:lineRule="exact"/>
              <w:rPr>
                <w:sz w:val="20"/>
                <w:szCs w:val="20"/>
                <w:color w:val="auto"/>
              </w:rPr>
            </w:pPr>
            <w:r>
              <w:rPr>
                <w:rFonts w:ascii="Arial" w:cs="Arial" w:eastAsia="Arial" w:hAnsi="Arial"/>
                <w:sz w:val="14"/>
                <w:szCs w:val="14"/>
                <w:color w:val="auto"/>
                <w:w w:val="92"/>
              </w:rPr>
              <w:t>Unobservable</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360" w:type="dxa"/>
            <w:vAlign w:val="bottom"/>
            <w:gridSpan w:val="2"/>
          </w:tcPr>
          <w:p>
            <w:pPr>
              <w:jc w:val="center"/>
              <w:spacing w:after="0" w:line="146" w:lineRule="exact"/>
              <w:rPr>
                <w:sz w:val="20"/>
                <w:szCs w:val="20"/>
                <w:color w:val="auto"/>
              </w:rPr>
            </w:pPr>
            <w:r>
              <w:rPr>
                <w:rFonts w:ascii="Arial" w:cs="Arial" w:eastAsia="Arial" w:hAnsi="Arial"/>
                <w:sz w:val="14"/>
                <w:szCs w:val="14"/>
                <w:color w:val="auto"/>
                <w:w w:val="89"/>
              </w:rPr>
              <w:t>Identical Assets</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center"/>
              <w:ind w:right="256"/>
              <w:spacing w:after="0" w:line="146" w:lineRule="exact"/>
              <w:rPr>
                <w:sz w:val="20"/>
                <w:szCs w:val="20"/>
                <w:color w:val="auto"/>
              </w:rPr>
            </w:pPr>
            <w:r>
              <w:rPr>
                <w:rFonts w:ascii="Arial" w:cs="Arial" w:eastAsia="Arial" w:hAnsi="Arial"/>
                <w:sz w:val="14"/>
                <w:szCs w:val="14"/>
                <w:color w:val="auto"/>
                <w:w w:val="94"/>
              </w:rPr>
              <w:t>Inputs</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center"/>
              <w:ind w:right="254"/>
              <w:spacing w:after="0" w:line="146" w:lineRule="exact"/>
              <w:rPr>
                <w:sz w:val="20"/>
                <w:szCs w:val="20"/>
                <w:color w:val="auto"/>
              </w:rPr>
            </w:pPr>
            <w:r>
              <w:rPr>
                <w:rFonts w:ascii="Arial" w:cs="Arial" w:eastAsia="Arial" w:hAnsi="Arial"/>
                <w:sz w:val="14"/>
                <w:szCs w:val="14"/>
                <w:color w:val="auto"/>
                <w:w w:val="94"/>
              </w:rPr>
              <w:t>Inputs</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1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16"/>
              <w:spacing w:after="0"/>
              <w:rPr>
                <w:sz w:val="20"/>
                <w:szCs w:val="20"/>
                <w:color w:val="auto"/>
              </w:rPr>
            </w:pPr>
            <w:r>
              <w:rPr>
                <w:rFonts w:ascii="Arial" w:cs="Arial" w:eastAsia="Arial" w:hAnsi="Arial"/>
                <w:sz w:val="14"/>
                <w:szCs w:val="14"/>
                <w:color w:val="auto"/>
                <w:w w:val="95"/>
              </w:rPr>
              <w:t>(Level 1)</w:t>
            </w:r>
          </w:p>
        </w:tc>
        <w:tc>
          <w:tcPr>
            <w:tcW w:w="480" w:type="dxa"/>
            <w:vAlign w:val="bottom"/>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5"/>
              </w:rPr>
              <w:t>(Level 2)</w:t>
            </w:r>
          </w:p>
        </w:tc>
        <w:tc>
          <w:tcPr>
            <w:tcW w:w="480" w:type="dxa"/>
            <w:vAlign w:val="bottom"/>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5"/>
              </w:rPr>
              <w:t>(Level 3)</w:t>
            </w:r>
          </w:p>
        </w:tc>
        <w:tc>
          <w:tcPr>
            <w:tcW w:w="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4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Money market funds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6"/>
              <w:spacing w:after="0"/>
              <w:rPr>
                <w:sz w:val="20"/>
                <w:szCs w:val="20"/>
                <w:color w:val="auto"/>
              </w:rPr>
            </w:pPr>
            <w:r>
              <w:rPr>
                <w:rFonts w:ascii="Arial" w:cs="Arial" w:eastAsia="Arial" w:hAnsi="Arial"/>
                <w:sz w:val="18"/>
                <w:szCs w:val="18"/>
                <w:color w:val="auto"/>
                <w:w w:val="86"/>
              </w:rPr>
              <w:t>134,365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4"/>
              <w:spacing w:after="0"/>
              <w:rPr>
                <w:sz w:val="20"/>
                <w:szCs w:val="20"/>
                <w:color w:val="auto"/>
              </w:rPr>
            </w:pPr>
            <w:r>
              <w:rPr>
                <w:rFonts w:ascii="Arial" w:cs="Arial" w:eastAsia="Arial" w:hAnsi="Arial"/>
                <w:sz w:val="18"/>
                <w:szCs w:val="18"/>
                <w:color w:val="auto"/>
                <w:w w:val="86"/>
              </w:rPr>
              <w:t>134,365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Forward currency exchange contracts</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84"/>
              </w:rPr>
              <w:t>2,481</w:t>
            </w:r>
          </w:p>
        </w:tc>
        <w:tc>
          <w:tcPr>
            <w:tcW w:w="4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86"/>
              </w:rPr>
              <w:t>134,365</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84"/>
              </w:rPr>
              <w:t>2,481</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86"/>
              </w:rPr>
              <w:t>136,846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Forward currency exchange contracts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6"/>
              <w:spacing w:after="0"/>
              <w:rPr>
                <w:sz w:val="20"/>
                <w:szCs w:val="20"/>
                <w:color w:val="auto"/>
              </w:rPr>
            </w:pPr>
            <w:r>
              <w:rPr>
                <w:rFonts w:ascii="Arial" w:cs="Arial" w:eastAsia="Arial" w:hAnsi="Arial"/>
                <w:sz w:val="18"/>
                <w:szCs w:val="18"/>
                <w:color w:val="auto"/>
                <w:w w:val="84"/>
              </w:rPr>
              <w:t>4,374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4"/>
              <w:spacing w:after="0"/>
              <w:rPr>
                <w:sz w:val="20"/>
                <w:szCs w:val="20"/>
                <w:color w:val="auto"/>
              </w:rPr>
            </w:pPr>
            <w:r>
              <w:rPr>
                <w:rFonts w:ascii="Arial" w:cs="Arial" w:eastAsia="Arial" w:hAnsi="Arial"/>
                <w:sz w:val="18"/>
                <w:szCs w:val="18"/>
                <w:color w:val="auto"/>
              </w:rPr>
              <w:t>4,374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 contingent consideration</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84"/>
              </w:rPr>
              <w:t>2,043</w:t>
            </w:r>
          </w:p>
        </w:tc>
        <w:tc>
          <w:tcPr>
            <w:tcW w:w="6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84"/>
              </w:rPr>
              <w:t>4,374</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w w:val="84"/>
              </w:rPr>
              <w:t>2,043</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6,417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 description of the methods used to determine the fair value of the Level 3 liabilities (other liabilities — contingent consideration) is included within Note 9 — Goodwill, Other Intangible Assets, and Acquisitions. The table below provides a reconciliation of the beginning and ending Level 3 liabilities for the nine months ended January 1, 2011.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Fair Value</w:t>
            </w:r>
          </w:p>
        </w:tc>
      </w:tr>
      <w:tr>
        <w:trPr>
          <w:trHeight w:val="146"/>
        </w:trPr>
        <w:tc>
          <w:tcPr>
            <w:tcW w:w="20" w:type="dxa"/>
            <w:vAlign w:val="bottom"/>
          </w:tcPr>
          <w:p>
            <w:pPr>
              <w:spacing w:after="0"/>
              <w:rPr>
                <w:sz w:val="12"/>
                <w:szCs w:val="12"/>
                <w:color w:val="auto"/>
              </w:rPr>
            </w:pPr>
          </w:p>
        </w:tc>
        <w:tc>
          <w:tcPr>
            <w:tcW w:w="10320" w:type="dxa"/>
            <w:vAlign w:val="bottom"/>
          </w:tcPr>
          <w:p>
            <w:pPr>
              <w:spacing w:after="0"/>
              <w:rPr>
                <w:sz w:val="12"/>
                <w:szCs w:val="12"/>
                <w:color w:val="auto"/>
              </w:rPr>
            </w:pPr>
          </w:p>
        </w:tc>
        <w:tc>
          <w:tcPr>
            <w:tcW w:w="1080" w:type="dxa"/>
            <w:vAlign w:val="bottom"/>
            <w:gridSpan w:val="3"/>
          </w:tcPr>
          <w:p>
            <w:pPr>
              <w:jc w:val="center"/>
              <w:ind w:right="100"/>
              <w:spacing w:after="0" w:line="146" w:lineRule="exact"/>
              <w:rPr>
                <w:sz w:val="20"/>
                <w:szCs w:val="20"/>
                <w:color w:val="auto"/>
              </w:rPr>
            </w:pPr>
            <w:r>
              <w:rPr>
                <w:rFonts w:ascii="Arial" w:cs="Arial" w:eastAsia="Arial" w:hAnsi="Arial"/>
                <w:sz w:val="14"/>
                <w:szCs w:val="14"/>
                <w:color w:val="auto"/>
                <w:w w:val="88"/>
              </w:rPr>
              <w:t>Measurements</w:t>
            </w:r>
          </w:p>
        </w:tc>
      </w:tr>
      <w:tr>
        <w:trPr>
          <w:trHeight w:val="146"/>
        </w:trPr>
        <w:tc>
          <w:tcPr>
            <w:tcW w:w="20" w:type="dxa"/>
            <w:vAlign w:val="bottom"/>
          </w:tcPr>
          <w:p>
            <w:pPr>
              <w:spacing w:after="0"/>
              <w:rPr>
                <w:sz w:val="12"/>
                <w:szCs w:val="12"/>
                <w:color w:val="auto"/>
              </w:rPr>
            </w:pPr>
          </w:p>
        </w:tc>
        <w:tc>
          <w:tcPr>
            <w:tcW w:w="10320" w:type="dxa"/>
            <w:vAlign w:val="bottom"/>
          </w:tcPr>
          <w:p>
            <w:pPr>
              <w:spacing w:after="0"/>
              <w:rPr>
                <w:sz w:val="12"/>
                <w:szCs w:val="12"/>
                <w:color w:val="auto"/>
              </w:rPr>
            </w:pPr>
          </w:p>
        </w:tc>
        <w:tc>
          <w:tcPr>
            <w:tcW w:w="1080" w:type="dxa"/>
            <w:vAlign w:val="bottom"/>
            <w:gridSpan w:val="3"/>
          </w:tcPr>
          <w:p>
            <w:pPr>
              <w:jc w:val="center"/>
              <w:ind w:right="100"/>
              <w:spacing w:after="0" w:line="146" w:lineRule="exact"/>
              <w:rPr>
                <w:sz w:val="20"/>
                <w:szCs w:val="20"/>
                <w:color w:val="auto"/>
              </w:rPr>
            </w:pPr>
            <w:r>
              <w:rPr>
                <w:rFonts w:ascii="Arial" w:cs="Arial" w:eastAsia="Arial" w:hAnsi="Arial"/>
                <w:sz w:val="14"/>
                <w:szCs w:val="14"/>
                <w:color w:val="auto"/>
                <w:w w:val="93"/>
              </w:rPr>
              <w:t>Using Significant</w:t>
            </w:r>
          </w:p>
        </w:tc>
      </w:tr>
      <w:tr>
        <w:trPr>
          <w:trHeight w:val="146"/>
        </w:trPr>
        <w:tc>
          <w:tcPr>
            <w:tcW w:w="20" w:type="dxa"/>
            <w:vAlign w:val="bottom"/>
          </w:tcPr>
          <w:p>
            <w:pPr>
              <w:spacing w:after="0"/>
              <w:rPr>
                <w:sz w:val="12"/>
                <w:szCs w:val="12"/>
                <w:color w:val="auto"/>
              </w:rPr>
            </w:pPr>
          </w:p>
        </w:tc>
        <w:tc>
          <w:tcPr>
            <w:tcW w:w="10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80"/>
              <w:spacing w:after="0" w:line="146" w:lineRule="exact"/>
              <w:rPr>
                <w:sz w:val="20"/>
                <w:szCs w:val="20"/>
                <w:color w:val="auto"/>
              </w:rPr>
            </w:pPr>
            <w:r>
              <w:rPr>
                <w:rFonts w:ascii="Arial" w:cs="Arial" w:eastAsia="Arial" w:hAnsi="Arial"/>
                <w:sz w:val="14"/>
                <w:szCs w:val="14"/>
                <w:color w:val="auto"/>
                <w:w w:val="90"/>
              </w:rPr>
              <w:t>Unobservable</w:t>
            </w:r>
          </w:p>
        </w:tc>
      </w:tr>
      <w:tr>
        <w:trPr>
          <w:trHeight w:val="146"/>
        </w:trPr>
        <w:tc>
          <w:tcPr>
            <w:tcW w:w="20" w:type="dxa"/>
            <w:vAlign w:val="bottom"/>
          </w:tcPr>
          <w:p>
            <w:pPr>
              <w:spacing w:after="0"/>
              <w:rPr>
                <w:sz w:val="12"/>
                <w:szCs w:val="12"/>
                <w:color w:val="auto"/>
              </w:rPr>
            </w:pPr>
          </w:p>
        </w:tc>
        <w:tc>
          <w:tcPr>
            <w:tcW w:w="10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94"/>
              </w:rPr>
              <w:t>Inputs</w:t>
            </w:r>
          </w:p>
        </w:tc>
      </w:tr>
      <w:tr>
        <w:trPr>
          <w:trHeight w:val="164"/>
        </w:trPr>
        <w:tc>
          <w:tcPr>
            <w:tcW w:w="103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w w:val="95"/>
              </w:rPr>
              <w:t>(Level 3)</w:t>
            </w:r>
          </w:p>
        </w:tc>
        <w:tc>
          <w:tcPr>
            <w:tcW w:w="100" w:type="dxa"/>
            <w:vAlign w:val="bottom"/>
          </w:tcPr>
          <w:p>
            <w:pPr>
              <w:spacing w:after="0"/>
              <w:rPr>
                <w:sz w:val="14"/>
                <w:szCs w:val="14"/>
                <w:color w:val="auto"/>
              </w:rPr>
            </w:pPr>
          </w:p>
        </w:tc>
      </w:tr>
      <w:tr>
        <w:trPr>
          <w:trHeight w:val="205"/>
        </w:trPr>
        <w:tc>
          <w:tcPr>
            <w:tcW w:w="20" w:type="dxa"/>
            <w:vAlign w:val="bottom"/>
          </w:tcPr>
          <w:p>
            <w:pPr>
              <w:spacing w:after="0"/>
              <w:rPr>
                <w:sz w:val="17"/>
                <w:szCs w:val="17"/>
                <w:color w:val="auto"/>
              </w:rPr>
            </w:pPr>
          </w:p>
        </w:tc>
        <w:tc>
          <w:tcPr>
            <w:tcW w:w="103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Beginning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rPr>
              <w:t>4,101</w:t>
            </w:r>
          </w:p>
        </w:tc>
      </w:tr>
      <w:tr>
        <w:trPr>
          <w:trHeight w:val="212"/>
        </w:trPr>
        <w:tc>
          <w:tcPr>
            <w:tcW w:w="2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Reversal of interest expense on contingent consideration, net</w:t>
            </w:r>
          </w:p>
        </w:tc>
        <w:tc>
          <w:tcPr>
            <w:tcW w:w="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(416)</w:t>
            </w:r>
          </w:p>
        </w:tc>
      </w:tr>
      <w:tr>
        <w:trPr>
          <w:trHeight w:val="212"/>
        </w:trPr>
        <w:tc>
          <w:tcPr>
            <w:tcW w:w="20" w:type="dxa"/>
            <w:vAlign w:val="bottom"/>
          </w:tcPr>
          <w:p>
            <w:pPr>
              <w:spacing w:after="0"/>
              <w:rPr>
                <w:sz w:val="18"/>
                <w:szCs w:val="18"/>
                <w:color w:val="auto"/>
              </w:rPr>
            </w:pPr>
          </w:p>
        </w:tc>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income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(1,894)</w:t>
            </w:r>
          </w:p>
        </w:tc>
      </w:tr>
      <w:tr>
        <w:trPr>
          <w:trHeight w:val="219"/>
        </w:trPr>
        <w:tc>
          <w:tcPr>
            <w:tcW w:w="2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2,043</w:t>
            </w:r>
          </w:p>
        </w:tc>
      </w:tr>
      <w:tr>
        <w:trPr>
          <w:trHeight w:val="20"/>
        </w:trPr>
        <w:tc>
          <w:tcPr>
            <w:tcW w:w="2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Fair Value Disclosures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real estate mortgage obligation was $4.4 million and $5.4 million at January 1, 2011 and April 3, 2010,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17"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Our reported tax rate includes two principal components: an expected effective annual tax rate and discrete items resulting in additional provisions or benefits that are recorded in the quarter that an event arises or is resolved. Events or items that give rise to discrete recognition include finalizing audit examinations for open tax years, a statute of limitation’s expiration, or a change in the statutory tax rate. We are a global company with operations in various locations outside the U.S., accordingly, the consolidated income tax rate is a composite rate reflecting the earnings in the various locations and the applicable rates.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reported tax rate was 29.5% for the quarter ended January 1, 2011. The reported tax rate includes:</w:t>
      </w:r>
    </w:p>
    <w:p>
      <w:pPr>
        <w:spacing w:after="0" w:line="111" w:lineRule="exact"/>
        <w:rPr>
          <w:sz w:val="20"/>
          <w:szCs w:val="20"/>
          <w:color w:val="auto"/>
        </w:rPr>
      </w:pPr>
    </w:p>
    <w:p>
      <w:pPr>
        <w:ind w:left="220" w:right="540" w:hanging="214"/>
        <w:spacing w:after="0" w:line="366" w:lineRule="auto"/>
        <w:tabs>
          <w:tab w:leader="none" w:pos="220" w:val="left"/>
        </w:tabs>
        <w:numPr>
          <w:ilvl w:val="0"/>
          <w:numId w:val="7"/>
        </w:numPr>
        <w:rPr>
          <w:rFonts w:ascii="Arial" w:cs="Arial" w:eastAsia="Arial" w:hAnsi="Arial"/>
          <w:sz w:val="15"/>
          <w:szCs w:val="15"/>
          <w:b w:val="1"/>
          <w:bCs w:val="1"/>
          <w:color w:val="auto"/>
        </w:rPr>
      </w:pPr>
      <w:r>
        <w:rPr>
          <w:rFonts w:ascii="Arial" w:cs="Arial" w:eastAsia="Arial" w:hAnsi="Arial"/>
          <w:sz w:val="15"/>
          <w:szCs w:val="15"/>
          <w:color w:val="auto"/>
        </w:rPr>
        <w:t>a 29.6% expected effective annual tax rate which reflects tax benefits from foreign taxes (including our Swiss principal) and a domestic manufacturing deduction, partly offset by the state income tax provision and stock compensation expenses not deductible in all jurisdictions; and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net discrete items:</w:t>
      </w:r>
    </w:p>
    <w:p>
      <w:pPr>
        <w:spacing w:after="0" w:line="111" w:lineRule="exact"/>
        <w:rPr>
          <w:sz w:val="20"/>
          <w:szCs w:val="20"/>
          <w:color w:val="auto"/>
        </w:rPr>
      </w:pPr>
    </w:p>
    <w:p>
      <w:pPr>
        <w:ind w:left="220" w:hanging="214"/>
        <w:spacing w:after="0"/>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$0.4 million increase in tax expense from previously accrued income taxes because of the finalization of our federal tax return,</w:t>
      </w:r>
    </w:p>
    <w:p>
      <w:pPr>
        <w:spacing w:after="0" w:line="111" w:lineRule="exact"/>
        <w:rPr>
          <w:rFonts w:ascii="Arial" w:cs="Arial" w:eastAsia="Arial" w:hAnsi="Arial"/>
          <w:sz w:val="18"/>
          <w:szCs w:val="18"/>
          <w:b w:val="1"/>
          <w:bCs w:val="1"/>
          <w:color w:val="auto"/>
        </w:rPr>
      </w:pPr>
    </w:p>
    <w:p>
      <w:pPr>
        <w:ind w:left="220" w:hanging="214"/>
        <w:spacing w:after="0"/>
        <w:tabs>
          <w:tab w:leader="none" w:pos="22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a $0.5 million net increase in tax expense for the establishment of reserves for potential foreign tax audits and the expiration of foreign tax statutes,</w:t>
      </w:r>
    </w:p>
    <w:p>
      <w:pPr>
        <w:spacing w:after="0" w:line="122" w:lineRule="exact"/>
        <w:rPr>
          <w:rFonts w:ascii="Arial" w:cs="Arial" w:eastAsia="Arial" w:hAnsi="Arial"/>
          <w:sz w:val="17"/>
          <w:szCs w:val="17"/>
          <w:b w:val="1"/>
          <w:bCs w:val="1"/>
          <w:color w:val="auto"/>
        </w:rPr>
      </w:pPr>
    </w:p>
    <w:p>
      <w:pPr>
        <w:ind w:left="220" w:hanging="214"/>
        <w:spacing w:after="0"/>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$0.5 million benefit from the remittance of earnings from foreign subsidiaries,</w:t>
      </w:r>
    </w:p>
    <w:p>
      <w:pPr>
        <w:spacing w:after="0" w:line="111" w:lineRule="exact"/>
        <w:rPr>
          <w:rFonts w:ascii="Arial" w:cs="Arial" w:eastAsia="Arial" w:hAnsi="Arial"/>
          <w:sz w:val="18"/>
          <w:szCs w:val="18"/>
          <w:b w:val="1"/>
          <w:bCs w:val="1"/>
          <w:color w:val="auto"/>
        </w:rPr>
      </w:pPr>
    </w:p>
    <w:p>
      <w:pPr>
        <w:ind w:left="220" w:hanging="214"/>
        <w:spacing w:after="0"/>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$0.3 million benefit from the reinstatement of the U.S. Federal Research and Development Credit.</w:t>
      </w:r>
    </w:p>
    <w:p>
      <w:pPr>
        <w:spacing w:after="0" w:line="11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The reported tax rate was 27.9% for the quarter ended December 26, 2009. The reported tax rate included our expected annual effective tax rate of 30.2%, comprised of the U.S. federal statutory rate of 35.0% reduced by tax benefits from foreign taxes (including our Swiss principal), full utilization of the foreign tax gross-up associated with a fiscal year 2010 dividend from Japan, and a domestic manufacturing deduction, partly offset by the state tax provision, stock compensation expenses not deductible in all jurisdictions, and the net discrete items of a $0.1 million benefit from the expiration of various reserves, the fiscal year 2009 provision to return analysis, and foreign and state tax assessments.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reported tax rate was 27.6% for the nine months ended January 1, 2011. The reported tax rate includes:</w:t>
      </w:r>
    </w:p>
    <w:p>
      <w:pPr>
        <w:spacing w:after="0" w:line="111" w:lineRule="exact"/>
        <w:rPr>
          <w:sz w:val="20"/>
          <w:szCs w:val="20"/>
          <w:color w:val="auto"/>
        </w:rPr>
      </w:pPr>
    </w:p>
    <w:p>
      <w:pPr>
        <w:ind w:left="220" w:right="540" w:hanging="214"/>
        <w:spacing w:after="0" w:line="366" w:lineRule="auto"/>
        <w:tabs>
          <w:tab w:leader="none" w:pos="220" w:val="left"/>
        </w:tabs>
        <w:numPr>
          <w:ilvl w:val="0"/>
          <w:numId w:val="9"/>
        </w:numPr>
        <w:rPr>
          <w:rFonts w:ascii="Arial" w:cs="Arial" w:eastAsia="Arial" w:hAnsi="Arial"/>
          <w:sz w:val="15"/>
          <w:szCs w:val="15"/>
          <w:b w:val="1"/>
          <w:bCs w:val="1"/>
          <w:color w:val="auto"/>
        </w:rPr>
      </w:pPr>
      <w:r>
        <w:rPr>
          <w:rFonts w:ascii="Arial" w:cs="Arial" w:eastAsia="Arial" w:hAnsi="Arial"/>
          <w:sz w:val="15"/>
          <w:szCs w:val="15"/>
          <w:color w:val="auto"/>
        </w:rPr>
        <w:t>a 29.6% expected effective annual tax rate which reflects tax benefits from foreign taxes (including our Swiss principal) and a domestic manufacturing deduction, partly offset by the state income tax provision and stock compensation expenses not deductible in all jurisdictions; and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items referenced above in the discussion of our third quarter results, earlier periods included the following net discrete items:</w:t>
      </w:r>
    </w:p>
    <w:p>
      <w:pPr>
        <w:spacing w:after="0" w:line="111" w:lineRule="exact"/>
        <w:rPr>
          <w:sz w:val="20"/>
          <w:szCs w:val="20"/>
          <w:color w:val="auto"/>
        </w:rPr>
      </w:pPr>
    </w:p>
    <w:p>
      <w:pPr>
        <w:ind w:left="220" w:hanging="214"/>
        <w:spacing w:after="0"/>
        <w:tabs>
          <w:tab w:leader="none" w:pos="22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 $0.6 million benefit from the contingent consideration income that is not taxable,</w:t>
      </w:r>
    </w:p>
    <w:p>
      <w:pPr>
        <w:spacing w:after="0" w:line="111" w:lineRule="exact"/>
        <w:rPr>
          <w:rFonts w:ascii="Arial" w:cs="Arial" w:eastAsia="Arial" w:hAnsi="Arial"/>
          <w:sz w:val="18"/>
          <w:szCs w:val="18"/>
          <w:b w:val="1"/>
          <w:bCs w:val="1"/>
          <w:color w:val="auto"/>
        </w:rPr>
      </w:pPr>
    </w:p>
    <w:p>
      <w:pPr>
        <w:ind w:left="220" w:hanging="214"/>
        <w:spacing w:after="0"/>
        <w:tabs>
          <w:tab w:leader="none" w:pos="22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 $0.3 million benefit from the release of a transfer price reserve after completion of the fiscal year 2010 global transfer study,</w:t>
      </w:r>
    </w:p>
    <w:p>
      <w:pPr>
        <w:spacing w:after="0" w:line="111" w:lineRule="exact"/>
        <w:rPr>
          <w:rFonts w:ascii="Arial" w:cs="Arial" w:eastAsia="Arial" w:hAnsi="Arial"/>
          <w:sz w:val="18"/>
          <w:szCs w:val="18"/>
          <w:b w:val="1"/>
          <w:bCs w:val="1"/>
          <w:color w:val="auto"/>
        </w:rPr>
      </w:pPr>
    </w:p>
    <w:p>
      <w:pPr>
        <w:ind w:left="220" w:hanging="214"/>
        <w:spacing w:after="0"/>
        <w:tabs>
          <w:tab w:leader="none" w:pos="22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 $0.8 million benefit from the Swiss principal ruling,</w:t>
      </w:r>
    </w:p>
    <w:p>
      <w:pPr>
        <w:spacing w:after="0" w:line="111"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The reported tax rate was 29.7% for the nine months ended December 26, 2009. The reported tax rate includes our expected effective annual tax rate of 30.2%, comprised of the U.S. federal statutory tax rate of 35.0% reduced by tax benefits from foreign taxes (including our Swiss principal) and a domestic manufacturing deduction, plus the state tax provision, and stock compensation expenses not deductible in all jurisdictions.</w:t>
      </w:r>
    </w:p>
    <w:p>
      <w:pPr>
        <w:spacing w:after="0" w:line="6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conduct business globally and, as a result, file consolidated federal and consolidated and separate state and foreign income tax returns in multiple jurisdictions. In the normal course of business, we are subject to examination by taxing authorities throughout the world in jurisdictions including the U.S., Japan, Germany, France, the United Kingdom, and Switzerland. With few exceptions, we are no longer subject to U.S. federal, state and local, or foreign income tax examinations for years before 2007.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17" w:lineRule="exact"/>
        <w:rPr>
          <w:sz w:val="20"/>
          <w:szCs w:val="20"/>
          <w:color w:val="auto"/>
        </w:rPr>
      </w:pPr>
    </w:p>
    <w:p>
      <w:pPr>
        <w:ind w:right="320"/>
        <w:spacing w:after="0" w:line="294" w:lineRule="auto"/>
        <w:rPr>
          <w:sz w:val="20"/>
          <w:szCs w:val="20"/>
          <w:color w:val="auto"/>
        </w:rPr>
      </w:pPr>
      <w:r>
        <w:rPr>
          <w:rFonts w:ascii="Arial" w:cs="Arial" w:eastAsia="Arial" w:hAnsi="Arial"/>
          <w:sz w:val="17"/>
          <w:szCs w:val="17"/>
          <w:color w:val="auto"/>
        </w:rPr>
        <w:t>We are presently engaged in various legal actions, and although ultimate liability cannot be determined at the present time, we believe, based on consultation with counsel, that any such liability will not materially affect our consolidated financial position or our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BENEFIT PENSION PLANS</w:t>
      </w:r>
    </w:p>
    <w:p>
      <w:pPr>
        <w:spacing w:after="0" w:line="117" w:lineRule="exact"/>
        <w:rPr>
          <w:sz w:val="20"/>
          <w:szCs w:val="20"/>
          <w:color w:val="auto"/>
        </w:rPr>
      </w:pPr>
    </w:p>
    <w:p>
      <w:pPr>
        <w:ind w:right="580"/>
        <w:spacing w:after="0" w:line="265" w:lineRule="auto"/>
        <w:rPr>
          <w:sz w:val="20"/>
          <w:szCs w:val="20"/>
          <w:color w:val="auto"/>
        </w:rPr>
      </w:pPr>
      <w:r>
        <w:rPr>
          <w:rFonts w:ascii="Arial" w:cs="Arial" w:eastAsia="Arial" w:hAnsi="Arial"/>
          <w:sz w:val="18"/>
          <w:szCs w:val="18"/>
          <w:color w:val="auto"/>
        </w:rPr>
        <w:t>Certain of the Company’s foreign subsidiaries have defined benefit pension plans covering substantially all full time employees at those subsidiaries. Net periodic benefit costs for the plans in the aggregate include the following components: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ind w:left="15"/>
              <w:spacing w:after="0"/>
              <w:rPr>
                <w:sz w:val="20"/>
                <w:szCs w:val="20"/>
                <w:color w:val="auto"/>
              </w:rPr>
            </w:pPr>
            <w:r>
              <w:rPr>
                <w:rFonts w:ascii="Arial" w:cs="Arial" w:eastAsia="Arial" w:hAnsi="Arial"/>
                <w:sz w:val="14"/>
                <w:szCs w:val="14"/>
                <w:color w:val="auto"/>
                <w:w w:val="89"/>
              </w:rPr>
              <w:t>For the three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40" w:type="dxa"/>
            <w:vAlign w:val="bottom"/>
            <w:tcBorders>
              <w:bottom w:val="single" w:sz="8" w:color="auto"/>
            </w:tcBorders>
            <w:gridSpan w:val="3"/>
          </w:tcPr>
          <w:p>
            <w:pPr>
              <w:spacing w:after="0" w:line="139" w:lineRule="exact"/>
              <w:rPr>
                <w:sz w:val="20"/>
                <w:szCs w:val="20"/>
                <w:color w:val="auto"/>
              </w:rPr>
            </w:pPr>
            <w:r>
              <w:rPr>
                <w:rFonts w:ascii="Arial" w:cs="Arial" w:eastAsia="Arial" w:hAnsi="Arial"/>
                <w:sz w:val="14"/>
                <w:szCs w:val="14"/>
                <w:color w:val="auto"/>
              </w:rPr>
              <w:t>January 1, 2011</w:t>
            </w:r>
          </w:p>
        </w:tc>
        <w:tc>
          <w:tcPr>
            <w:tcW w:w="1120" w:type="dxa"/>
            <w:vAlign w:val="bottom"/>
            <w:tcBorders>
              <w:bottom w:val="single" w:sz="8" w:color="auto"/>
            </w:tcBorders>
            <w:gridSpan w:val="2"/>
          </w:tcPr>
          <w:p>
            <w:pPr>
              <w:spacing w:after="0" w:line="139" w:lineRule="exact"/>
              <w:rPr>
                <w:sz w:val="20"/>
                <w:szCs w:val="20"/>
                <w:color w:val="auto"/>
              </w:rPr>
            </w:pPr>
            <w:r>
              <w:rPr>
                <w:rFonts w:ascii="Arial" w:cs="Arial" w:eastAsia="Arial" w:hAnsi="Arial"/>
                <w:sz w:val="14"/>
                <w:szCs w:val="14"/>
                <w:color w:val="auto"/>
                <w:w w:val="89"/>
              </w:rPr>
              <w:t>December 26, 2009</w:t>
            </w:r>
          </w:p>
        </w:tc>
        <w:tc>
          <w:tcPr>
            <w:tcW w:w="10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2"/>
          </w:tcPr>
          <w:p>
            <w:pPr>
              <w:jc w:val="center"/>
              <w:ind w:right="398"/>
              <w:spacing w:after="0" w:line="139" w:lineRule="exact"/>
              <w:rPr>
                <w:sz w:val="20"/>
                <w:szCs w:val="20"/>
                <w:color w:val="auto"/>
              </w:rPr>
            </w:pPr>
            <w:r>
              <w:rPr>
                <w:rFonts w:ascii="Arial" w:cs="Arial" w:eastAsia="Arial" w:hAnsi="Arial"/>
                <w:sz w:val="14"/>
                <w:szCs w:val="14"/>
                <w:color w:val="auto"/>
                <w:w w:val="92"/>
              </w:rPr>
              <w:t>(in thousands)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9"/>
              <w:spacing w:after="0"/>
              <w:rPr>
                <w:sz w:val="20"/>
                <w:szCs w:val="20"/>
                <w:color w:val="auto"/>
              </w:rPr>
            </w:pPr>
            <w:r>
              <w:rPr>
                <w:rFonts w:ascii="Arial" w:cs="Arial" w:eastAsia="Arial" w:hAnsi="Arial"/>
                <w:sz w:val="18"/>
                <w:szCs w:val="18"/>
                <w:color w:val="auto"/>
              </w:rPr>
              <w:t>152</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r>
      <w:tr>
        <w:trPr>
          <w:trHeight w:val="212"/>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Interest cost on benefit obligation</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9"/>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w w:val="98"/>
              </w:rPr>
              <w:t>Amortization of unrecognized prior service cost, unrecognized gain and unrecognized initial obligation</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509"/>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2"/>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68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64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center"/>
              <w:ind w:left="15"/>
              <w:spacing w:after="0"/>
              <w:rPr>
                <w:sz w:val="20"/>
                <w:szCs w:val="20"/>
                <w:color w:val="auto"/>
              </w:rPr>
            </w:pPr>
            <w:r>
              <w:rPr>
                <w:rFonts w:ascii="Arial" w:cs="Arial" w:eastAsia="Arial" w:hAnsi="Arial"/>
                <w:sz w:val="14"/>
                <w:szCs w:val="14"/>
                <w:color w:val="auto"/>
                <w:w w:val="89"/>
              </w:rPr>
              <w:t>For the nine months ended</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40" w:type="dxa"/>
            <w:vAlign w:val="bottom"/>
            <w:tcBorders>
              <w:bottom w:val="single" w:sz="8" w:color="auto"/>
            </w:tcBorders>
            <w:gridSpan w:val="3"/>
          </w:tcPr>
          <w:p>
            <w:pPr>
              <w:spacing w:after="0" w:line="139" w:lineRule="exact"/>
              <w:rPr>
                <w:sz w:val="20"/>
                <w:szCs w:val="20"/>
                <w:color w:val="auto"/>
              </w:rPr>
            </w:pPr>
            <w:r>
              <w:rPr>
                <w:rFonts w:ascii="Arial" w:cs="Arial" w:eastAsia="Arial" w:hAnsi="Arial"/>
                <w:sz w:val="14"/>
                <w:szCs w:val="14"/>
                <w:color w:val="auto"/>
              </w:rPr>
              <w:t>January 1, 2011</w:t>
            </w:r>
          </w:p>
        </w:tc>
        <w:tc>
          <w:tcPr>
            <w:tcW w:w="1120" w:type="dxa"/>
            <w:vAlign w:val="bottom"/>
            <w:tcBorders>
              <w:bottom w:val="single" w:sz="8" w:color="auto"/>
            </w:tcBorders>
            <w:gridSpan w:val="2"/>
          </w:tcPr>
          <w:p>
            <w:pPr>
              <w:spacing w:after="0" w:line="139" w:lineRule="exact"/>
              <w:rPr>
                <w:sz w:val="20"/>
                <w:szCs w:val="20"/>
                <w:color w:val="auto"/>
              </w:rPr>
            </w:pPr>
            <w:r>
              <w:rPr>
                <w:rFonts w:ascii="Arial" w:cs="Arial" w:eastAsia="Arial" w:hAnsi="Arial"/>
                <w:sz w:val="14"/>
                <w:szCs w:val="14"/>
                <w:color w:val="auto"/>
                <w:w w:val="89"/>
              </w:rPr>
              <w:t>December 26, 2009</w:t>
            </w:r>
          </w:p>
        </w:tc>
        <w:tc>
          <w:tcPr>
            <w:tcW w:w="10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2"/>
          </w:tcPr>
          <w:p>
            <w:pPr>
              <w:jc w:val="center"/>
              <w:ind w:right="398"/>
              <w:spacing w:after="0" w:line="139" w:lineRule="exact"/>
              <w:rPr>
                <w:sz w:val="20"/>
                <w:szCs w:val="20"/>
                <w:color w:val="auto"/>
              </w:rPr>
            </w:pPr>
            <w:r>
              <w:rPr>
                <w:rFonts w:ascii="Arial" w:cs="Arial" w:eastAsia="Arial" w:hAnsi="Arial"/>
                <w:sz w:val="14"/>
                <w:szCs w:val="14"/>
                <w:color w:val="auto"/>
                <w:w w:val="92"/>
              </w:rPr>
              <w:t>(in thousands)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9"/>
              <w:spacing w:after="0"/>
              <w:rPr>
                <w:sz w:val="20"/>
                <w:szCs w:val="20"/>
                <w:color w:val="auto"/>
              </w:rPr>
            </w:pPr>
            <w:r>
              <w:rPr>
                <w:rFonts w:ascii="Arial" w:cs="Arial" w:eastAsia="Arial" w:hAnsi="Arial"/>
                <w:sz w:val="18"/>
                <w:szCs w:val="18"/>
                <w:color w:val="auto"/>
              </w:rPr>
              <w:t>456</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r>
      <w:tr>
        <w:trPr>
          <w:trHeight w:val="212"/>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Interest cost on benefit obligation</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569"/>
              <w:spacing w:after="0"/>
              <w:rPr>
                <w:sz w:val="20"/>
                <w:szCs w:val="20"/>
                <w:color w:val="auto"/>
              </w:rPr>
            </w:pPr>
            <w:r>
              <w:rPr>
                <w:rFonts w:ascii="Arial" w:cs="Arial" w:eastAsia="Arial" w:hAnsi="Arial"/>
                <w:sz w:val="18"/>
                <w:szCs w:val="18"/>
                <w:color w:val="auto"/>
              </w:rPr>
              <w:t>199</w:t>
            </w:r>
          </w:p>
        </w:tc>
        <w:tc>
          <w:tcPr>
            <w:tcW w:w="7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r>
      <w:tr>
        <w:trPr>
          <w:trHeight w:val="212"/>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r>
      <w:tr>
        <w:trPr>
          <w:trHeight w:val="219"/>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w w:val="98"/>
              </w:rPr>
              <w:t>Amortization of unrecognized prior service cost, unrecognized gain and unrecognized initial obligation</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509"/>
              <w:spacing w:after="0"/>
              <w:rPr>
                <w:sz w:val="20"/>
                <w:szCs w:val="20"/>
                <w:color w:val="auto"/>
              </w:rPr>
            </w:pPr>
            <w:r>
              <w:rPr>
                <w:rFonts w:ascii="Arial" w:cs="Arial" w:eastAsia="Arial" w:hAnsi="Arial"/>
                <w:sz w:val="18"/>
                <w:szCs w:val="18"/>
                <w:color w:val="auto"/>
              </w:rPr>
              <w:t>(12)</w:t>
            </w:r>
          </w:p>
        </w:tc>
        <w:tc>
          <w:tcPr>
            <w:tcW w:w="7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12"/>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68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64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Definition Criteria</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manage our business on the basis of one operating segment: the design, manufacture, and marketing of blood management solutions. Our chief operating decision-maker uses consolidated results to make operating and strategic decisions. Manufacturing processes, as well as the regulatory environment in which we operate, are largely the same for all product lines.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Wide Disclosures about Product and Services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We have four global product families: plasma, blood bank, hospital, and software solutions.</w:t>
      </w:r>
    </w:p>
    <w:p>
      <w:pPr>
        <w:spacing w:after="0" w:line="111" w:lineRule="exact"/>
        <w:rPr>
          <w:sz w:val="20"/>
          <w:szCs w:val="20"/>
          <w:color w:val="auto"/>
        </w:rPr>
      </w:pPr>
    </w:p>
    <w:p>
      <w:pPr>
        <w:ind w:right="80"/>
        <w:spacing w:after="0" w:line="304" w:lineRule="auto"/>
        <w:rPr>
          <w:sz w:val="20"/>
          <w:szCs w:val="20"/>
          <w:color w:val="auto"/>
        </w:rPr>
      </w:pPr>
      <w:r>
        <w:rPr>
          <w:rFonts w:ascii="Arial" w:cs="Arial" w:eastAsia="Arial" w:hAnsi="Arial"/>
          <w:sz w:val="15"/>
          <w:szCs w:val="15"/>
          <w:color w:val="auto"/>
        </w:rPr>
        <w:t>Our products include equipment devices and the related disposables used with these devices. Disposables include the plasma, blood bank, and hospital product families. Plasma consists of the disposables used to perform apheresis for the separation of whole blood components and subsequent collection of plasma to be used as a raw material for biologically derived pharmaceuticals (also known as source plasma). Blood bank consists of disposables which separate whole blood for the subsequent collection of platelets, plasma, red cells, or a combination of these components for transfusion to patients. Hospital consists of surgical disposables (principally the Cell Saver</w:t>
      </w:r>
      <w:r>
        <w:rPr>
          <w:rFonts w:ascii="Arial" w:cs="Arial" w:eastAsia="Arial" w:hAnsi="Arial"/>
          <w:sz w:val="13"/>
          <w:szCs w:val="13"/>
          <w:color w:val="auto"/>
        </w:rPr>
        <w:t>®</w:t>
      </w:r>
      <w:r>
        <w:rPr>
          <w:rFonts w:ascii="Arial" w:cs="Arial" w:eastAsia="Arial" w:hAnsi="Arial"/>
          <w:sz w:val="15"/>
          <w:szCs w:val="15"/>
          <w:color w:val="auto"/>
        </w:rPr>
        <w:t xml:space="preserve"> autologous blood recovery system targeted to procedures that involve rapid, high volume blood loss such as cardiovascular surgeries and the cardioPAT</w:t>
      </w:r>
      <w:r>
        <w:rPr>
          <w:rFonts w:ascii="Arial" w:cs="Arial" w:eastAsia="Arial" w:hAnsi="Arial"/>
          <w:sz w:val="13"/>
          <w:szCs w:val="13"/>
          <w:color w:val="auto"/>
        </w:rPr>
        <w:t>®</w:t>
      </w:r>
      <w:r>
        <w:rPr>
          <w:rFonts w:ascii="Arial" w:cs="Arial" w:eastAsia="Arial" w:hAnsi="Arial"/>
          <w:sz w:val="15"/>
          <w:szCs w:val="15"/>
          <w:color w:val="auto"/>
        </w:rPr>
        <w:t xml:space="preserve"> cardiovascular perioperative autotransfusion system designed to remain with the patient following surgery to recover blood and the patient’s red cells to prepare them for reinfusion), the OrthoPAT</w:t>
      </w:r>
      <w:r>
        <w:rPr>
          <w:rFonts w:ascii="Arial" w:cs="Arial" w:eastAsia="Arial" w:hAnsi="Arial"/>
          <w:sz w:val="13"/>
          <w:szCs w:val="13"/>
          <w:color w:val="auto"/>
        </w:rPr>
        <w:t>®</w:t>
      </w:r>
      <w:r>
        <w:rPr>
          <w:rFonts w:ascii="Arial" w:cs="Arial" w:eastAsia="Arial" w:hAnsi="Arial"/>
          <w:sz w:val="15"/>
          <w:szCs w:val="15"/>
          <w:color w:val="auto"/>
        </w:rPr>
        <w:t xml:space="preserve"> orthopedic perioperative autotransfusion system designed to operate both during and after surgery to recover and wash the patient’s red cells to prepare them for reinfusion, and diagnostics products (principally the TEG</w:t>
      </w:r>
      <w:r>
        <w:rPr>
          <w:rFonts w:ascii="Arial" w:cs="Arial" w:eastAsia="Arial" w:hAnsi="Arial"/>
          <w:sz w:val="13"/>
          <w:szCs w:val="13"/>
          <w:color w:val="auto"/>
        </w:rPr>
        <w:t>®</w:t>
      </w:r>
      <w:r>
        <w:rPr>
          <w:rFonts w:ascii="Arial" w:cs="Arial" w:eastAsia="Arial" w:hAnsi="Arial"/>
          <w:sz w:val="15"/>
          <w:szCs w:val="15"/>
          <w:color w:val="auto"/>
        </w:rPr>
        <w:t xml:space="preserve"> Thrombelastograph</w:t>
      </w:r>
      <w:r>
        <w:rPr>
          <w:rFonts w:ascii="Arial" w:cs="Arial" w:eastAsia="Arial" w:hAnsi="Arial"/>
          <w:sz w:val="13"/>
          <w:szCs w:val="13"/>
          <w:color w:val="auto"/>
        </w:rPr>
        <w:t>®</w:t>
      </w:r>
      <w:r>
        <w:rPr>
          <w:rFonts w:ascii="Arial" w:cs="Arial" w:eastAsia="Arial" w:hAnsi="Arial"/>
          <w:sz w:val="15"/>
          <w:szCs w:val="15"/>
          <w:color w:val="auto"/>
        </w:rPr>
        <w:t xml:space="preserve"> hemostasis analyzer used to help assess a surgical patient’s hemostasis (blood clotting ability) during and after surgery).</w:t>
      </w:r>
    </w:p>
    <w:p>
      <w:pPr>
        <w:spacing w:after="0" w:line="49" w:lineRule="exact"/>
        <w:rPr>
          <w:sz w:val="20"/>
          <w:szCs w:val="20"/>
          <w:color w:val="auto"/>
        </w:rPr>
      </w:pPr>
    </w:p>
    <w:p>
      <w:pPr>
        <w:ind w:right="500"/>
        <w:spacing w:after="0" w:line="265" w:lineRule="auto"/>
        <w:rPr>
          <w:sz w:val="20"/>
          <w:szCs w:val="20"/>
          <w:color w:val="auto"/>
        </w:rPr>
      </w:pPr>
      <w:r>
        <w:rPr>
          <w:rFonts w:ascii="Arial" w:cs="Arial" w:eastAsia="Arial" w:hAnsi="Arial"/>
          <w:sz w:val="18"/>
          <w:szCs w:val="18"/>
          <w:color w:val="auto"/>
        </w:rPr>
        <w:t>Software solutions include information technology platforms that assist blood banks, plasma centers, and hospitals to more effectively manage regulatory compliance and operational efficiency.</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Revenues from External Customers: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left="373"/>
              <w:spacing w:after="0"/>
              <w:rPr>
                <w:sz w:val="20"/>
                <w:szCs w:val="20"/>
                <w:color w:val="auto"/>
              </w:rPr>
            </w:pPr>
            <w:r>
              <w:rPr>
                <w:rFonts w:ascii="Arial" w:cs="Arial" w:eastAsia="Arial" w:hAnsi="Arial"/>
                <w:sz w:val="14"/>
                <w:szCs w:val="14"/>
                <w:color w:val="auto"/>
                <w:w w:val="90"/>
              </w:rPr>
              <w:t>Three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920" w:type="dxa"/>
            <w:vAlign w:val="bottom"/>
            <w:tcBorders>
              <w:bottom w:val="single" w:sz="8" w:color="auto"/>
            </w:tcBorders>
            <w:gridSpan w:val="3"/>
          </w:tcPr>
          <w:p>
            <w:pPr>
              <w:spacing w:after="0" w:line="139" w:lineRule="exact"/>
              <w:rPr>
                <w:sz w:val="20"/>
                <w:szCs w:val="20"/>
                <w:color w:val="auto"/>
              </w:rPr>
            </w:pPr>
            <w:r>
              <w:rPr>
                <w:rFonts w:ascii="Arial" w:cs="Arial" w:eastAsia="Arial" w:hAnsi="Arial"/>
                <w:sz w:val="14"/>
                <w:szCs w:val="14"/>
                <w:color w:val="auto"/>
                <w:w w:val="89"/>
              </w:rPr>
              <w:t>January 1, 2011</w:t>
            </w:r>
          </w:p>
        </w:tc>
        <w:tc>
          <w:tcPr>
            <w:tcW w:w="6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spacing w:after="0" w:line="139" w:lineRule="exact"/>
              <w:rPr>
                <w:sz w:val="20"/>
                <w:szCs w:val="20"/>
                <w:color w:val="auto"/>
              </w:rPr>
            </w:pPr>
            <w:r>
              <w:rPr>
                <w:rFonts w:ascii="Arial" w:cs="Arial" w:eastAsia="Arial" w:hAnsi="Arial"/>
                <w:sz w:val="14"/>
                <w:szCs w:val="14"/>
                <w:color w:val="auto"/>
                <w:w w:val="89"/>
              </w:rPr>
              <w:t>December 26,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center"/>
              <w:ind w:right="183"/>
              <w:spacing w:after="0" w:line="139" w:lineRule="exact"/>
              <w:rPr>
                <w:sz w:val="20"/>
                <w:szCs w:val="20"/>
                <w:color w:val="auto"/>
              </w:rPr>
            </w:pPr>
            <w:r>
              <w:rPr>
                <w:rFonts w:ascii="Arial" w:cs="Arial" w:eastAsia="Arial" w:hAnsi="Arial"/>
                <w:sz w:val="14"/>
                <w:szCs w:val="14"/>
                <w:color w:val="auto"/>
                <w:w w:val="92"/>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Disposable revenues</w:t>
            </w:r>
          </w:p>
        </w:tc>
        <w:tc>
          <w:tcPr>
            <w:tcW w:w="3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Plasma disposables</w:t>
            </w:r>
          </w:p>
        </w:tc>
        <w:tc>
          <w:tcPr>
            <w:tcW w:w="3580" w:type="dxa"/>
            <w:vAlign w:val="bottom"/>
            <w:gridSpan w:val="2"/>
          </w:tcPr>
          <w:p>
            <w:pPr>
              <w:ind w:left="3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59,814</w:t>
            </w: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59,177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Blood bank disposables</w:t>
            </w:r>
          </w:p>
        </w:tc>
        <w:tc>
          <w:tcPr>
            <w:tcW w:w="3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tcPr>
          <w:p>
            <w:pPr>
              <w:ind w:left="380"/>
              <w:spacing w:after="0"/>
              <w:rPr>
                <w:sz w:val="20"/>
                <w:szCs w:val="20"/>
                <w:color w:val="auto"/>
              </w:rPr>
            </w:pPr>
            <w:r>
              <w:rPr>
                <w:rFonts w:ascii="Arial" w:cs="Arial" w:eastAsia="Arial" w:hAnsi="Arial"/>
                <w:sz w:val="18"/>
                <w:szCs w:val="18"/>
                <w:color w:val="auto"/>
              </w:rPr>
              <w:t>Platelet</w:t>
            </w:r>
          </w:p>
        </w:tc>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41,056</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39,793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Red cell</w:t>
            </w:r>
          </w:p>
        </w:tc>
        <w:tc>
          <w:tcPr>
            <w:tcW w:w="3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11,676</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52,732</w:t>
            </w: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51,815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Hospital disposables</w:t>
            </w:r>
          </w:p>
        </w:tc>
        <w:tc>
          <w:tcPr>
            <w:tcW w:w="3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tcPr>
          <w:p>
            <w:pPr>
              <w:ind w:left="380"/>
              <w:spacing w:after="0"/>
              <w:rPr>
                <w:sz w:val="20"/>
                <w:szCs w:val="20"/>
                <w:color w:val="auto"/>
              </w:rPr>
            </w:pPr>
            <w:r>
              <w:rPr>
                <w:rFonts w:ascii="Arial" w:cs="Arial" w:eastAsia="Arial" w:hAnsi="Arial"/>
                <w:sz w:val="18"/>
                <w:szCs w:val="18"/>
                <w:color w:val="auto"/>
              </w:rPr>
              <w:t>Surgical</w:t>
            </w:r>
          </w:p>
        </w:tc>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17,116</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17,864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OrthoPAT</w:t>
            </w:r>
          </w:p>
        </w:tc>
        <w:tc>
          <w:tcPr>
            <w:tcW w:w="3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tcPr>
          <w:p>
            <w:pPr>
              <w:ind w:left="380"/>
              <w:spacing w:after="0"/>
              <w:rPr>
                <w:sz w:val="20"/>
                <w:szCs w:val="20"/>
                <w:color w:val="auto"/>
              </w:rPr>
            </w:pPr>
            <w:r>
              <w:rPr>
                <w:rFonts w:ascii="Arial" w:cs="Arial" w:eastAsia="Arial" w:hAnsi="Arial"/>
                <w:sz w:val="18"/>
                <w:szCs w:val="18"/>
                <w:color w:val="auto"/>
              </w:rPr>
              <w:t>Diagnostics</w:t>
            </w:r>
          </w:p>
        </w:tc>
        <w:tc>
          <w:tcPr>
            <w:tcW w:w="3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280" w:type="dxa"/>
            <w:vAlign w:val="bottom"/>
            <w:gridSpan w:val="2"/>
          </w:tcPr>
          <w:p>
            <w:pPr>
              <w:spacing w:after="0"/>
              <w:rPr>
                <w:sz w:val="20"/>
                <w:szCs w:val="20"/>
                <w:color w:val="auto"/>
              </w:rPr>
            </w:pPr>
            <w:r>
              <w:rPr>
                <w:rFonts w:ascii="Arial" w:cs="Arial" w:eastAsia="Arial" w:hAnsi="Arial"/>
                <w:sz w:val="18"/>
                <w:szCs w:val="18"/>
                <w:color w:val="auto"/>
              </w:rPr>
              <w:t>Disposables revenue</w:t>
            </w:r>
          </w:p>
        </w:tc>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144,130</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143,051</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Software solutions</w:t>
            </w:r>
          </w:p>
        </w:tc>
        <w:tc>
          <w:tcPr>
            <w:tcW w:w="3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16,571</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Equipment &amp; other</w:t>
            </w:r>
          </w:p>
        </w:tc>
        <w:tc>
          <w:tcPr>
            <w:tcW w:w="3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16,088</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176,789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165,169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ind w:left="373"/>
              <w:spacing w:after="0"/>
              <w:rPr>
                <w:sz w:val="20"/>
                <w:szCs w:val="20"/>
                <w:color w:val="auto"/>
              </w:rPr>
            </w:pPr>
            <w:r>
              <w:rPr>
                <w:rFonts w:ascii="Arial" w:cs="Arial" w:eastAsia="Arial" w:hAnsi="Arial"/>
                <w:sz w:val="14"/>
                <w:szCs w:val="14"/>
                <w:color w:val="auto"/>
                <w:w w:val="92"/>
              </w:rPr>
              <w:t>Nine Months Ended</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920" w:type="dxa"/>
            <w:vAlign w:val="bottom"/>
            <w:tcBorders>
              <w:bottom w:val="single" w:sz="8" w:color="auto"/>
            </w:tcBorders>
            <w:gridSpan w:val="3"/>
          </w:tcPr>
          <w:p>
            <w:pPr>
              <w:spacing w:after="0" w:line="139" w:lineRule="exact"/>
              <w:rPr>
                <w:sz w:val="20"/>
                <w:szCs w:val="20"/>
                <w:color w:val="auto"/>
              </w:rPr>
            </w:pPr>
            <w:r>
              <w:rPr>
                <w:rFonts w:ascii="Arial" w:cs="Arial" w:eastAsia="Arial" w:hAnsi="Arial"/>
                <w:sz w:val="14"/>
                <w:szCs w:val="14"/>
                <w:color w:val="auto"/>
                <w:w w:val="89"/>
              </w:rPr>
              <w:t>January 1, 2011</w:t>
            </w:r>
          </w:p>
        </w:tc>
        <w:tc>
          <w:tcPr>
            <w:tcW w:w="6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spacing w:after="0" w:line="139" w:lineRule="exact"/>
              <w:rPr>
                <w:sz w:val="20"/>
                <w:szCs w:val="20"/>
                <w:color w:val="auto"/>
              </w:rPr>
            </w:pPr>
            <w:r>
              <w:rPr>
                <w:rFonts w:ascii="Arial" w:cs="Arial" w:eastAsia="Arial" w:hAnsi="Arial"/>
                <w:sz w:val="14"/>
                <w:szCs w:val="14"/>
                <w:color w:val="auto"/>
                <w:w w:val="89"/>
              </w:rPr>
              <w:t>December 26,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center"/>
              <w:ind w:right="183"/>
              <w:spacing w:after="0" w:line="139" w:lineRule="exact"/>
              <w:rPr>
                <w:sz w:val="20"/>
                <w:szCs w:val="20"/>
                <w:color w:val="auto"/>
              </w:rPr>
            </w:pPr>
            <w:r>
              <w:rPr>
                <w:rFonts w:ascii="Arial" w:cs="Arial" w:eastAsia="Arial" w:hAnsi="Arial"/>
                <w:sz w:val="14"/>
                <w:szCs w:val="14"/>
                <w:color w:val="auto"/>
                <w:w w:val="92"/>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Disposable revenues</w:t>
            </w:r>
          </w:p>
        </w:tc>
        <w:tc>
          <w:tcPr>
            <w:tcW w:w="3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Plasma disposables</w:t>
            </w:r>
          </w:p>
        </w:tc>
        <w:tc>
          <w:tcPr>
            <w:tcW w:w="3580" w:type="dxa"/>
            <w:vAlign w:val="bottom"/>
            <w:gridSpan w:val="2"/>
          </w:tcPr>
          <w:p>
            <w:pPr>
              <w:ind w:left="33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172,245</w:t>
            </w:r>
          </w:p>
        </w:tc>
        <w:tc>
          <w:tcPr>
            <w:tcW w:w="20" w:type="dxa"/>
            <w:vAlign w:val="bottom"/>
          </w:tcPr>
          <w:p>
            <w:pPr>
              <w:spacing w:after="0"/>
              <w:rPr>
                <w:sz w:val="19"/>
                <w:szCs w:val="19"/>
                <w:color w:val="auto"/>
              </w:rPr>
            </w:pP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177,468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Blood bank disposables</w:t>
            </w:r>
          </w:p>
        </w:tc>
        <w:tc>
          <w:tcPr>
            <w:tcW w:w="3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tcPr>
          <w:p>
            <w:pPr>
              <w:ind w:left="380"/>
              <w:spacing w:after="0"/>
              <w:rPr>
                <w:sz w:val="20"/>
                <w:szCs w:val="20"/>
                <w:color w:val="auto"/>
              </w:rPr>
            </w:pPr>
            <w:r>
              <w:rPr>
                <w:rFonts w:ascii="Arial" w:cs="Arial" w:eastAsia="Arial" w:hAnsi="Arial"/>
                <w:sz w:val="18"/>
                <w:szCs w:val="18"/>
                <w:color w:val="auto"/>
              </w:rPr>
              <w:t>Platelet</w:t>
            </w:r>
          </w:p>
        </w:tc>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117,120</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111,349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Red cell</w:t>
            </w:r>
          </w:p>
        </w:tc>
        <w:tc>
          <w:tcPr>
            <w:tcW w:w="3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34,284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151,404</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146,634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Hospital disposables</w:t>
            </w:r>
          </w:p>
        </w:tc>
        <w:tc>
          <w:tcPr>
            <w:tcW w:w="3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tcPr>
          <w:p>
            <w:pPr>
              <w:ind w:left="380"/>
              <w:spacing w:after="0"/>
              <w:rPr>
                <w:sz w:val="20"/>
                <w:szCs w:val="20"/>
                <w:color w:val="auto"/>
              </w:rPr>
            </w:pPr>
            <w:r>
              <w:rPr>
                <w:rFonts w:ascii="Arial" w:cs="Arial" w:eastAsia="Arial" w:hAnsi="Arial"/>
                <w:sz w:val="18"/>
                <w:szCs w:val="18"/>
                <w:color w:val="auto"/>
              </w:rPr>
              <w:t>Surgical</w:t>
            </w:r>
          </w:p>
        </w:tc>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49,479</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51,920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OrthoPAT</w:t>
            </w:r>
          </w:p>
        </w:tc>
        <w:tc>
          <w:tcPr>
            <w:tcW w:w="3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26,486</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tcPr>
          <w:p>
            <w:pPr>
              <w:ind w:left="380"/>
              <w:spacing w:after="0"/>
              <w:rPr>
                <w:sz w:val="20"/>
                <w:szCs w:val="20"/>
                <w:color w:val="auto"/>
              </w:rPr>
            </w:pPr>
            <w:r>
              <w:rPr>
                <w:rFonts w:ascii="Arial" w:cs="Arial" w:eastAsia="Arial" w:hAnsi="Arial"/>
                <w:sz w:val="18"/>
                <w:szCs w:val="18"/>
                <w:color w:val="auto"/>
              </w:rPr>
              <w:t>Diagnostics</w:t>
            </w:r>
          </w:p>
        </w:tc>
        <w:tc>
          <w:tcPr>
            <w:tcW w:w="3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14,575</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90,540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280" w:type="dxa"/>
            <w:vAlign w:val="bottom"/>
            <w:gridSpan w:val="2"/>
          </w:tcPr>
          <w:p>
            <w:pPr>
              <w:spacing w:after="0"/>
              <w:rPr>
                <w:sz w:val="20"/>
                <w:szCs w:val="20"/>
                <w:color w:val="auto"/>
              </w:rPr>
            </w:pPr>
            <w:r>
              <w:rPr>
                <w:rFonts w:ascii="Arial" w:cs="Arial" w:eastAsia="Arial" w:hAnsi="Arial"/>
                <w:sz w:val="18"/>
                <w:szCs w:val="18"/>
                <w:color w:val="auto"/>
              </w:rPr>
              <w:t>Disposables revenue</w:t>
            </w:r>
          </w:p>
        </w:tc>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414,189</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415,035</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Software solutions</w:t>
            </w:r>
          </w:p>
        </w:tc>
        <w:tc>
          <w:tcPr>
            <w:tcW w:w="3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49,155</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Equipment &amp; other</w:t>
            </w:r>
          </w:p>
        </w:tc>
        <w:tc>
          <w:tcPr>
            <w:tcW w:w="3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43,317</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580" w:type="dxa"/>
            <w:vAlign w:val="bottom"/>
            <w:gridSpan w:val="2"/>
            <w:shd w:val="clear" w:color="auto" w:fill="CCEEFF"/>
          </w:tcPr>
          <w:p>
            <w:pPr>
              <w:ind w:left="33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506,661</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476,326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REORGANIZATION</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On April 1, 2010, our Board of Directors approved transformation and restructuring plans, which include the integration of Global Med Technologies, Inc.</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restructuring activity for the nine months ended January 1, 2011 and December 26, 2009, respectively: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60" w:type="dxa"/>
            <w:vAlign w:val="bottom"/>
            <w:gridSpan w:val="10"/>
          </w:tcPr>
          <w:p>
            <w:pPr>
              <w:jc w:val="right"/>
              <w:ind w:right="9"/>
              <w:spacing w:after="0"/>
              <w:rPr>
                <w:sz w:val="20"/>
                <w:szCs w:val="20"/>
                <w:color w:val="auto"/>
              </w:rPr>
            </w:pPr>
            <w:r>
              <w:rPr>
                <w:rFonts w:ascii="Arial" w:cs="Arial" w:eastAsia="Arial" w:hAnsi="Arial"/>
                <w:sz w:val="14"/>
                <w:szCs w:val="14"/>
                <w:color w:val="auto"/>
                <w:w w:val="95"/>
              </w:rPr>
              <w:t>Nine Months Ended January 1, 2011</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w w:val="93"/>
              </w:rPr>
              <w:t>Restructuring</w:t>
            </w:r>
          </w:p>
        </w:tc>
        <w:tc>
          <w:tcPr>
            <w:tcW w:w="0" w:type="dxa"/>
            <w:vAlign w:val="bottom"/>
          </w:tcPr>
          <w:p>
            <w:pPr>
              <w:spacing w:after="0"/>
              <w:rPr>
                <w:sz w:val="1"/>
                <w:szCs w:val="1"/>
                <w:color w:val="auto"/>
              </w:rPr>
            </w:pPr>
          </w:p>
        </w:tc>
      </w:tr>
      <w:tr>
        <w:trPr>
          <w:trHeight w:val="112"/>
        </w:trPr>
        <w:tc>
          <w:tcPr>
            <w:tcW w:w="4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4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98"/>
              </w:rPr>
              <w:t>Accrual</w:t>
            </w:r>
          </w:p>
        </w:tc>
        <w:tc>
          <w:tcPr>
            <w:tcW w:w="0" w:type="dxa"/>
            <w:vAlign w:val="bottom"/>
          </w:tcPr>
          <w:p>
            <w:pPr>
              <w:spacing w:after="0"/>
              <w:rPr>
                <w:sz w:val="1"/>
                <w:szCs w:val="1"/>
                <w:color w:val="auto"/>
              </w:rPr>
            </w:pPr>
          </w:p>
        </w:tc>
      </w:tr>
      <w:tr>
        <w:trPr>
          <w:trHeight w:val="146"/>
        </w:trPr>
        <w:tc>
          <w:tcPr>
            <w:tcW w:w="4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4"/>
          </w:tcPr>
          <w:p>
            <w:pPr>
              <w:jc w:val="right"/>
              <w:ind w:right="620"/>
              <w:spacing w:after="0" w:line="146" w:lineRule="exact"/>
              <w:rPr>
                <w:sz w:val="20"/>
                <w:szCs w:val="20"/>
                <w:color w:val="auto"/>
              </w:rPr>
            </w:pPr>
            <w:r>
              <w:rPr>
                <w:rFonts w:ascii="Arial" w:cs="Arial" w:eastAsia="Arial" w:hAnsi="Arial"/>
                <w:sz w:val="14"/>
                <w:szCs w:val="14"/>
                <w:color w:val="auto"/>
                <w:w w:val="96"/>
              </w:rPr>
              <w:t>Balance at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620"/>
              <w:spacing w:after="0" w:line="146" w:lineRule="exact"/>
              <w:rPr>
                <w:sz w:val="20"/>
                <w:szCs w:val="20"/>
                <w:color w:val="auto"/>
              </w:rPr>
            </w:pPr>
            <w:r>
              <w:rPr>
                <w:rFonts w:ascii="Arial" w:cs="Arial" w:eastAsia="Arial" w:hAnsi="Arial"/>
                <w:sz w:val="14"/>
                <w:szCs w:val="14"/>
                <w:color w:val="auto"/>
                <w:w w:val="96"/>
              </w:rPr>
              <w:t>Asset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87"/>
              </w:rPr>
              <w:t>Balance at</w:t>
            </w:r>
          </w:p>
        </w:tc>
        <w:tc>
          <w:tcPr>
            <w:tcW w:w="0" w:type="dxa"/>
            <w:vAlign w:val="bottom"/>
          </w:tcPr>
          <w:p>
            <w:pPr>
              <w:spacing w:after="0"/>
              <w:rPr>
                <w:sz w:val="1"/>
                <w:szCs w:val="1"/>
                <w:color w:val="auto"/>
              </w:rPr>
            </w:pPr>
          </w:p>
        </w:tc>
      </w:tr>
      <w:tr>
        <w:trPr>
          <w:trHeight w:val="164"/>
        </w:trPr>
        <w:tc>
          <w:tcPr>
            <w:tcW w:w="4680" w:type="dxa"/>
            <w:vAlign w:val="bottom"/>
          </w:tcPr>
          <w:p>
            <w:pPr>
              <w:spacing w:after="0"/>
              <w:rPr>
                <w:sz w:val="14"/>
                <w:szCs w:val="14"/>
                <w:color w:val="auto"/>
              </w:rPr>
            </w:pPr>
          </w:p>
        </w:tc>
        <w:tc>
          <w:tcPr>
            <w:tcW w:w="1520" w:type="dxa"/>
            <w:vAlign w:val="bottom"/>
            <w:gridSpan w:val="5"/>
          </w:tcPr>
          <w:p>
            <w:pPr>
              <w:ind w:left="240"/>
              <w:spacing w:after="0"/>
              <w:rPr>
                <w:sz w:val="20"/>
                <w:szCs w:val="20"/>
                <w:color w:val="auto"/>
              </w:rPr>
            </w:pPr>
            <w:r>
              <w:rPr>
                <w:rFonts w:ascii="Arial" w:cs="Arial" w:eastAsia="Arial" w:hAnsi="Arial"/>
                <w:sz w:val="14"/>
                <w:szCs w:val="14"/>
                <w:color w:val="auto"/>
              </w:rPr>
              <w:t>April 3, 2010</w:t>
            </w:r>
          </w:p>
        </w:tc>
        <w:tc>
          <w:tcPr>
            <w:tcW w:w="1400" w:type="dxa"/>
            <w:vAlign w:val="bottom"/>
            <w:gridSpan w:val="5"/>
          </w:tcPr>
          <w:p>
            <w:pPr>
              <w:ind w:left="120"/>
              <w:spacing w:after="0"/>
              <w:rPr>
                <w:sz w:val="20"/>
                <w:szCs w:val="20"/>
                <w:color w:val="auto"/>
              </w:rPr>
            </w:pPr>
            <w:r>
              <w:rPr>
                <w:rFonts w:ascii="Arial" w:cs="Arial" w:eastAsia="Arial" w:hAnsi="Arial"/>
                <w:sz w:val="14"/>
                <w:szCs w:val="14"/>
                <w:color w:val="auto"/>
              </w:rPr>
              <w:t>Cost Incurred</w:t>
            </w:r>
          </w:p>
        </w:tc>
        <w:tc>
          <w:tcPr>
            <w:tcW w:w="140" w:type="dxa"/>
            <w:vAlign w:val="bottom"/>
          </w:tcPr>
          <w:p>
            <w:pPr>
              <w:spacing w:after="0"/>
              <w:rPr>
                <w:sz w:val="14"/>
                <w:szCs w:val="14"/>
                <w:color w:val="auto"/>
              </w:rPr>
            </w:pPr>
          </w:p>
        </w:tc>
        <w:tc>
          <w:tcPr>
            <w:tcW w:w="940" w:type="dxa"/>
            <w:vAlign w:val="bottom"/>
            <w:gridSpan w:val="4"/>
          </w:tcPr>
          <w:p>
            <w:pPr>
              <w:jc w:val="right"/>
              <w:ind w:right="320"/>
              <w:spacing w:after="0"/>
              <w:rPr>
                <w:sz w:val="20"/>
                <w:szCs w:val="20"/>
                <w:color w:val="auto"/>
              </w:rPr>
            </w:pPr>
            <w:r>
              <w:rPr>
                <w:rFonts w:ascii="Arial" w:cs="Arial" w:eastAsia="Arial" w:hAnsi="Arial"/>
                <w:sz w:val="14"/>
                <w:szCs w:val="14"/>
                <w:color w:val="auto"/>
                <w:w w:val="96"/>
              </w:rPr>
              <w:t>Payments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4"/>
          </w:tcPr>
          <w:p>
            <w:pPr>
              <w:jc w:val="right"/>
              <w:ind w:right="440"/>
              <w:spacing w:after="0"/>
              <w:rPr>
                <w:sz w:val="20"/>
                <w:szCs w:val="20"/>
                <w:color w:val="auto"/>
              </w:rPr>
            </w:pPr>
            <w:r>
              <w:rPr>
                <w:rFonts w:ascii="Arial" w:cs="Arial" w:eastAsia="Arial" w:hAnsi="Arial"/>
                <w:sz w:val="14"/>
                <w:szCs w:val="14"/>
                <w:color w:val="auto"/>
                <w:w w:val="94"/>
              </w:rPr>
              <w:t>Write down</w:t>
            </w:r>
          </w:p>
        </w:tc>
        <w:tc>
          <w:tcPr>
            <w:tcW w:w="22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color w:val="auto"/>
                <w:w w:val="89"/>
              </w:rPr>
              <w:t>January 1, 2011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6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Employee-related costs</w:t>
            </w:r>
          </w:p>
        </w:tc>
        <w:tc>
          <w:tcPr>
            <w:tcW w:w="400" w:type="dxa"/>
            <w:vAlign w:val="bottom"/>
            <w:gridSpan w:val="2"/>
            <w:shd w:val="clear" w:color="auto" w:fill="CCEEFF"/>
          </w:tcPr>
          <w:p>
            <w:pPr>
              <w:ind w:left="240"/>
              <w:spacing w:after="0" w:line="206"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540"/>
              <w:spacing w:after="0" w:line="206" w:lineRule="exact"/>
              <w:rPr>
                <w:sz w:val="20"/>
                <w:szCs w:val="20"/>
                <w:color w:val="auto"/>
              </w:rPr>
            </w:pPr>
            <w:r>
              <w:rPr>
                <w:rFonts w:ascii="Arial" w:cs="Arial" w:eastAsia="Arial" w:hAnsi="Arial"/>
                <w:sz w:val="18"/>
                <w:szCs w:val="18"/>
                <w:color w:val="auto"/>
              </w:rPr>
              <w:t>9,761</w:t>
            </w:r>
          </w:p>
        </w:tc>
        <w:tc>
          <w:tcPr>
            <w:tcW w:w="340" w:type="dxa"/>
            <w:vAlign w:val="bottom"/>
            <w:gridSpan w:val="2"/>
            <w:shd w:val="clear" w:color="auto" w:fill="CCEEFF"/>
          </w:tcPr>
          <w:p>
            <w:pPr>
              <w:ind w:left="120"/>
              <w:spacing w:after="0" w:line="206" w:lineRule="exact"/>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520"/>
              <w:spacing w:after="0" w:line="206" w:lineRule="exact"/>
              <w:rPr>
                <w:sz w:val="20"/>
                <w:szCs w:val="20"/>
                <w:color w:val="auto"/>
              </w:rPr>
            </w:pPr>
            <w:r>
              <w:rPr>
                <w:rFonts w:ascii="Arial" w:cs="Arial" w:eastAsia="Arial" w:hAnsi="Arial"/>
                <w:sz w:val="18"/>
                <w:szCs w:val="18"/>
                <w:color w:val="auto"/>
              </w:rPr>
              <w:t>2,527</w:t>
            </w:r>
          </w:p>
        </w:tc>
        <w:tc>
          <w:tcPr>
            <w:tcW w:w="3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200"/>
              <w:spacing w:after="0" w:line="206" w:lineRule="exact"/>
              <w:rPr>
                <w:sz w:val="20"/>
                <w:szCs w:val="20"/>
                <w:color w:val="auto"/>
              </w:rPr>
            </w:pPr>
            <w:r>
              <w:rPr>
                <w:rFonts w:ascii="Arial" w:cs="Arial" w:eastAsia="Arial" w:hAnsi="Arial"/>
                <w:sz w:val="18"/>
                <w:szCs w:val="18"/>
                <w:color w:val="auto"/>
                <w:w w:val="98"/>
              </w:rPr>
              <w:t>(7,969)</w:t>
            </w:r>
          </w:p>
        </w:tc>
        <w:tc>
          <w:tcPr>
            <w:tcW w:w="540" w:type="dxa"/>
            <w:vAlign w:val="bottom"/>
            <w:gridSpan w:val="3"/>
            <w:shd w:val="clear" w:color="auto" w:fill="CCEEFF"/>
          </w:tcPr>
          <w:p>
            <w:pPr>
              <w:ind w:left="400"/>
              <w:spacing w:after="0" w:line="206"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40"/>
              <w:spacing w:after="0" w:line="206" w:lineRule="exact"/>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12"/>
        </w:trPr>
        <w:tc>
          <w:tcPr>
            <w:tcW w:w="4680" w:type="dxa"/>
            <w:vAlign w:val="bottom"/>
          </w:tcPr>
          <w:p>
            <w:pPr>
              <w:spacing w:after="0"/>
              <w:rPr>
                <w:sz w:val="20"/>
                <w:szCs w:val="20"/>
                <w:color w:val="auto"/>
              </w:rPr>
            </w:pPr>
            <w:r>
              <w:rPr>
                <w:rFonts w:ascii="Arial" w:cs="Arial" w:eastAsia="Arial" w:hAnsi="Arial"/>
                <w:sz w:val="18"/>
                <w:szCs w:val="18"/>
                <w:color w:val="auto"/>
              </w:rPr>
              <w:t>Facility related costs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right"/>
              <w:ind w:right="520"/>
              <w:spacing w:after="0"/>
              <w:rPr>
                <w:sz w:val="20"/>
                <w:szCs w:val="20"/>
                <w:color w:val="auto"/>
              </w:rPr>
            </w:pPr>
            <w:r>
              <w:rPr>
                <w:rFonts w:ascii="Arial" w:cs="Arial" w:eastAsia="Arial" w:hAnsi="Arial"/>
                <w:sz w:val="18"/>
                <w:szCs w:val="18"/>
                <w:color w:val="auto"/>
              </w:rPr>
              <w:t>843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9,761</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3,370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8"/>
              </w:rPr>
              <w:t>(7,969)</w:t>
            </w:r>
          </w:p>
        </w:tc>
        <w:tc>
          <w:tcPr>
            <w:tcW w:w="5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(Dollars in thousands)</w:t>
            </w: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4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11"/>
          </w:tcPr>
          <w:p>
            <w:pPr>
              <w:jc w:val="right"/>
              <w:ind w:right="9"/>
              <w:spacing w:after="0"/>
              <w:rPr>
                <w:sz w:val="20"/>
                <w:szCs w:val="20"/>
                <w:color w:val="auto"/>
              </w:rPr>
            </w:pPr>
            <w:r>
              <w:rPr>
                <w:rFonts w:ascii="Arial" w:cs="Arial" w:eastAsia="Arial" w:hAnsi="Arial"/>
                <w:sz w:val="14"/>
                <w:szCs w:val="14"/>
                <w:color w:val="auto"/>
              </w:rPr>
              <w:t>Nine Months Ended December 26, 2009</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gridSpan w:val="4"/>
            <w:vMerge w:val="restart"/>
          </w:tcPr>
          <w:p>
            <w:pPr>
              <w:jc w:val="center"/>
              <w:ind w:right="100"/>
              <w:spacing w:after="0"/>
              <w:rPr>
                <w:sz w:val="20"/>
                <w:szCs w:val="20"/>
                <w:color w:val="auto"/>
              </w:rPr>
            </w:pPr>
            <w:r>
              <w:rPr>
                <w:rFonts w:ascii="Arial" w:cs="Arial" w:eastAsia="Arial" w:hAnsi="Arial"/>
                <w:sz w:val="14"/>
                <w:szCs w:val="14"/>
                <w:color w:val="auto"/>
                <w:w w:val="91"/>
              </w:rPr>
              <w:t>Restructuring</w:t>
            </w:r>
          </w:p>
        </w:tc>
        <w:tc>
          <w:tcPr>
            <w:tcW w:w="0" w:type="dxa"/>
            <w:vAlign w:val="bottom"/>
          </w:tcPr>
          <w:p>
            <w:pPr>
              <w:spacing w:after="0"/>
              <w:rPr>
                <w:sz w:val="1"/>
                <w:szCs w:val="1"/>
                <w:color w:val="auto"/>
              </w:rPr>
            </w:pPr>
          </w:p>
        </w:tc>
      </w:tr>
      <w:tr>
        <w:trPr>
          <w:trHeight w:val="112"/>
        </w:trPr>
        <w:tc>
          <w:tcPr>
            <w:tcW w:w="4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4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20"/>
              <w:spacing w:after="0" w:line="146" w:lineRule="exact"/>
              <w:rPr>
                <w:sz w:val="20"/>
                <w:szCs w:val="20"/>
                <w:color w:val="auto"/>
              </w:rPr>
            </w:pPr>
            <w:r>
              <w:rPr>
                <w:rFonts w:ascii="Arial" w:cs="Arial" w:eastAsia="Arial" w:hAnsi="Arial"/>
                <w:sz w:val="14"/>
                <w:szCs w:val="14"/>
                <w:color w:val="auto"/>
                <w:w w:val="94"/>
              </w:rPr>
              <w:t>Accrual</w:t>
            </w:r>
          </w:p>
        </w:tc>
        <w:tc>
          <w:tcPr>
            <w:tcW w:w="0" w:type="dxa"/>
            <w:vAlign w:val="bottom"/>
          </w:tcPr>
          <w:p>
            <w:pPr>
              <w:spacing w:after="0"/>
              <w:rPr>
                <w:sz w:val="1"/>
                <w:szCs w:val="1"/>
                <w:color w:val="auto"/>
              </w:rPr>
            </w:pPr>
          </w:p>
        </w:tc>
      </w:tr>
      <w:tr>
        <w:trPr>
          <w:trHeight w:val="146"/>
        </w:trPr>
        <w:tc>
          <w:tcPr>
            <w:tcW w:w="4680" w:type="dxa"/>
            <w:vAlign w:val="bottom"/>
          </w:tcPr>
          <w:p>
            <w:pPr>
              <w:spacing w:after="0"/>
              <w:rPr>
                <w:sz w:val="12"/>
                <w:szCs w:val="12"/>
                <w:color w:val="auto"/>
              </w:rPr>
            </w:pPr>
          </w:p>
        </w:tc>
        <w:tc>
          <w:tcPr>
            <w:tcW w:w="1520" w:type="dxa"/>
            <w:vAlign w:val="bottom"/>
            <w:gridSpan w:val="5"/>
          </w:tcPr>
          <w:p>
            <w:pPr>
              <w:ind w:left="160"/>
              <w:spacing w:after="0" w:line="146" w:lineRule="exact"/>
              <w:rPr>
                <w:sz w:val="20"/>
                <w:szCs w:val="20"/>
                <w:color w:val="auto"/>
              </w:rPr>
            </w:pPr>
            <w:r>
              <w:rPr>
                <w:rFonts w:ascii="Arial" w:cs="Arial" w:eastAsia="Arial" w:hAnsi="Arial"/>
                <w:sz w:val="14"/>
                <w:szCs w:val="14"/>
                <w:color w:val="auto"/>
              </w:rPr>
              <w:t>Balance at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5"/>
          </w:tcPr>
          <w:p>
            <w:pPr>
              <w:ind w:left="200"/>
              <w:spacing w:after="0" w:line="146" w:lineRule="exact"/>
              <w:rPr>
                <w:sz w:val="20"/>
                <w:szCs w:val="20"/>
                <w:color w:val="auto"/>
              </w:rPr>
            </w:pPr>
            <w:r>
              <w:rPr>
                <w:rFonts w:ascii="Arial" w:cs="Arial" w:eastAsia="Arial" w:hAnsi="Arial"/>
                <w:sz w:val="14"/>
                <w:szCs w:val="14"/>
                <w:color w:val="auto"/>
              </w:rPr>
              <w:t>Asset</w:t>
            </w:r>
          </w:p>
        </w:tc>
        <w:tc>
          <w:tcPr>
            <w:tcW w:w="220" w:type="dxa"/>
            <w:vAlign w:val="bottom"/>
          </w:tcPr>
          <w:p>
            <w:pPr>
              <w:spacing w:after="0"/>
              <w:rPr>
                <w:sz w:val="12"/>
                <w:szCs w:val="12"/>
                <w:color w:val="auto"/>
              </w:rPr>
            </w:pPr>
          </w:p>
        </w:tc>
        <w:tc>
          <w:tcPr>
            <w:tcW w:w="1000" w:type="dxa"/>
            <w:vAlign w:val="bottom"/>
            <w:gridSpan w:val="3"/>
          </w:tcPr>
          <w:p>
            <w:pPr>
              <w:jc w:val="center"/>
              <w:ind w:right="320"/>
              <w:spacing w:after="0" w:line="146" w:lineRule="exact"/>
              <w:rPr>
                <w:sz w:val="20"/>
                <w:szCs w:val="20"/>
                <w:color w:val="auto"/>
              </w:rPr>
            </w:pPr>
            <w:r>
              <w:rPr>
                <w:rFonts w:ascii="Arial" w:cs="Arial" w:eastAsia="Arial" w:hAnsi="Arial"/>
                <w:sz w:val="14"/>
                <w:szCs w:val="14"/>
                <w:color w:val="auto"/>
                <w:w w:val="90"/>
              </w:rPr>
              <w:t>Balance at</w:t>
            </w:r>
          </w:p>
        </w:tc>
        <w:tc>
          <w:tcPr>
            <w:tcW w:w="0" w:type="dxa"/>
            <w:vAlign w:val="bottom"/>
          </w:tcPr>
          <w:p>
            <w:pPr>
              <w:spacing w:after="0"/>
              <w:rPr>
                <w:sz w:val="1"/>
                <w:szCs w:val="1"/>
                <w:color w:val="auto"/>
              </w:rPr>
            </w:pPr>
          </w:p>
        </w:tc>
      </w:tr>
      <w:tr>
        <w:trPr>
          <w:trHeight w:val="164"/>
        </w:trPr>
        <w:tc>
          <w:tcPr>
            <w:tcW w:w="4680" w:type="dxa"/>
            <w:vAlign w:val="bottom"/>
          </w:tcPr>
          <w:p>
            <w:pPr>
              <w:spacing w:after="0"/>
              <w:rPr>
                <w:sz w:val="14"/>
                <w:szCs w:val="14"/>
                <w:color w:val="auto"/>
              </w:rPr>
            </w:pPr>
          </w:p>
        </w:tc>
        <w:tc>
          <w:tcPr>
            <w:tcW w:w="1520" w:type="dxa"/>
            <w:vAlign w:val="bottom"/>
            <w:gridSpan w:val="5"/>
          </w:tcPr>
          <w:p>
            <w:pPr>
              <w:spacing w:after="0"/>
              <w:rPr>
                <w:sz w:val="20"/>
                <w:szCs w:val="20"/>
                <w:color w:val="auto"/>
              </w:rPr>
            </w:pPr>
            <w:r>
              <w:rPr>
                <w:rFonts w:ascii="Arial" w:cs="Arial" w:eastAsia="Arial" w:hAnsi="Arial"/>
                <w:sz w:val="14"/>
                <w:szCs w:val="14"/>
                <w:color w:val="auto"/>
              </w:rPr>
              <w:t>March 28, 2009</w:t>
            </w:r>
          </w:p>
        </w:tc>
        <w:tc>
          <w:tcPr>
            <w:tcW w:w="1400" w:type="dxa"/>
            <w:vAlign w:val="bottom"/>
            <w:gridSpan w:val="5"/>
          </w:tcPr>
          <w:p>
            <w:pPr>
              <w:jc w:val="right"/>
              <w:ind w:right="620"/>
              <w:spacing w:after="0"/>
              <w:rPr>
                <w:sz w:val="20"/>
                <w:szCs w:val="20"/>
                <w:color w:val="auto"/>
              </w:rPr>
            </w:pPr>
            <w:r>
              <w:rPr>
                <w:rFonts w:ascii="Arial" w:cs="Arial" w:eastAsia="Arial" w:hAnsi="Arial"/>
                <w:sz w:val="14"/>
                <w:szCs w:val="14"/>
                <w:color w:val="auto"/>
                <w:w w:val="90"/>
              </w:rPr>
              <w:t>Cost Incurred</w:t>
            </w:r>
          </w:p>
        </w:tc>
        <w:tc>
          <w:tcPr>
            <w:tcW w:w="1080" w:type="dxa"/>
            <w:vAlign w:val="bottom"/>
            <w:gridSpan w:val="5"/>
          </w:tcPr>
          <w:p>
            <w:pPr>
              <w:jc w:val="right"/>
              <w:ind w:right="480"/>
              <w:spacing w:after="0"/>
              <w:rPr>
                <w:sz w:val="20"/>
                <w:szCs w:val="20"/>
                <w:color w:val="auto"/>
              </w:rPr>
            </w:pPr>
            <w:r>
              <w:rPr>
                <w:rFonts w:ascii="Arial" w:cs="Arial" w:eastAsia="Arial" w:hAnsi="Arial"/>
                <w:sz w:val="14"/>
                <w:szCs w:val="14"/>
                <w:color w:val="auto"/>
                <w:w w:val="93"/>
              </w:rPr>
              <w:t>Payments</w:t>
            </w:r>
          </w:p>
        </w:tc>
        <w:tc>
          <w:tcPr>
            <w:tcW w:w="200" w:type="dxa"/>
            <w:vAlign w:val="bottom"/>
          </w:tcPr>
          <w:p>
            <w:pPr>
              <w:spacing w:after="0"/>
              <w:rPr>
                <w:sz w:val="14"/>
                <w:szCs w:val="14"/>
                <w:color w:val="auto"/>
              </w:rPr>
            </w:pPr>
          </w:p>
        </w:tc>
        <w:tc>
          <w:tcPr>
            <w:tcW w:w="1320" w:type="dxa"/>
            <w:vAlign w:val="bottom"/>
            <w:gridSpan w:val="5"/>
          </w:tcPr>
          <w:p>
            <w:pPr>
              <w:jc w:val="right"/>
              <w:ind w:right="640"/>
              <w:spacing w:after="0"/>
              <w:rPr>
                <w:sz w:val="20"/>
                <w:szCs w:val="20"/>
                <w:color w:val="auto"/>
              </w:rPr>
            </w:pPr>
            <w:r>
              <w:rPr>
                <w:rFonts w:ascii="Arial" w:cs="Arial" w:eastAsia="Arial" w:hAnsi="Arial"/>
                <w:sz w:val="14"/>
                <w:szCs w:val="14"/>
                <w:color w:val="auto"/>
                <w:w w:val="94"/>
              </w:rPr>
              <w:t>Write down</w:t>
            </w:r>
          </w:p>
        </w:tc>
        <w:tc>
          <w:tcPr>
            <w:tcW w:w="1220" w:type="dxa"/>
            <w:vAlign w:val="bottom"/>
            <w:gridSpan w:val="4"/>
          </w:tcPr>
          <w:p>
            <w:pPr>
              <w:jc w:val="center"/>
              <w:ind w:right="100"/>
              <w:spacing w:after="0"/>
              <w:rPr>
                <w:sz w:val="20"/>
                <w:szCs w:val="20"/>
                <w:color w:val="auto"/>
              </w:rPr>
            </w:pPr>
            <w:r>
              <w:rPr>
                <w:rFonts w:ascii="Arial" w:cs="Arial" w:eastAsia="Arial" w:hAnsi="Arial"/>
                <w:sz w:val="14"/>
                <w:szCs w:val="14"/>
                <w:color w:val="auto"/>
                <w:w w:val="91"/>
              </w:rPr>
              <w:t>December 26, 2009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6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Employee-related costs</w:t>
            </w:r>
          </w:p>
        </w:tc>
        <w:tc>
          <w:tcPr>
            <w:tcW w:w="2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2,729</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640"/>
              <w:spacing w:after="0" w:line="20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w w:val="95"/>
              </w:rPr>
              <w:t>(483)</w:t>
            </w:r>
          </w:p>
        </w:tc>
        <w:tc>
          <w:tcPr>
            <w:tcW w:w="2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9"/>
              <w:spacing w:after="0" w:line="20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640"/>
              <w:spacing w:after="0" w:line="20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8"/>
              <w:spacing w:after="0" w:line="206"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12"/>
        </w:trPr>
        <w:tc>
          <w:tcPr>
            <w:tcW w:w="4680" w:type="dxa"/>
            <w:vAlign w:val="bottom"/>
          </w:tcPr>
          <w:p>
            <w:pPr>
              <w:spacing w:after="0"/>
              <w:rPr>
                <w:sz w:val="20"/>
                <w:szCs w:val="20"/>
                <w:color w:val="auto"/>
              </w:rPr>
            </w:pPr>
            <w:r>
              <w:rPr>
                <w:rFonts w:ascii="Arial" w:cs="Arial" w:eastAsia="Arial" w:hAnsi="Arial"/>
                <w:sz w:val="18"/>
                <w:szCs w:val="18"/>
                <w:color w:val="auto"/>
              </w:rPr>
              <w:t>Facility related costs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exit &amp; termination costs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6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2,849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8"/>
                <w:szCs w:val="18"/>
                <w:color w:val="auto"/>
              </w:rPr>
            </w:pPr>
          </w:p>
        </w:tc>
        <w:tc>
          <w:tcPr>
            <w:tcW w:w="10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(603)</w:t>
            </w:r>
          </w:p>
        </w:tc>
        <w:tc>
          <w:tcPr>
            <w:tcW w:w="260" w:type="dxa"/>
            <w:vAlign w:val="bottom"/>
          </w:tcPr>
          <w:p>
            <w:pPr>
              <w:spacing w:after="0"/>
              <w:rPr>
                <w:sz w:val="18"/>
                <w:szCs w:val="18"/>
                <w:color w:val="auto"/>
              </w:rPr>
            </w:pPr>
          </w:p>
        </w:tc>
        <w:tc>
          <w:tcPr>
            <w:tcW w:w="40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8"/>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costs in the above table, we incurred the following additional expenses as part of our approved transformation and restructuring plans:</w:t>
      </w:r>
    </w:p>
    <w:p>
      <w:pPr>
        <w:spacing w:after="0" w:line="123" w:lineRule="exact"/>
        <w:rPr>
          <w:sz w:val="20"/>
          <w:szCs w:val="20"/>
          <w:color w:val="auto"/>
        </w:rPr>
      </w:pPr>
    </w:p>
    <w:p>
      <w:pPr>
        <w:jc w:val="both"/>
        <w:ind w:left="660" w:right="140" w:hanging="429"/>
        <w:spacing w:after="0" w:line="277" w:lineRule="auto"/>
        <w:tabs>
          <w:tab w:leader="none" w:pos="660" w:val="left"/>
        </w:tabs>
        <w:numPr>
          <w:ilvl w:val="1"/>
          <w:numId w:val="11"/>
        </w:numPr>
        <w:rPr>
          <w:rFonts w:ascii="Arial" w:cs="Arial" w:eastAsia="Arial" w:hAnsi="Arial"/>
          <w:sz w:val="17"/>
          <w:szCs w:val="17"/>
          <w:b w:val="1"/>
          <w:bCs w:val="1"/>
          <w:color w:val="auto"/>
        </w:rPr>
      </w:pPr>
      <w:r>
        <w:rPr>
          <w:rFonts w:ascii="Arial" w:cs="Arial" w:eastAsia="Arial" w:hAnsi="Arial"/>
          <w:sz w:val="17"/>
          <w:szCs w:val="17"/>
          <w:color w:val="auto"/>
        </w:rPr>
        <w:t>During the third quarter of fiscal year 2011, we incurred stock compensation expense of $1.7 million resulting from the acceleration of unvested stock options in accordance to terms of an employment contract for one of our employees. This expense is included as part of our restructuring charges and reflected in our consolidated Statements of Income for the three and nine months ended January 1, 2011.</w:t>
      </w:r>
    </w:p>
    <w:p>
      <w:pPr>
        <w:spacing w:after="0" w:line="78" w:lineRule="exact"/>
        <w:rPr>
          <w:rFonts w:ascii="Arial" w:cs="Arial" w:eastAsia="Arial" w:hAnsi="Arial"/>
          <w:sz w:val="17"/>
          <w:szCs w:val="17"/>
          <w:b w:val="1"/>
          <w:bCs w:val="1"/>
          <w:color w:val="auto"/>
        </w:rPr>
      </w:pPr>
    </w:p>
    <w:p>
      <w:pPr>
        <w:ind w:left="660" w:hanging="429"/>
        <w:spacing w:after="0"/>
        <w:tabs>
          <w:tab w:leader="none" w:pos="660" w:val="left"/>
        </w:tabs>
        <w:numPr>
          <w:ilvl w:val="1"/>
          <w:numId w:val="11"/>
        </w:numPr>
        <w:rPr>
          <w:rFonts w:ascii="Arial" w:cs="Arial" w:eastAsia="Arial" w:hAnsi="Arial"/>
          <w:sz w:val="18"/>
          <w:szCs w:val="18"/>
          <w:b w:val="1"/>
          <w:bCs w:val="1"/>
          <w:color w:val="auto"/>
        </w:rPr>
      </w:pPr>
      <w:r>
        <w:rPr>
          <w:rFonts w:ascii="Arial" w:cs="Arial" w:eastAsia="Arial" w:hAnsi="Arial"/>
          <w:sz w:val="18"/>
          <w:szCs w:val="18"/>
          <w:color w:val="auto"/>
        </w:rPr>
        <w:t>For the nine months ended January 1, 2011, we incurred $1.5 million of integration costs related to the Global Med acquisition.</w:t>
      </w:r>
    </w:p>
    <w:p>
      <w:pPr>
        <w:spacing w:after="0" w:line="211" w:lineRule="exact"/>
        <w:rPr>
          <w:rFonts w:ascii="Arial" w:cs="Arial" w:eastAsia="Arial" w:hAnsi="Arial"/>
          <w:sz w:val="18"/>
          <w:szCs w:val="18"/>
          <w:b w:val="1"/>
          <w:bCs w:val="1"/>
          <w:color w:val="auto"/>
        </w:rPr>
      </w:pPr>
    </w:p>
    <w:p>
      <w:pPr>
        <w:ind w:left="280" w:hanging="274"/>
        <w:spacing w:after="0"/>
        <w:tabs>
          <w:tab w:leader="none" w:pos="2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OF SOFTWARE DEVELOPMENT COSTS</w:t>
      </w:r>
    </w:p>
    <w:p>
      <w:pPr>
        <w:spacing w:after="0" w:line="117"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 xml:space="preserve">The cost of software that is developed or obtained for internal use is accounted for pursuant to ASC Topic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Pursuant to ASC Topic 350, the Company capitalizes costs incurred during the application development stage of software developed for internal use, and expenses costs incurred during the preliminary project and the post-implementation operation stages of development. The Company capitalized $1.7 million and $4.9 million in costs incurred for acquisition of the software license and related software development costs for new internal software that was in the application development stage during the nine month period ended January 1, 2011 and December 26, 2009, respectively. The capitalized costs are included as a component of property, plant and equipment in the consolidated financial statements.</w:t>
      </w:r>
    </w:p>
    <w:p>
      <w:pPr>
        <w:spacing w:after="0" w:line="74"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 xml:space="preserve">For costs incurred related to the development of software to be sold, leased, or otherwise marketed, the Company applies the provisions of ASC Topic 985-20, </w:t>
      </w:r>
      <w:r>
        <w:rPr>
          <w:rFonts w:ascii="Arial" w:cs="Arial" w:eastAsia="Arial" w:hAnsi="Arial"/>
          <w:sz w:val="18"/>
          <w:szCs w:val="18"/>
          <w:i w:val="1"/>
          <w:iCs w:val="1"/>
          <w:color w:val="auto"/>
        </w:rPr>
        <w:t>Software</w:t>
      </w:r>
      <w:r>
        <w:rPr>
          <w:rFonts w:ascii="Arial" w:cs="Arial" w:eastAsia="Arial" w:hAnsi="Arial"/>
          <w:sz w:val="18"/>
          <w:szCs w:val="18"/>
          <w:color w:val="auto"/>
        </w:rPr>
        <w:t>, which specifies that costs incurred internally in researching and developing a computer software product should be charged to expense until</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technological feasibility has been established for the product. Once technological feasibility is established, all software costs should be capitalized until the product is available for general release to customers.</w:t>
      </w:r>
    </w:p>
    <w:p>
      <w:pPr>
        <w:spacing w:after="0" w:line="85" w:lineRule="exact"/>
        <w:rPr>
          <w:sz w:val="20"/>
          <w:szCs w:val="20"/>
          <w:color w:val="auto"/>
        </w:rPr>
      </w:pPr>
    </w:p>
    <w:p>
      <w:pPr>
        <w:ind w:right="340"/>
        <w:spacing w:after="0" w:line="271" w:lineRule="auto"/>
        <w:rPr>
          <w:sz w:val="20"/>
          <w:szCs w:val="20"/>
          <w:color w:val="auto"/>
        </w:rPr>
      </w:pPr>
      <w:r>
        <w:rPr>
          <w:rFonts w:ascii="Arial" w:cs="Arial" w:eastAsia="Arial" w:hAnsi="Arial"/>
          <w:sz w:val="17"/>
          <w:szCs w:val="17"/>
          <w:color w:val="auto"/>
        </w:rPr>
        <w:t>The Company capitalized $5.2 million and $3.5 million in software development costs for ongoing initiatives during the nine month period ended January 1, 2011 and December 26, 2009, respectively. At January 1, 2011 and April 3, 2010, we have a total of $11.7 million and $7.6 million, respectively, of costs capitalized related to in process software development initiatives. The costs capitalized for each project are included in intangible assets in the consolidated financial statements. We will begin to amortize the remaining costs when the products are released for sale.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313295" cy="9474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3295" cy="94742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fiscal year 2010 Annual Report on Form 10-K filed with the Securities and Exchange Commission (the “SEC”) on June 1, 2010. The following discussion may contain forward-looking statements and should be read in conjunction with the “</w:t>
      </w:r>
      <w:r>
        <w:rPr>
          <w:rFonts w:ascii="Arial" w:cs="Arial" w:eastAsia="Arial" w:hAnsi="Arial"/>
          <w:sz w:val="17"/>
          <w:szCs w:val="17"/>
          <w:b w:val="1"/>
          <w:bCs w:val="1"/>
          <w:color w:val="auto"/>
        </w:rPr>
        <w:t>Cautionary</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 Regarding Forward-Looking Information</w:t>
      </w:r>
      <w:r>
        <w:rPr>
          <w:rFonts w:ascii="Arial" w:cs="Arial" w:eastAsia="Arial" w:hAnsi="Arial"/>
          <w:sz w:val="17"/>
          <w:szCs w:val="17"/>
          <w:color w:val="auto"/>
        </w:rPr>
        <w:t>” beginning on page 35.</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17" w:lineRule="exact"/>
        <w:rPr>
          <w:sz w:val="20"/>
          <w:szCs w:val="20"/>
          <w:color w:val="auto"/>
        </w:rPr>
      </w:pPr>
    </w:p>
    <w:p>
      <w:pPr>
        <w:ind w:right="80"/>
        <w:spacing w:after="0" w:line="366" w:lineRule="auto"/>
        <w:rPr>
          <w:sz w:val="20"/>
          <w:szCs w:val="20"/>
          <w:color w:val="auto"/>
        </w:rPr>
      </w:pPr>
      <w:r>
        <w:rPr>
          <w:rFonts w:ascii="Arial" w:cs="Arial" w:eastAsia="Arial" w:hAnsi="Arial"/>
          <w:sz w:val="15"/>
          <w:szCs w:val="15"/>
          <w:color w:val="auto"/>
        </w:rPr>
        <w:t>Haemonetics is a blood management solutions company. Anchored by our medical device systems, we also provide information technology platforms and value added services to provide customers with business solutions which support improved clinical outcomes for patients and efficiency in the blood supply chain.</w:t>
      </w:r>
    </w:p>
    <w:p>
      <w:pPr>
        <w:spacing w:after="0" w:line="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Our medical device systems automate the collection and processing of donated blood; assess likelihood for blood loss; salvage and process blood from surgery patients; and dispense and track blood inventory in the hospital. These systems include devices and single-use, proprietary disposable sets (“disposables”) that operate only with our specialized devices. Specifically, our plasma and blood bank systems allow users to collect and process only the blood component(s) they target — plasma, platelets, or red blood cells — increasing donor and patient safety as well as collection efficiencies. Our blood diagnostics system assesses hemostasis (a patient’s clotting ability) to aid clinicians in assessing the cause of bleeding resulting in overall reductions in blood product usage. Our surgical blood salvage systems allow surgeons to collect the blood lost by a patient in surgery, cleanse the blood, and make it available for transfusion back to the patient. Our blood tracking systems automate the distribution of blood products in the hospital.</w:t>
      </w:r>
    </w:p>
    <w:p>
      <w:pPr>
        <w:spacing w:after="0" w:line="75"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Our business services products include blood management, Six Sigma, and LEAN manufacturing consulting, which support our customers’ needs for regulatory compliance and operational efficiency in the blood supply chain.</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either sell our devices to customers (resulting in equipment revenue) or place our devices with customers subject to certain conditions. When the device remains our property, the customer has the right to use it for a period of time as long as the customer meets certain conditions we have established, which, among other things, generally include one or more of the following:</w:t>
      </w:r>
    </w:p>
    <w:p>
      <w:pPr>
        <w:spacing w:after="0" w:line="83" w:lineRule="exact"/>
        <w:rPr>
          <w:sz w:val="20"/>
          <w:szCs w:val="20"/>
          <w:color w:val="auto"/>
        </w:rPr>
      </w:pPr>
    </w:p>
    <w:p>
      <w:pPr>
        <w:ind w:left="900" w:hanging="443"/>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Purchase and consumption of a minimum level of disposables products;</w:t>
      </w:r>
    </w:p>
    <w:p>
      <w:pPr>
        <w:spacing w:after="0" w:line="124" w:lineRule="exact"/>
        <w:rPr>
          <w:rFonts w:ascii="Arial" w:cs="Arial" w:eastAsia="Arial" w:hAnsi="Arial"/>
          <w:sz w:val="18"/>
          <w:szCs w:val="18"/>
          <w:b w:val="1"/>
          <w:bCs w:val="1"/>
          <w:color w:val="auto"/>
        </w:rPr>
      </w:pPr>
    </w:p>
    <w:p>
      <w:pPr>
        <w:ind w:left="900" w:hanging="443"/>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Payment of monthly rental fees; and</w:t>
      </w:r>
    </w:p>
    <w:p>
      <w:pPr>
        <w:spacing w:after="0" w:line="124" w:lineRule="exact"/>
        <w:rPr>
          <w:rFonts w:ascii="Arial" w:cs="Arial" w:eastAsia="Arial" w:hAnsi="Arial"/>
          <w:sz w:val="18"/>
          <w:szCs w:val="18"/>
          <w:b w:val="1"/>
          <w:bCs w:val="1"/>
          <w:color w:val="auto"/>
        </w:rPr>
      </w:pPr>
    </w:p>
    <w:p>
      <w:pPr>
        <w:ind w:left="900" w:hanging="443"/>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1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disposables revenue stream, which includes the sales of disposables and fees for the use of our equipment, accounted for approximately 81.5% and 86.6% of our total revenues for the third quarter of fiscal year 2011 and 2010, respectively, and approximately 81.7% and 87.1% for the first nine months of fiscal year 2011 and 2010, respectively.</w:t>
      </w:r>
    </w:p>
    <w:p>
      <w:pPr>
        <w:spacing w:after="0" w:line="83"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The following table provides an overview of our financial results for the three and nine months ended January 1, 2011 and the comparable three and nine month periods in our prior fiscal year.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353"/>
              <w:spacing w:after="0"/>
              <w:rPr>
                <w:sz w:val="20"/>
                <w:szCs w:val="20"/>
                <w:color w:val="auto"/>
              </w:rPr>
            </w:pPr>
            <w:r>
              <w:rPr>
                <w:rFonts w:ascii="Arial" w:cs="Arial" w:eastAsia="Arial" w:hAnsi="Arial"/>
                <w:sz w:val="14"/>
                <w:szCs w:val="14"/>
                <w:b w:val="1"/>
                <w:bCs w:val="1"/>
                <w:color w:val="auto"/>
                <w:w w:val="98"/>
              </w:rPr>
              <w:t>For the three months ended</w:t>
            </w:r>
          </w:p>
        </w:tc>
        <w:tc>
          <w:tcPr>
            <w:tcW w:w="18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5"/>
              </w:rPr>
              <w:t>% Increase/</w:t>
            </w:r>
          </w:p>
        </w:tc>
        <w:tc>
          <w:tcPr>
            <w:tcW w:w="2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right"/>
              <w:ind w:right="373"/>
              <w:spacing w:after="0"/>
              <w:rPr>
                <w:sz w:val="20"/>
                <w:szCs w:val="20"/>
                <w:color w:val="auto"/>
              </w:rPr>
            </w:pPr>
            <w:r>
              <w:rPr>
                <w:rFonts w:ascii="Arial" w:cs="Arial" w:eastAsia="Arial" w:hAnsi="Arial"/>
                <w:sz w:val="14"/>
                <w:szCs w:val="14"/>
                <w:b w:val="1"/>
                <w:bCs w:val="1"/>
                <w:color w:val="auto"/>
              </w:rPr>
              <w:t>For the nine months ended</w:t>
            </w:r>
          </w:p>
        </w:tc>
        <w:tc>
          <w:tcPr>
            <w:tcW w:w="14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280" w:type="dxa"/>
            <w:vAlign w:val="bottom"/>
            <w:gridSpan w:val="2"/>
          </w:tcPr>
          <w:p>
            <w:pPr>
              <w:jc w:val="right"/>
              <w:ind w:right="314"/>
              <w:spacing w:after="0" w:line="117" w:lineRule="exact"/>
              <w:rPr>
                <w:sz w:val="20"/>
                <w:szCs w:val="20"/>
                <w:color w:val="auto"/>
              </w:rPr>
            </w:pPr>
            <w:r>
              <w:rPr>
                <w:rFonts w:ascii="Arial" w:cs="Arial" w:eastAsia="Arial" w:hAnsi="Arial"/>
                <w:sz w:val="13"/>
                <w:szCs w:val="13"/>
                <w:b w:val="1"/>
                <w:bCs w:val="1"/>
                <w:color w:val="auto"/>
              </w:rPr>
              <w:t>January 1,</w:t>
            </w:r>
          </w:p>
        </w:tc>
        <w:tc>
          <w:tcPr>
            <w:tcW w:w="1260" w:type="dxa"/>
            <w:vAlign w:val="bottom"/>
            <w:gridSpan w:val="2"/>
          </w:tcPr>
          <w:p>
            <w:pPr>
              <w:ind w:left="300"/>
              <w:spacing w:after="0" w:line="117" w:lineRule="exact"/>
              <w:rPr>
                <w:sz w:val="20"/>
                <w:szCs w:val="20"/>
                <w:color w:val="auto"/>
              </w:rPr>
            </w:pPr>
            <w:r>
              <w:rPr>
                <w:rFonts w:ascii="Arial" w:cs="Arial" w:eastAsia="Arial" w:hAnsi="Arial"/>
                <w:sz w:val="13"/>
                <w:szCs w:val="13"/>
                <w:b w:val="1"/>
                <w:bCs w:val="1"/>
                <w:color w:val="auto"/>
              </w:rPr>
              <w:t>December 26,</w:t>
            </w:r>
          </w:p>
        </w:tc>
        <w:tc>
          <w:tcPr>
            <w:tcW w:w="1800" w:type="dxa"/>
            <w:vAlign w:val="bottom"/>
            <w:gridSpan w:val="2"/>
            <w:vMerge w:val="continue"/>
          </w:tcPr>
          <w:p>
            <w:pPr>
              <w:spacing w:after="0"/>
              <w:rPr>
                <w:sz w:val="10"/>
                <w:szCs w:val="10"/>
                <w:color w:val="auto"/>
              </w:rPr>
            </w:pPr>
          </w:p>
        </w:tc>
        <w:tc>
          <w:tcPr>
            <w:tcW w:w="1280" w:type="dxa"/>
            <w:vAlign w:val="bottom"/>
            <w:gridSpan w:val="2"/>
          </w:tcPr>
          <w:p>
            <w:pPr>
              <w:jc w:val="right"/>
              <w:ind w:right="334"/>
              <w:spacing w:after="0" w:line="117" w:lineRule="exact"/>
              <w:rPr>
                <w:sz w:val="20"/>
                <w:szCs w:val="20"/>
                <w:color w:val="auto"/>
              </w:rPr>
            </w:pPr>
            <w:r>
              <w:rPr>
                <w:rFonts w:ascii="Arial" w:cs="Arial" w:eastAsia="Arial" w:hAnsi="Arial"/>
                <w:sz w:val="13"/>
                <w:szCs w:val="13"/>
                <w:b w:val="1"/>
                <w:bCs w:val="1"/>
                <w:color w:val="auto"/>
              </w:rPr>
              <w:t>January 1,</w:t>
            </w:r>
          </w:p>
        </w:tc>
        <w:tc>
          <w:tcPr>
            <w:tcW w:w="1260" w:type="dxa"/>
            <w:vAlign w:val="bottom"/>
            <w:gridSpan w:val="2"/>
          </w:tcPr>
          <w:p>
            <w:pPr>
              <w:ind w:left="300"/>
              <w:spacing w:after="0" w:line="117" w:lineRule="exact"/>
              <w:rPr>
                <w:sz w:val="20"/>
                <w:szCs w:val="20"/>
                <w:color w:val="auto"/>
              </w:rPr>
            </w:pPr>
            <w:r>
              <w:rPr>
                <w:rFonts w:ascii="Arial" w:cs="Arial" w:eastAsia="Arial" w:hAnsi="Arial"/>
                <w:sz w:val="13"/>
                <w:szCs w:val="13"/>
                <w:b w:val="1"/>
                <w:bCs w:val="1"/>
                <w:color w:val="auto"/>
              </w:rPr>
              <w:t>December 26,</w:t>
            </w: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060" w:type="dxa"/>
            <w:vAlign w:val="bottom"/>
            <w:gridSpan w:val="2"/>
          </w:tcPr>
          <w:p>
            <w:pPr>
              <w:spacing w:after="0"/>
              <w:rPr>
                <w:sz w:val="20"/>
                <w:szCs w:val="20"/>
                <w:color w:val="auto"/>
              </w:rPr>
            </w:pPr>
            <w:r>
              <w:rPr>
                <w:rFonts w:ascii="Arial" w:cs="Arial" w:eastAsia="Arial" w:hAnsi="Arial"/>
                <w:sz w:val="14"/>
                <w:szCs w:val="14"/>
                <w:color w:val="auto"/>
              </w:rPr>
              <w:t>(in thousands, except per share data)</w:t>
            </w:r>
          </w:p>
        </w:tc>
        <w:tc>
          <w:tcPr>
            <w:tcW w:w="260" w:type="dxa"/>
            <w:vAlign w:val="bottom"/>
          </w:tcPr>
          <w:p>
            <w:pPr>
              <w:spacing w:after="0"/>
              <w:rPr>
                <w:sz w:val="14"/>
                <w:szCs w:val="14"/>
                <w:color w:val="auto"/>
              </w:rPr>
            </w:pPr>
          </w:p>
        </w:tc>
        <w:tc>
          <w:tcPr>
            <w:tcW w:w="1020" w:type="dxa"/>
            <w:vAlign w:val="bottom"/>
          </w:tcPr>
          <w:p>
            <w:pPr>
              <w:jc w:val="right"/>
              <w:ind w:right="494"/>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2009</w:t>
            </w:r>
          </w:p>
        </w:tc>
        <w:tc>
          <w:tcPr>
            <w:tcW w:w="1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(Decrease)</w:t>
            </w:r>
          </w:p>
        </w:tc>
        <w:tc>
          <w:tcPr>
            <w:tcW w:w="240" w:type="dxa"/>
            <w:vAlign w:val="bottom"/>
          </w:tcPr>
          <w:p>
            <w:pPr>
              <w:spacing w:after="0"/>
              <w:rPr>
                <w:sz w:val="14"/>
                <w:szCs w:val="14"/>
                <w:color w:val="auto"/>
              </w:rPr>
            </w:pPr>
          </w:p>
        </w:tc>
        <w:tc>
          <w:tcPr>
            <w:tcW w:w="10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2009</w:t>
            </w:r>
          </w:p>
        </w:tc>
        <w:tc>
          <w:tcPr>
            <w:tcW w:w="1480" w:type="dxa"/>
            <w:vAlign w:val="bottom"/>
          </w:tcPr>
          <w:p>
            <w:pPr>
              <w:jc w:val="right"/>
              <w:ind w:right="15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Net revenues</w:t>
            </w:r>
          </w:p>
        </w:tc>
        <w:tc>
          <w:tcPr>
            <w:tcW w:w="2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354"/>
              <w:spacing w:after="0" w:line="206" w:lineRule="exact"/>
              <w:rPr>
                <w:sz w:val="20"/>
                <w:szCs w:val="20"/>
                <w:color w:val="auto"/>
              </w:rPr>
            </w:pPr>
            <w:r>
              <w:rPr>
                <w:rFonts w:ascii="Arial" w:cs="Arial" w:eastAsia="Arial" w:hAnsi="Arial"/>
                <w:sz w:val="18"/>
                <w:szCs w:val="18"/>
                <w:color w:val="auto"/>
                <w:w w:val="86"/>
              </w:rPr>
              <w:t>176,789</w:t>
            </w:r>
          </w:p>
        </w:tc>
        <w:tc>
          <w:tcPr>
            <w:tcW w:w="420" w:type="dxa"/>
            <w:vAlign w:val="bottom"/>
            <w:tcBorders>
              <w:top w:val="single" w:sz="8" w:color="auto"/>
            </w:tcBorders>
            <w:shd w:val="clear" w:color="auto" w:fill="CCEEFF"/>
          </w:tcPr>
          <w:p>
            <w:pPr>
              <w:ind w:left="320"/>
              <w:spacing w:after="0" w:line="20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173"/>
              <w:spacing w:after="0" w:line="206" w:lineRule="exact"/>
              <w:rPr>
                <w:sz w:val="20"/>
                <w:szCs w:val="20"/>
                <w:color w:val="auto"/>
              </w:rPr>
            </w:pPr>
            <w:r>
              <w:rPr>
                <w:rFonts w:ascii="Arial" w:cs="Arial" w:eastAsia="Arial" w:hAnsi="Arial"/>
                <w:sz w:val="18"/>
                <w:szCs w:val="18"/>
                <w:color w:val="auto"/>
                <w:w w:val="86"/>
              </w:rPr>
              <w:t>165,169</w:t>
            </w:r>
          </w:p>
        </w:tc>
        <w:tc>
          <w:tcPr>
            <w:tcW w:w="1420" w:type="dxa"/>
            <w:vAlign w:val="bottom"/>
            <w:tcBorders>
              <w:top w:val="single" w:sz="8" w:color="auto"/>
            </w:tcBorders>
            <w:shd w:val="clear" w:color="auto" w:fill="CCEEFF"/>
          </w:tcPr>
          <w:p>
            <w:pPr>
              <w:jc w:val="right"/>
              <w:ind w:right="94"/>
              <w:spacing w:after="0" w:line="206" w:lineRule="exact"/>
              <w:rPr>
                <w:sz w:val="20"/>
                <w:szCs w:val="20"/>
                <w:color w:val="auto"/>
              </w:rPr>
            </w:pPr>
            <w:r>
              <w:rPr>
                <w:rFonts w:ascii="Arial" w:cs="Arial" w:eastAsia="Arial" w:hAnsi="Arial"/>
                <w:sz w:val="18"/>
                <w:szCs w:val="18"/>
                <w:color w:val="auto"/>
              </w:rPr>
              <w:t>7.0%</w:t>
            </w:r>
          </w:p>
        </w:tc>
        <w:tc>
          <w:tcPr>
            <w:tcW w:w="3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374"/>
              <w:spacing w:after="0" w:line="206" w:lineRule="exact"/>
              <w:rPr>
                <w:sz w:val="20"/>
                <w:szCs w:val="20"/>
                <w:color w:val="auto"/>
              </w:rPr>
            </w:pPr>
            <w:r>
              <w:rPr>
                <w:rFonts w:ascii="Arial" w:cs="Arial" w:eastAsia="Arial" w:hAnsi="Arial"/>
                <w:sz w:val="18"/>
                <w:szCs w:val="18"/>
                <w:color w:val="auto"/>
                <w:w w:val="86"/>
              </w:rPr>
              <w:t>506,661</w:t>
            </w:r>
          </w:p>
        </w:tc>
        <w:tc>
          <w:tcPr>
            <w:tcW w:w="420" w:type="dxa"/>
            <w:vAlign w:val="bottom"/>
            <w:tcBorders>
              <w:top w:val="single" w:sz="8" w:color="auto"/>
            </w:tcBorders>
            <w:shd w:val="clear" w:color="auto" w:fill="CCEEFF"/>
          </w:tcPr>
          <w:p>
            <w:pPr>
              <w:ind w:left="320"/>
              <w:spacing w:after="0" w:line="20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173"/>
              <w:spacing w:after="0" w:line="206" w:lineRule="exact"/>
              <w:rPr>
                <w:sz w:val="20"/>
                <w:szCs w:val="20"/>
                <w:color w:val="auto"/>
              </w:rPr>
            </w:pPr>
            <w:r>
              <w:rPr>
                <w:rFonts w:ascii="Arial" w:cs="Arial" w:eastAsia="Arial" w:hAnsi="Arial"/>
                <w:sz w:val="18"/>
                <w:szCs w:val="18"/>
                <w:color w:val="auto"/>
                <w:w w:val="86"/>
              </w:rPr>
              <w:t>476,326</w:t>
            </w:r>
          </w:p>
        </w:tc>
        <w:tc>
          <w:tcPr>
            <w:tcW w:w="1480" w:type="dxa"/>
            <w:vAlign w:val="bottom"/>
            <w:tcBorders>
              <w:top w:val="single" w:sz="8" w:color="auto"/>
            </w:tcBorders>
            <w:shd w:val="clear" w:color="auto" w:fill="CCEEFF"/>
          </w:tcPr>
          <w:p>
            <w:pPr>
              <w:jc w:val="right"/>
              <w:ind w:right="94"/>
              <w:spacing w:after="0" w:line="20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4"/>
              <w:spacing w:after="0"/>
              <w:rPr>
                <w:sz w:val="20"/>
                <w:szCs w:val="20"/>
                <w:color w:val="auto"/>
              </w:rPr>
            </w:pPr>
            <w:r>
              <w:rPr>
                <w:rFonts w:ascii="Arial" w:cs="Arial" w:eastAsia="Arial" w:hAnsi="Arial"/>
                <w:sz w:val="18"/>
                <w:szCs w:val="18"/>
                <w:color w:val="auto"/>
              </w:rPr>
              <w:t>93,490</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85,447</w:t>
            </w: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9.4%</w:t>
            </w:r>
          </w:p>
        </w:tc>
        <w:tc>
          <w:tcPr>
            <w:tcW w:w="3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74"/>
              <w:spacing w:after="0"/>
              <w:rPr>
                <w:sz w:val="20"/>
                <w:szCs w:val="20"/>
                <w:color w:val="auto"/>
              </w:rPr>
            </w:pPr>
            <w:r>
              <w:rPr>
                <w:rFonts w:ascii="Arial" w:cs="Arial" w:eastAsia="Arial" w:hAnsi="Arial"/>
                <w:sz w:val="18"/>
                <w:szCs w:val="18"/>
                <w:color w:val="auto"/>
                <w:w w:val="86"/>
              </w:rPr>
              <w:t>267,708</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73"/>
              <w:spacing w:after="0"/>
              <w:rPr>
                <w:sz w:val="20"/>
                <w:szCs w:val="20"/>
                <w:color w:val="auto"/>
              </w:rPr>
            </w:pPr>
            <w:r>
              <w:rPr>
                <w:rFonts w:ascii="Arial" w:cs="Arial" w:eastAsia="Arial" w:hAnsi="Arial"/>
                <w:sz w:val="18"/>
                <w:szCs w:val="18"/>
                <w:color w:val="auto"/>
                <w:w w:val="86"/>
              </w:rPr>
              <w:t>249,357</w:t>
            </w: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8"/>
                <w:szCs w:val="18"/>
                <w:i w:val="1"/>
                <w:iCs w:val="1"/>
                <w:color w:val="auto"/>
              </w:rPr>
              <w:t>52.9%</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i w:val="1"/>
                <w:iCs w:val="1"/>
                <w:color w:val="auto"/>
              </w:rPr>
              <w:t>51.7%</w:t>
            </w:r>
          </w:p>
        </w:tc>
        <w:tc>
          <w:tcPr>
            <w:tcW w:w="1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4"/>
              <w:spacing w:after="0"/>
              <w:rPr>
                <w:sz w:val="20"/>
                <w:szCs w:val="20"/>
                <w:color w:val="auto"/>
              </w:rPr>
            </w:pPr>
            <w:r>
              <w:rPr>
                <w:rFonts w:ascii="Arial" w:cs="Arial" w:eastAsia="Arial" w:hAnsi="Arial"/>
                <w:sz w:val="18"/>
                <w:szCs w:val="18"/>
                <w:i w:val="1"/>
                <w:iCs w:val="1"/>
                <w:color w:val="auto"/>
              </w:rPr>
              <w:t>52.8%</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i w:val="1"/>
                <w:iCs w:val="1"/>
                <w:color w:val="auto"/>
              </w:rPr>
              <w:t>52.4%</w:t>
            </w: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30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4"/>
              <w:spacing w:after="0"/>
              <w:rPr>
                <w:sz w:val="20"/>
                <w:szCs w:val="20"/>
                <w:color w:val="auto"/>
              </w:rPr>
            </w:pPr>
            <w:r>
              <w:rPr>
                <w:rFonts w:ascii="Arial" w:cs="Arial" w:eastAsia="Arial" w:hAnsi="Arial"/>
                <w:sz w:val="18"/>
                <w:szCs w:val="18"/>
                <w:color w:val="auto"/>
              </w:rPr>
              <w:t>64,931</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59,612</w:t>
            </w: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8.9%</w:t>
            </w:r>
          </w:p>
        </w:tc>
        <w:tc>
          <w:tcPr>
            <w:tcW w:w="3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74"/>
              <w:spacing w:after="0"/>
              <w:rPr>
                <w:sz w:val="20"/>
                <w:szCs w:val="20"/>
                <w:color w:val="auto"/>
              </w:rPr>
            </w:pPr>
            <w:r>
              <w:rPr>
                <w:rFonts w:ascii="Arial" w:cs="Arial" w:eastAsia="Arial" w:hAnsi="Arial"/>
                <w:sz w:val="18"/>
                <w:szCs w:val="18"/>
                <w:color w:val="auto"/>
                <w:w w:val="86"/>
              </w:rPr>
              <w:t>186,055</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73"/>
              <w:spacing w:after="0"/>
              <w:rPr>
                <w:sz w:val="20"/>
                <w:szCs w:val="20"/>
                <w:color w:val="auto"/>
              </w:rPr>
            </w:pPr>
            <w:r>
              <w:rPr>
                <w:rFonts w:ascii="Arial" w:cs="Arial" w:eastAsia="Arial" w:hAnsi="Arial"/>
                <w:sz w:val="18"/>
                <w:szCs w:val="18"/>
                <w:color w:val="auto"/>
                <w:w w:val="86"/>
              </w:rPr>
              <w:t>170,173</w:t>
            </w: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28,559</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25,835</w:t>
            </w:r>
          </w:p>
        </w:tc>
        <w:tc>
          <w:tcPr>
            <w:tcW w:w="14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10.5%</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81,653</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79,184</w:t>
            </w:r>
          </w:p>
        </w:tc>
        <w:tc>
          <w:tcPr>
            <w:tcW w:w="14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Pr>
          <w:p>
            <w:pPr>
              <w:spacing w:after="0"/>
              <w:rPr>
                <w:sz w:val="19"/>
                <w:szCs w:val="19"/>
                <w:color w:val="auto"/>
              </w:rPr>
            </w:pPr>
          </w:p>
        </w:tc>
        <w:tc>
          <w:tcPr>
            <w:tcW w:w="1020" w:type="dxa"/>
            <w:vAlign w:val="bottom"/>
          </w:tcPr>
          <w:p>
            <w:pPr>
              <w:jc w:val="right"/>
              <w:ind w:right="214"/>
              <w:spacing w:after="0"/>
              <w:rPr>
                <w:sz w:val="20"/>
                <w:szCs w:val="20"/>
                <w:color w:val="auto"/>
              </w:rPr>
            </w:pPr>
            <w:r>
              <w:rPr>
                <w:rFonts w:ascii="Arial" w:cs="Arial" w:eastAsia="Arial" w:hAnsi="Arial"/>
                <w:sz w:val="18"/>
                <w:szCs w:val="18"/>
                <w:i w:val="1"/>
                <w:iCs w:val="1"/>
                <w:color w:val="auto"/>
              </w:rPr>
              <w:t>16.2%</w:t>
            </w:r>
          </w:p>
        </w:tc>
        <w:tc>
          <w:tcPr>
            <w:tcW w:w="42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i w:val="1"/>
                <w:iCs w:val="1"/>
                <w:color w:val="auto"/>
              </w:rPr>
              <w:t>15.6%</w:t>
            </w: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234"/>
              <w:spacing w:after="0"/>
              <w:rPr>
                <w:sz w:val="20"/>
                <w:szCs w:val="20"/>
                <w:color w:val="auto"/>
              </w:rPr>
            </w:pPr>
            <w:r>
              <w:rPr>
                <w:rFonts w:ascii="Arial" w:cs="Arial" w:eastAsia="Arial" w:hAnsi="Arial"/>
                <w:sz w:val="18"/>
                <w:szCs w:val="18"/>
                <w:i w:val="1"/>
                <w:iCs w:val="1"/>
                <w:color w:val="auto"/>
              </w:rPr>
              <w:t>16.1%</w:t>
            </w:r>
          </w:p>
        </w:tc>
        <w:tc>
          <w:tcPr>
            <w:tcW w:w="42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i w:val="1"/>
                <w:iCs w:val="1"/>
                <w:color w:val="auto"/>
              </w:rPr>
              <w:t>16.6%</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(111)</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(248)</w:t>
            </w: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(55.2%)</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99</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(722)</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Interest income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4"/>
              <w:spacing w:after="0"/>
              <w:rPr>
                <w:sz w:val="20"/>
                <w:szCs w:val="20"/>
                <w:color w:val="auto"/>
              </w:rPr>
            </w:pPr>
            <w:r>
              <w:rPr>
                <w:rFonts w:ascii="Arial" w:cs="Arial" w:eastAsia="Arial" w:hAnsi="Arial"/>
                <w:sz w:val="18"/>
                <w:szCs w:val="18"/>
                <w:color w:val="auto"/>
              </w:rPr>
              <w:t>91</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56</w:t>
            </w: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62.5%</w:t>
            </w:r>
          </w:p>
        </w:tc>
        <w:tc>
          <w:tcPr>
            <w:tcW w:w="3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74"/>
              <w:spacing w:after="0"/>
              <w:rPr>
                <w:sz w:val="20"/>
                <w:szCs w:val="20"/>
                <w:color w:val="auto"/>
              </w:rPr>
            </w:pPr>
            <w:r>
              <w:rPr>
                <w:rFonts w:ascii="Arial" w:cs="Arial" w:eastAsia="Arial" w:hAnsi="Arial"/>
                <w:sz w:val="18"/>
                <w:szCs w:val="18"/>
                <w:color w:val="auto"/>
              </w:rPr>
              <w:t>301</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309</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(565)</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(266)</w:t>
            </w:r>
          </w:p>
        </w:tc>
        <w:tc>
          <w:tcPr>
            <w:tcW w:w="14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112.4%</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(544)</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(1,389)</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423"/>
        </w:trPr>
        <w:tc>
          <w:tcPr>
            <w:tcW w:w="306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4"/>
              <w:spacing w:after="0"/>
              <w:rPr>
                <w:sz w:val="20"/>
                <w:szCs w:val="20"/>
                <w:color w:val="auto"/>
              </w:rPr>
            </w:pPr>
            <w:r>
              <w:rPr>
                <w:rFonts w:ascii="Arial" w:cs="Arial" w:eastAsia="Arial" w:hAnsi="Arial"/>
                <w:sz w:val="18"/>
                <w:szCs w:val="18"/>
                <w:color w:val="auto"/>
              </w:rPr>
              <w:t>27,974</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25,377</w:t>
            </w: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74"/>
              <w:spacing w:after="0"/>
              <w:rPr>
                <w:sz w:val="20"/>
                <w:szCs w:val="20"/>
                <w:color w:val="auto"/>
              </w:rPr>
            </w:pPr>
            <w:r>
              <w:rPr>
                <w:rFonts w:ascii="Arial" w:cs="Arial" w:eastAsia="Arial" w:hAnsi="Arial"/>
                <w:sz w:val="18"/>
                <w:szCs w:val="18"/>
                <w:color w:val="auto"/>
              </w:rPr>
              <w:t>81,509</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77,382</w:t>
            </w: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8,240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7,091</w:t>
            </w:r>
          </w:p>
        </w:tc>
        <w:tc>
          <w:tcPr>
            <w:tcW w:w="14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16.2%</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22,517</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22,973</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ind w:left="180"/>
              <w:spacing w:after="0"/>
              <w:rPr>
                <w:sz w:val="20"/>
                <w:szCs w:val="20"/>
                <w:color w:val="auto"/>
              </w:rPr>
            </w:pPr>
            <w:r>
              <w:rPr>
                <w:rFonts w:ascii="Arial" w:cs="Arial" w:eastAsia="Arial" w:hAnsi="Arial"/>
                <w:sz w:val="18"/>
                <w:szCs w:val="18"/>
                <w:i w:val="1"/>
                <w:iCs w:val="1"/>
                <w:color w:val="auto"/>
              </w:rPr>
              <w:t>% of pre-tax income</w:t>
            </w:r>
          </w:p>
        </w:tc>
        <w:tc>
          <w:tcPr>
            <w:tcW w:w="260" w:type="dxa"/>
            <w:vAlign w:val="bottom"/>
          </w:tcPr>
          <w:p>
            <w:pPr>
              <w:spacing w:after="0"/>
              <w:rPr>
                <w:sz w:val="19"/>
                <w:szCs w:val="19"/>
                <w:color w:val="auto"/>
              </w:rPr>
            </w:pPr>
          </w:p>
        </w:tc>
        <w:tc>
          <w:tcPr>
            <w:tcW w:w="1020" w:type="dxa"/>
            <w:vAlign w:val="bottom"/>
          </w:tcPr>
          <w:p>
            <w:pPr>
              <w:jc w:val="right"/>
              <w:ind w:right="214"/>
              <w:spacing w:after="0"/>
              <w:rPr>
                <w:sz w:val="20"/>
                <w:szCs w:val="20"/>
                <w:color w:val="auto"/>
              </w:rPr>
            </w:pPr>
            <w:r>
              <w:rPr>
                <w:rFonts w:ascii="Arial" w:cs="Arial" w:eastAsia="Arial" w:hAnsi="Arial"/>
                <w:sz w:val="18"/>
                <w:szCs w:val="18"/>
                <w:i w:val="1"/>
                <w:iCs w:val="1"/>
                <w:color w:val="auto"/>
              </w:rPr>
              <w:t>29.5%</w:t>
            </w:r>
          </w:p>
        </w:tc>
        <w:tc>
          <w:tcPr>
            <w:tcW w:w="42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i w:val="1"/>
                <w:iCs w:val="1"/>
                <w:color w:val="auto"/>
              </w:rPr>
              <w:t>27.9%</w:t>
            </w: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234"/>
              <w:spacing w:after="0"/>
              <w:rPr>
                <w:sz w:val="20"/>
                <w:szCs w:val="20"/>
                <w:color w:val="auto"/>
              </w:rPr>
            </w:pPr>
            <w:r>
              <w:rPr>
                <w:rFonts w:ascii="Arial" w:cs="Arial" w:eastAsia="Arial" w:hAnsi="Arial"/>
                <w:sz w:val="18"/>
                <w:szCs w:val="18"/>
                <w:i w:val="1"/>
                <w:iCs w:val="1"/>
                <w:color w:val="auto"/>
              </w:rPr>
              <w:t>27.6%</w:t>
            </w:r>
          </w:p>
        </w:tc>
        <w:tc>
          <w:tcPr>
            <w:tcW w:w="42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i w:val="1"/>
                <w:iCs w:val="1"/>
                <w:color w:val="auto"/>
              </w:rPr>
              <w:t>29.7%</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19,734</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18,286</w:t>
            </w:r>
          </w:p>
        </w:tc>
        <w:tc>
          <w:tcPr>
            <w:tcW w:w="14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7.9%</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58,992</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54,409</w:t>
            </w:r>
          </w:p>
        </w:tc>
        <w:tc>
          <w:tcPr>
            <w:tcW w:w="14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Pr>
          <w:p>
            <w:pPr>
              <w:spacing w:after="0"/>
              <w:rPr>
                <w:sz w:val="19"/>
                <w:szCs w:val="19"/>
                <w:color w:val="auto"/>
              </w:rPr>
            </w:pPr>
          </w:p>
        </w:tc>
        <w:tc>
          <w:tcPr>
            <w:tcW w:w="1020" w:type="dxa"/>
            <w:vAlign w:val="bottom"/>
          </w:tcPr>
          <w:p>
            <w:pPr>
              <w:jc w:val="right"/>
              <w:ind w:right="214"/>
              <w:spacing w:after="0"/>
              <w:rPr>
                <w:sz w:val="20"/>
                <w:szCs w:val="20"/>
                <w:color w:val="auto"/>
              </w:rPr>
            </w:pPr>
            <w:r>
              <w:rPr>
                <w:rFonts w:ascii="Arial" w:cs="Arial" w:eastAsia="Arial" w:hAnsi="Arial"/>
                <w:sz w:val="18"/>
                <w:szCs w:val="18"/>
                <w:i w:val="1"/>
                <w:iCs w:val="1"/>
                <w:color w:val="auto"/>
              </w:rPr>
              <w:t>11.2%</w:t>
            </w:r>
          </w:p>
        </w:tc>
        <w:tc>
          <w:tcPr>
            <w:tcW w:w="42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i w:val="1"/>
                <w:iCs w:val="1"/>
                <w:color w:val="auto"/>
              </w:rPr>
              <w:t>11.1%</w:t>
            </w: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234"/>
              <w:spacing w:after="0"/>
              <w:rPr>
                <w:sz w:val="20"/>
                <w:szCs w:val="20"/>
                <w:color w:val="auto"/>
              </w:rPr>
            </w:pPr>
            <w:r>
              <w:rPr>
                <w:rFonts w:ascii="Arial" w:cs="Arial" w:eastAsia="Arial" w:hAnsi="Arial"/>
                <w:sz w:val="18"/>
                <w:szCs w:val="18"/>
                <w:i w:val="1"/>
                <w:iCs w:val="1"/>
                <w:color w:val="auto"/>
              </w:rPr>
              <w:t>11.6%</w:t>
            </w:r>
          </w:p>
        </w:tc>
        <w:tc>
          <w:tcPr>
            <w:tcW w:w="42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i w:val="1"/>
                <w:iCs w:val="1"/>
                <w:color w:val="auto"/>
              </w:rPr>
              <w:t>11.4%</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0.77</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0.71</w:t>
            </w:r>
          </w:p>
        </w:tc>
        <w:tc>
          <w:tcPr>
            <w:tcW w:w="14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8.5%</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2.32</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2.08</w:t>
            </w:r>
          </w:p>
        </w:tc>
        <w:tc>
          <w:tcPr>
            <w:tcW w:w="14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spacing w:after="0" w:line="300" w:lineRule="auto"/>
        <w:rPr>
          <w:sz w:val="20"/>
          <w:szCs w:val="20"/>
          <w:color w:val="auto"/>
        </w:rPr>
      </w:pPr>
      <w:r>
        <w:rPr>
          <w:rFonts w:ascii="Arial" w:cs="Arial" w:eastAsia="Arial" w:hAnsi="Arial"/>
          <w:sz w:val="15"/>
          <w:szCs w:val="15"/>
          <w:color w:val="auto"/>
        </w:rPr>
        <w:t>Net revenues increased 7.0% and 6.4% for the third quarter and the first nine months, respectively, of fiscal year 2011 over the comparable periods of fiscal year 2010. Foreign exchange accounted for an increase of 1.3% and a decrease of 0.1% for the third quarter and the first nine months of fiscal year 2011, respectively. Without the effects of foreign exchange, net revenues increased 5.7% and 6.5% for the third quarter and the first nine months of fiscal year 2011, respectively.</w:t>
      </w:r>
    </w:p>
    <w:p>
      <w:pPr>
        <w:spacing w:after="0" w:line="1"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This increase reflects the impact of recent acquisitions, which contributed 4.1% and 5.1% to revenue growth for the third quarter and first nine months of fiscal year 2011, respectively, as well as strong year over year growth from emerging markets, notably Russia and Asia.</w:t>
      </w:r>
    </w:p>
    <w:p>
      <w:pPr>
        <w:spacing w:after="0" w:line="86" w:lineRule="exact"/>
        <w:rPr>
          <w:sz w:val="20"/>
          <w:szCs w:val="20"/>
          <w:color w:val="auto"/>
        </w:rPr>
      </w:pPr>
    </w:p>
    <w:p>
      <w:pPr>
        <w:jc w:val="both"/>
        <w:ind w:right="240"/>
        <w:spacing w:after="0" w:line="271" w:lineRule="auto"/>
        <w:rPr>
          <w:sz w:val="20"/>
          <w:szCs w:val="20"/>
          <w:color w:val="auto"/>
        </w:rPr>
      </w:pPr>
      <w:r>
        <w:rPr>
          <w:rFonts w:ascii="Arial" w:cs="Arial" w:eastAsia="Arial" w:hAnsi="Arial"/>
          <w:sz w:val="17"/>
          <w:szCs w:val="17"/>
          <w:color w:val="auto"/>
        </w:rPr>
        <w:t>Gross profit increased 9.4% and 7.4% in the third quarter and first nine months of fiscal year 2011, respectively, as compared to the third quarter and the first nine months of fiscal year 2010. The effects of foreign exchange increased gross profit by 1.5% for the quarter and decreased gross profit by 1.1% for the first nine months of fiscal year 2011. Absent foreign exchange, gross profit increased 7.9% for the quarter and 8.5% for the nine months. The increase was largely driven by higher software sales and, to a lesser extent, cost improvements in our manufacturing operations.</w:t>
      </w:r>
    </w:p>
    <w:p>
      <w:pPr>
        <w:spacing w:after="0" w:line="72"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Operating expenses increased 8.9% and 9.3% for the third quarter and the first nine months of fiscal year 2011, respectively, over the comparable periods of fiscal year 2010. Foreign exchange accounted for an increase in operating expenses of 0.5% for the quarter and a decrease of 0.1% for the nine months. Without the effects of foreign exchange, operating expenses increased 8.4% and 9.4% in the third quarter and the first nine months of fiscal year 2011, respectively. The higher operating expenses are attributable to the newly acquired businesses, SEBRA and Global Med, and restructuring and integration costs related to the acquisition of Global Med. The noted increases in operating expenses were offset by cost reductions from planned synergies in other business areas, contingent consideration income associated with the Neoteric acquisition recognized in the second quarter of this fiscal year, and a reduction in the expense associated with cash bonus incentive compensation for this fiscal year.</w:t>
      </w:r>
    </w:p>
    <w:p>
      <w:pPr>
        <w:spacing w:after="0" w:line="75" w:lineRule="exact"/>
        <w:rPr>
          <w:sz w:val="20"/>
          <w:szCs w:val="20"/>
          <w:color w:val="auto"/>
        </w:rPr>
      </w:pPr>
    </w:p>
    <w:p>
      <w:pPr>
        <w:ind w:right="420"/>
        <w:spacing w:after="0" w:line="265" w:lineRule="auto"/>
        <w:rPr>
          <w:sz w:val="20"/>
          <w:szCs w:val="20"/>
          <w:color w:val="auto"/>
        </w:rPr>
      </w:pPr>
      <w:r>
        <w:rPr>
          <w:rFonts w:ascii="Arial" w:cs="Arial" w:eastAsia="Arial" w:hAnsi="Arial"/>
          <w:sz w:val="18"/>
          <w:szCs w:val="18"/>
          <w:color w:val="auto"/>
        </w:rPr>
        <w:t>Operating income increased 10.5% and 3.1% for the third quarter and the first nine months of fiscal year 2011, respectively, over the comparable periods of fiscal year 2010. Foreign exchange accounted for an increase of 3.9% and a decrease of 3.5%</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340"/>
        <w:spacing w:after="0" w:line="255" w:lineRule="auto"/>
        <w:rPr>
          <w:sz w:val="20"/>
          <w:szCs w:val="20"/>
          <w:color w:val="auto"/>
        </w:rPr>
      </w:pPr>
      <w:r>
        <w:rPr>
          <w:rFonts w:ascii="Arial" w:cs="Arial" w:eastAsia="Arial" w:hAnsi="Arial"/>
          <w:sz w:val="18"/>
          <w:szCs w:val="18"/>
          <w:color w:val="auto"/>
        </w:rPr>
        <w:t>for the quarter and nine months. Without the effects of foreign exchange, operating income increased 6.6% for both the third quarter and first nine months of fiscal year 2011. Our emerging international markets and software business continue to be significant contributors to the improvement in operating income, partially offset by additional spending largely associated with our acquisitions and their integration.</w:t>
      </w:r>
    </w:p>
    <w:p>
      <w:pPr>
        <w:spacing w:after="0" w:line="83" w:lineRule="exact"/>
        <w:rPr>
          <w:sz w:val="20"/>
          <w:szCs w:val="20"/>
          <w:color w:val="auto"/>
        </w:rPr>
      </w:pPr>
    </w:p>
    <w:p>
      <w:pPr>
        <w:jc w:val="both"/>
        <w:ind w:right="180"/>
        <w:spacing w:after="0" w:line="271" w:lineRule="auto"/>
        <w:rPr>
          <w:sz w:val="20"/>
          <w:szCs w:val="20"/>
          <w:color w:val="auto"/>
        </w:rPr>
      </w:pPr>
      <w:r>
        <w:rPr>
          <w:rFonts w:ascii="Arial" w:cs="Arial" w:eastAsia="Arial" w:hAnsi="Arial"/>
          <w:sz w:val="17"/>
          <w:szCs w:val="17"/>
          <w:color w:val="auto"/>
        </w:rPr>
        <w:t>Net income increased 7.9% and 8.4% for the third quarter and the first nine months of fiscal year 2011, respectively, over the comparable periods of fiscal year 2010. Without the effects of foreign exchange which accounted for an increase of 4.0% for the quarter and a decrease of 3.1% for the nine months, net income increased 3.9% and 11.5% for the third quarter and the first nine months ended January 1, 2011, respectively. The increases in operating income, lower foreign exchange losses, and lower income tax expense were the principal reasons for the improvement in net income.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Revenues by Geography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w w:val="97"/>
              </w:rPr>
              <w:t>For the three months ended</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ind w:left="300"/>
              <w:spacing w:after="0"/>
              <w:rPr>
                <w:sz w:val="20"/>
                <w:szCs w:val="20"/>
                <w:color w:val="auto"/>
              </w:rPr>
            </w:pPr>
            <w:r>
              <w:rPr>
                <w:rFonts w:ascii="Arial" w:cs="Arial" w:eastAsia="Arial" w:hAnsi="Arial"/>
                <w:sz w:val="14"/>
                <w:szCs w:val="14"/>
                <w:b w:val="1"/>
                <w:bCs w:val="1"/>
                <w:color w:val="auto"/>
              </w:rPr>
              <w:t>For the nine months ended</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60" w:type="dxa"/>
            <w:vAlign w:val="bottom"/>
            <w:tcBorders>
              <w:top w:val="single" w:sz="8" w:color="auto"/>
            </w:tcBorders>
            <w:gridSpan w:val="3"/>
          </w:tcPr>
          <w:p>
            <w:pPr>
              <w:ind w:left="20"/>
              <w:spacing w:after="0" w:line="117" w:lineRule="exact"/>
              <w:rPr>
                <w:sz w:val="20"/>
                <w:szCs w:val="20"/>
                <w:color w:val="auto"/>
              </w:rPr>
            </w:pPr>
            <w:r>
              <w:rPr>
                <w:rFonts w:ascii="Arial" w:cs="Arial" w:eastAsia="Arial" w:hAnsi="Arial"/>
                <w:sz w:val="13"/>
                <w:szCs w:val="13"/>
                <w:b w:val="1"/>
                <w:bCs w:val="1"/>
                <w:color w:val="auto"/>
              </w:rPr>
              <w:t>January 1,</w:t>
            </w:r>
          </w:p>
        </w:tc>
        <w:tc>
          <w:tcPr>
            <w:tcW w:w="820" w:type="dxa"/>
            <w:vAlign w:val="bottom"/>
            <w:tcBorders>
              <w:top w:val="single" w:sz="8" w:color="auto"/>
            </w:tcBorders>
            <w:gridSpan w:val="2"/>
          </w:tcPr>
          <w:p>
            <w:pPr>
              <w:spacing w:after="0" w:line="117" w:lineRule="exact"/>
              <w:rPr>
                <w:sz w:val="20"/>
                <w:szCs w:val="20"/>
                <w:color w:val="auto"/>
              </w:rPr>
            </w:pPr>
            <w:r>
              <w:rPr>
                <w:rFonts w:ascii="Arial" w:cs="Arial" w:eastAsia="Arial" w:hAnsi="Arial"/>
                <w:sz w:val="13"/>
                <w:szCs w:val="13"/>
                <w:b w:val="1"/>
                <w:bCs w:val="1"/>
                <w:color w:val="auto"/>
                <w:w w:val="94"/>
              </w:rPr>
              <w:t>December 26,</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Borders>
              <w:top w:val="single" w:sz="8" w:color="auto"/>
            </w:tcBorders>
            <w:gridSpan w:val="2"/>
          </w:tcPr>
          <w:p>
            <w:pPr>
              <w:ind w:left="40"/>
              <w:spacing w:after="0" w:line="117" w:lineRule="exact"/>
              <w:rPr>
                <w:sz w:val="20"/>
                <w:szCs w:val="20"/>
                <w:color w:val="auto"/>
              </w:rPr>
            </w:pPr>
            <w:r>
              <w:rPr>
                <w:rFonts w:ascii="Arial" w:cs="Arial" w:eastAsia="Arial" w:hAnsi="Arial"/>
                <w:sz w:val="13"/>
                <w:szCs w:val="13"/>
                <w:b w:val="1"/>
                <w:bCs w:val="1"/>
                <w:color w:val="auto"/>
              </w:rPr>
              <w:t>January 1,</w:t>
            </w:r>
          </w:p>
        </w:tc>
        <w:tc>
          <w:tcPr>
            <w:tcW w:w="1160" w:type="dxa"/>
            <w:vAlign w:val="bottom"/>
            <w:tcBorders>
              <w:top w:val="single" w:sz="8" w:color="auto"/>
            </w:tcBorders>
            <w:gridSpan w:val="3"/>
          </w:tcPr>
          <w:p>
            <w:pPr>
              <w:jc w:val="right"/>
              <w:spacing w:after="0" w:line="117" w:lineRule="exact"/>
              <w:rPr>
                <w:sz w:val="20"/>
                <w:szCs w:val="20"/>
                <w:color w:val="auto"/>
              </w:rPr>
            </w:pPr>
            <w:r>
              <w:rPr>
                <w:rFonts w:ascii="Arial" w:cs="Arial" w:eastAsia="Arial" w:hAnsi="Arial"/>
                <w:sz w:val="13"/>
                <w:szCs w:val="13"/>
                <w:b w:val="1"/>
                <w:bCs w:val="1"/>
                <w:color w:val="auto"/>
              </w:rPr>
              <w:t>December 26,</w:t>
            </w: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580" w:type="dxa"/>
            <w:vAlign w:val="bottom"/>
          </w:tcPr>
          <w:p>
            <w:pPr>
              <w:jc w:val="right"/>
              <w:ind w:right="119"/>
              <w:spacing w:after="0"/>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 Increase</w:t>
            </w:r>
          </w:p>
        </w:tc>
        <w:tc>
          <w:tcPr>
            <w:tcW w:w="9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line="206" w:lineRule="exact"/>
              <w:rPr>
                <w:sz w:val="20"/>
                <w:szCs w:val="20"/>
                <w:color w:val="auto"/>
              </w:rPr>
            </w:pPr>
            <w:r>
              <w:rPr>
                <w:rFonts w:ascii="Arial" w:cs="Arial" w:eastAsia="Arial" w:hAnsi="Arial"/>
                <w:sz w:val="18"/>
                <w:szCs w:val="18"/>
                <w:color w:val="auto"/>
              </w:rPr>
              <w:t>79,844</w:t>
            </w:r>
          </w:p>
        </w:tc>
        <w:tc>
          <w:tcPr>
            <w:tcW w:w="1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line="206" w:lineRule="exact"/>
              <w:rPr>
                <w:sz w:val="20"/>
                <w:szCs w:val="20"/>
                <w:color w:val="auto"/>
              </w:rPr>
            </w:pPr>
            <w:r>
              <w:rPr>
                <w:rFonts w:ascii="Arial" w:cs="Arial" w:eastAsia="Arial" w:hAnsi="Arial"/>
                <w:sz w:val="18"/>
                <w:szCs w:val="18"/>
                <w:color w:val="auto"/>
              </w:rPr>
              <w:t>74,997</w:t>
            </w:r>
          </w:p>
        </w:tc>
        <w:tc>
          <w:tcPr>
            <w:tcW w:w="1100" w:type="dxa"/>
            <w:vAlign w:val="bottom"/>
            <w:gridSpan w:val="2"/>
            <w:shd w:val="clear" w:color="auto" w:fill="CCEEFF"/>
          </w:tcPr>
          <w:p>
            <w:pPr>
              <w:jc w:val="right"/>
              <w:ind w:right="280"/>
              <w:spacing w:after="0" w:line="206" w:lineRule="exact"/>
              <w:rPr>
                <w:sz w:val="20"/>
                <w:szCs w:val="20"/>
                <w:color w:val="auto"/>
              </w:rPr>
            </w:pPr>
            <w:r>
              <w:rPr>
                <w:rFonts w:ascii="Arial" w:cs="Arial" w:eastAsia="Arial" w:hAnsi="Arial"/>
                <w:sz w:val="18"/>
                <w:szCs w:val="18"/>
                <w:color w:val="auto"/>
              </w:rPr>
              <w:t>6.5%</w:t>
            </w:r>
          </w:p>
        </w:tc>
        <w:tc>
          <w:tcPr>
            <w:tcW w:w="1300" w:type="dxa"/>
            <w:vAlign w:val="bottom"/>
            <w:gridSpan w:val="3"/>
            <w:shd w:val="clear" w:color="auto" w:fill="CCEEFF"/>
          </w:tcPr>
          <w:p>
            <w:pPr>
              <w:jc w:val="right"/>
              <w:ind w:right="340"/>
              <w:spacing w:after="0" w:line="206" w:lineRule="exact"/>
              <w:rPr>
                <w:sz w:val="20"/>
                <w:szCs w:val="20"/>
                <w:color w:val="auto"/>
              </w:rPr>
            </w:pPr>
            <w:r>
              <w:rPr>
                <w:rFonts w:ascii="Arial" w:cs="Arial" w:eastAsia="Arial" w:hAnsi="Arial"/>
                <w:sz w:val="18"/>
                <w:szCs w:val="18"/>
                <w:color w:val="auto"/>
              </w:rPr>
              <w:t>$ 237,892</w:t>
            </w:r>
          </w:p>
        </w:tc>
        <w:tc>
          <w:tcPr>
            <w:tcW w:w="500" w:type="dxa"/>
            <w:vAlign w:val="bottom"/>
            <w:gridSpan w:val="2"/>
            <w:shd w:val="clear" w:color="auto" w:fill="CCEEFF"/>
          </w:tcPr>
          <w:p>
            <w:pPr>
              <w:jc w:val="right"/>
              <w:ind w:right="80"/>
              <w:spacing w:after="0" w:line="20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line="206" w:lineRule="exact"/>
              <w:rPr>
                <w:sz w:val="20"/>
                <w:szCs w:val="20"/>
                <w:color w:val="auto"/>
              </w:rPr>
            </w:pPr>
            <w:r>
              <w:rPr>
                <w:rFonts w:ascii="Arial" w:cs="Arial" w:eastAsia="Arial" w:hAnsi="Arial"/>
                <w:sz w:val="18"/>
                <w:szCs w:val="18"/>
                <w:color w:val="auto"/>
                <w:w w:val="98"/>
              </w:rPr>
              <w:t>225,223</w:t>
            </w:r>
          </w:p>
        </w:tc>
        <w:tc>
          <w:tcPr>
            <w:tcW w:w="1160" w:type="dxa"/>
            <w:vAlign w:val="bottom"/>
            <w:gridSpan w:val="3"/>
            <w:shd w:val="clear" w:color="auto" w:fill="CCEEFF"/>
          </w:tcPr>
          <w:p>
            <w:pPr>
              <w:jc w:val="right"/>
              <w:spacing w:after="0" w:line="20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424"/>
        </w:trPr>
        <w:tc>
          <w:tcPr>
            <w:tcW w:w="354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24"/>
                <w:szCs w:val="2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96,945</w:t>
            </w:r>
          </w:p>
        </w:tc>
        <w:tc>
          <w:tcPr>
            <w:tcW w:w="16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90,172</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7.5%</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268,769</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251,103</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176,789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165,169</w:t>
            </w:r>
          </w:p>
        </w:tc>
        <w:tc>
          <w:tcPr>
            <w:tcW w:w="6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$ 506,661</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476,326</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 and the Impact of Foreign Exchange</w:t>
      </w:r>
    </w:p>
    <w:p>
      <w:pPr>
        <w:spacing w:after="0" w:line="117"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Our principal operations are in the U.S., Europe, Japan and other parts of Asia. Our products are marketed in more than 80 countries around the world through a combination of our direct sales force and independent distributors and agents.</w:t>
      </w:r>
    </w:p>
    <w:p>
      <w:pPr>
        <w:spacing w:after="0" w:line="73"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Our revenues generated outside the U.S. approximated 55% of total revenues for the third quarter of both fiscal years 2011 and 2010, and 53% of total revenues for the first nine months of both fiscal years 2011 and 2010. Revenues in Japan accounted for approximately 17.0% and 18.8% of total revenues for the third quarter and 16.3% and 17.2% of total revenues for the first nine months of fiscal year 2011 and 2010, respectively. Revenues in Europe accounted for approximately 28.4% and 27.4% of total revenues for the third quarter and first nine months, respectively, of fiscal year 2011, and 27.7% of total revenues for both the third quarter and first nine months of fiscal year 2010. International sales are generally conducted in local currencies, primarily the Japanese Yen and the Euro. As discussed above, our results of operations are impacted by changes in the value of the Yen and the Euro relative to the U.S. Dollar.</w:t>
      </w:r>
    </w:p>
    <w:p>
      <w:pPr>
        <w:spacing w:after="0" w:line="46"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Please see section entitled “Foreign Exchange” in this discussion for a more complete explanation of how foreign currency affects our business and our strategy for managing this exposure.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Revenues by Product Type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2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For the three months ended</w:t>
            </w:r>
          </w:p>
        </w:tc>
        <w:tc>
          <w:tcPr>
            <w:tcW w:w="11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 Increase/</w:t>
            </w:r>
          </w:p>
        </w:tc>
        <w:tc>
          <w:tcPr>
            <w:tcW w:w="260" w:type="dxa"/>
            <w:vAlign w:val="bottom"/>
          </w:tcPr>
          <w:p>
            <w:pPr>
              <w:spacing w:after="0"/>
              <w:rPr>
                <w:sz w:val="14"/>
                <w:szCs w:val="14"/>
                <w:color w:val="auto"/>
              </w:rPr>
            </w:pPr>
          </w:p>
        </w:tc>
        <w:tc>
          <w:tcPr>
            <w:tcW w:w="2520" w:type="dxa"/>
            <w:vAlign w:val="bottom"/>
            <w:gridSpan w:val="5"/>
          </w:tcPr>
          <w:p>
            <w:pPr>
              <w:ind w:left="300"/>
              <w:spacing w:after="0"/>
              <w:rPr>
                <w:sz w:val="20"/>
                <w:szCs w:val="20"/>
                <w:color w:val="auto"/>
              </w:rPr>
            </w:pPr>
            <w:r>
              <w:rPr>
                <w:rFonts w:ascii="Arial" w:cs="Arial" w:eastAsia="Arial" w:hAnsi="Arial"/>
                <w:sz w:val="14"/>
                <w:szCs w:val="14"/>
                <w:b w:val="1"/>
                <w:bCs w:val="1"/>
                <w:color w:val="auto"/>
              </w:rPr>
              <w:t>For the nine months ended</w:t>
            </w:r>
          </w:p>
        </w:tc>
        <w:tc>
          <w:tcPr>
            <w:tcW w:w="1240" w:type="dxa"/>
            <w:vAlign w:val="bottom"/>
            <w:gridSpan w:val="3"/>
            <w:vMerge w:val="restart"/>
          </w:tcPr>
          <w:p>
            <w:pPr>
              <w:jc w:val="center"/>
              <w:ind w:left="35"/>
              <w:spacing w:after="0"/>
              <w:rPr>
                <w:sz w:val="20"/>
                <w:szCs w:val="20"/>
                <w:color w:val="auto"/>
              </w:rPr>
            </w:pPr>
            <w:r>
              <w:rPr>
                <w:rFonts w:ascii="Arial" w:cs="Arial" w:eastAsia="Arial" w:hAnsi="Arial"/>
                <w:sz w:val="14"/>
                <w:szCs w:val="14"/>
                <w:b w:val="1"/>
                <w:bCs w:val="1"/>
                <w:color w:val="auto"/>
                <w:w w:val="93"/>
              </w:rPr>
              <w:t>% Increase/</w:t>
            </w:r>
          </w:p>
        </w:tc>
        <w:tc>
          <w:tcPr>
            <w:tcW w:w="0" w:type="dxa"/>
            <w:vAlign w:val="bottom"/>
          </w:tcPr>
          <w:p>
            <w:pPr>
              <w:spacing w:after="0"/>
              <w:rPr>
                <w:sz w:val="1"/>
                <w:szCs w:val="1"/>
                <w:color w:val="auto"/>
              </w:rPr>
            </w:pPr>
          </w:p>
        </w:tc>
      </w:tr>
      <w:tr>
        <w:trPr>
          <w:trHeight w:val="117"/>
        </w:trPr>
        <w:tc>
          <w:tcPr>
            <w:tcW w:w="2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Borders>
              <w:top w:val="single" w:sz="8" w:color="auto"/>
            </w:tcBorders>
            <w:gridSpan w:val="2"/>
          </w:tcPr>
          <w:p>
            <w:pPr>
              <w:ind w:left="20"/>
              <w:spacing w:after="0" w:line="117" w:lineRule="exact"/>
              <w:rPr>
                <w:sz w:val="20"/>
                <w:szCs w:val="20"/>
                <w:color w:val="auto"/>
              </w:rPr>
            </w:pPr>
            <w:r>
              <w:rPr>
                <w:rFonts w:ascii="Arial" w:cs="Arial" w:eastAsia="Arial" w:hAnsi="Arial"/>
                <w:sz w:val="13"/>
                <w:szCs w:val="13"/>
                <w:b w:val="1"/>
                <w:bCs w:val="1"/>
                <w:color w:val="auto"/>
              </w:rPr>
              <w:t>January 1,</w:t>
            </w:r>
          </w:p>
        </w:tc>
        <w:tc>
          <w:tcPr>
            <w:tcW w:w="1160" w:type="dxa"/>
            <w:vAlign w:val="bottom"/>
            <w:tcBorders>
              <w:top w:val="single" w:sz="8" w:color="auto"/>
            </w:tcBorders>
            <w:gridSpan w:val="3"/>
          </w:tcPr>
          <w:p>
            <w:pPr>
              <w:ind w:left="340"/>
              <w:spacing w:after="0" w:line="117" w:lineRule="exact"/>
              <w:rPr>
                <w:sz w:val="20"/>
                <w:szCs w:val="20"/>
                <w:color w:val="auto"/>
              </w:rPr>
            </w:pPr>
            <w:r>
              <w:rPr>
                <w:rFonts w:ascii="Arial" w:cs="Arial" w:eastAsia="Arial" w:hAnsi="Arial"/>
                <w:sz w:val="13"/>
                <w:szCs w:val="13"/>
                <w:b w:val="1"/>
                <w:bCs w:val="1"/>
                <w:color w:val="auto"/>
                <w:w w:val="94"/>
              </w:rPr>
              <w:t>December 26,</w:t>
            </w:r>
          </w:p>
        </w:tc>
        <w:tc>
          <w:tcPr>
            <w:tcW w:w="6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tcBorders>
              <w:top w:val="single" w:sz="8" w:color="auto"/>
            </w:tcBorders>
            <w:gridSpan w:val="2"/>
          </w:tcPr>
          <w:p>
            <w:pPr>
              <w:ind w:left="40"/>
              <w:spacing w:after="0" w:line="117" w:lineRule="exact"/>
              <w:rPr>
                <w:sz w:val="20"/>
                <w:szCs w:val="20"/>
                <w:color w:val="auto"/>
              </w:rPr>
            </w:pPr>
            <w:r>
              <w:rPr>
                <w:rFonts w:ascii="Arial" w:cs="Arial" w:eastAsia="Arial" w:hAnsi="Arial"/>
                <w:sz w:val="13"/>
                <w:szCs w:val="13"/>
                <w:b w:val="1"/>
                <w:bCs w:val="1"/>
                <w:color w:val="auto"/>
              </w:rPr>
              <w:t>January 1,</w:t>
            </w:r>
          </w:p>
        </w:tc>
        <w:tc>
          <w:tcPr>
            <w:tcW w:w="820" w:type="dxa"/>
            <w:vAlign w:val="bottom"/>
            <w:tcBorders>
              <w:top w:val="single" w:sz="8" w:color="auto"/>
            </w:tcBorders>
            <w:gridSpan w:val="2"/>
          </w:tcPr>
          <w:p>
            <w:pPr>
              <w:spacing w:after="0" w:line="117" w:lineRule="exact"/>
              <w:rPr>
                <w:sz w:val="20"/>
                <w:szCs w:val="20"/>
                <w:color w:val="auto"/>
              </w:rPr>
            </w:pPr>
            <w:r>
              <w:rPr>
                <w:rFonts w:ascii="Arial" w:cs="Arial" w:eastAsia="Arial" w:hAnsi="Arial"/>
                <w:sz w:val="13"/>
                <w:szCs w:val="13"/>
                <w:b w:val="1"/>
                <w:bCs w:val="1"/>
                <w:color w:val="auto"/>
                <w:w w:val="94"/>
              </w:rPr>
              <w:t>December 26,</w:t>
            </w:r>
          </w:p>
        </w:tc>
        <w:tc>
          <w:tcPr>
            <w:tcW w:w="3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4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4"/>
                <w:szCs w:val="14"/>
                <w:color w:val="auto"/>
              </w:rPr>
            </w:pPr>
          </w:p>
        </w:tc>
        <w:tc>
          <w:tcPr>
            <w:tcW w:w="70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(Decrease)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Disposables</w:t>
            </w:r>
          </w:p>
        </w:tc>
        <w:tc>
          <w:tcPr>
            <w:tcW w:w="2080" w:type="dxa"/>
            <w:vAlign w:val="bottom"/>
            <w:gridSpan w:val="3"/>
            <w:shd w:val="clear" w:color="auto" w:fill="CCEEFF"/>
          </w:tcPr>
          <w:p>
            <w:pPr>
              <w:jc w:val="right"/>
              <w:ind w:right="340"/>
              <w:spacing w:after="0" w:line="206" w:lineRule="exact"/>
              <w:rPr>
                <w:sz w:val="20"/>
                <w:szCs w:val="20"/>
                <w:color w:val="auto"/>
              </w:rPr>
            </w:pPr>
            <w:r>
              <w:rPr>
                <w:rFonts w:ascii="Arial" w:cs="Arial" w:eastAsia="Arial" w:hAnsi="Arial"/>
                <w:sz w:val="18"/>
                <w:szCs w:val="18"/>
                <w:color w:val="auto"/>
              </w:rPr>
              <w:t>$ 144,130</w:t>
            </w:r>
          </w:p>
        </w:tc>
        <w:tc>
          <w:tcPr>
            <w:tcW w:w="500" w:type="dxa"/>
            <w:vAlign w:val="bottom"/>
            <w:gridSpan w:val="2"/>
            <w:shd w:val="clear" w:color="auto" w:fill="CCEEFF"/>
          </w:tcPr>
          <w:p>
            <w:pPr>
              <w:ind w:left="340"/>
              <w:spacing w:after="0" w:line="20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20"/>
              <w:spacing w:after="0" w:line="206" w:lineRule="exact"/>
              <w:rPr>
                <w:sz w:val="20"/>
                <w:szCs w:val="20"/>
                <w:color w:val="auto"/>
              </w:rPr>
            </w:pPr>
            <w:r>
              <w:rPr>
                <w:rFonts w:ascii="Arial" w:cs="Arial" w:eastAsia="Arial" w:hAnsi="Arial"/>
                <w:sz w:val="18"/>
                <w:szCs w:val="18"/>
                <w:color w:val="auto"/>
                <w:w w:val="98"/>
              </w:rPr>
              <w:t>143,051</w:t>
            </w:r>
          </w:p>
        </w:tc>
        <w:tc>
          <w:tcPr>
            <w:tcW w:w="1120" w:type="dxa"/>
            <w:vAlign w:val="bottom"/>
            <w:gridSpan w:val="2"/>
            <w:shd w:val="clear" w:color="auto" w:fill="CCEEFF"/>
          </w:tcPr>
          <w:p>
            <w:pPr>
              <w:jc w:val="right"/>
              <w:ind w:right="260"/>
              <w:spacing w:after="0" w:line="206" w:lineRule="exact"/>
              <w:rPr>
                <w:sz w:val="20"/>
                <w:szCs w:val="20"/>
                <w:color w:val="auto"/>
              </w:rPr>
            </w:pPr>
            <w:r>
              <w:rPr>
                <w:rFonts w:ascii="Arial" w:cs="Arial" w:eastAsia="Arial" w:hAnsi="Arial"/>
                <w:sz w:val="18"/>
                <w:szCs w:val="18"/>
                <w:color w:val="auto"/>
              </w:rPr>
              <w:t>0.8%</w:t>
            </w:r>
          </w:p>
        </w:tc>
        <w:tc>
          <w:tcPr>
            <w:tcW w:w="1640" w:type="dxa"/>
            <w:vAlign w:val="bottom"/>
            <w:gridSpan w:val="3"/>
            <w:shd w:val="clear" w:color="auto" w:fill="CCEEFF"/>
          </w:tcPr>
          <w:p>
            <w:pPr>
              <w:jc w:val="right"/>
              <w:ind w:right="680"/>
              <w:spacing w:after="0" w:line="206" w:lineRule="exact"/>
              <w:rPr>
                <w:sz w:val="20"/>
                <w:szCs w:val="20"/>
                <w:color w:val="auto"/>
              </w:rPr>
            </w:pPr>
            <w:r>
              <w:rPr>
                <w:rFonts w:ascii="Arial" w:cs="Arial" w:eastAsia="Arial" w:hAnsi="Arial"/>
                <w:sz w:val="18"/>
                <w:szCs w:val="18"/>
                <w:color w:val="auto"/>
              </w:rPr>
              <w:t>$ 414,189</w:t>
            </w:r>
          </w:p>
        </w:tc>
        <w:tc>
          <w:tcPr>
            <w:tcW w:w="1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line="206" w:lineRule="exact"/>
              <w:rPr>
                <w:sz w:val="20"/>
                <w:szCs w:val="20"/>
                <w:color w:val="auto"/>
              </w:rPr>
            </w:pPr>
            <w:r>
              <w:rPr>
                <w:rFonts w:ascii="Arial" w:cs="Arial" w:eastAsia="Arial" w:hAnsi="Arial"/>
                <w:sz w:val="18"/>
                <w:szCs w:val="18"/>
                <w:color w:val="auto"/>
                <w:w w:val="98"/>
              </w:rPr>
              <w:t>415,035</w:t>
            </w:r>
          </w:p>
        </w:tc>
        <w:tc>
          <w:tcPr>
            <w:tcW w:w="1240" w:type="dxa"/>
            <w:vAlign w:val="bottom"/>
            <w:gridSpan w:val="3"/>
            <w:shd w:val="clear" w:color="auto" w:fill="CCEEFF"/>
          </w:tcPr>
          <w:p>
            <w:pPr>
              <w:jc w:val="right"/>
              <w:spacing w:after="0" w:line="206"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2"/>
        </w:trPr>
        <w:tc>
          <w:tcPr>
            <w:tcW w:w="2420" w:type="dxa"/>
            <w:vAlign w:val="bottom"/>
          </w:tcPr>
          <w:p>
            <w:pPr>
              <w:spacing w:after="0"/>
              <w:rPr>
                <w:sz w:val="20"/>
                <w:szCs w:val="20"/>
                <w:color w:val="auto"/>
              </w:rPr>
            </w:pPr>
            <w:r>
              <w:rPr>
                <w:rFonts w:ascii="Arial" w:cs="Arial" w:eastAsia="Arial" w:hAnsi="Arial"/>
                <w:sz w:val="18"/>
                <w:szCs w:val="18"/>
                <w:color w:val="auto"/>
              </w:rPr>
              <w:t>Software solutions</w:t>
            </w:r>
          </w:p>
        </w:tc>
        <w:tc>
          <w:tcPr>
            <w:tcW w:w="2080" w:type="dxa"/>
            <w:vAlign w:val="bottom"/>
            <w:gridSpan w:val="3"/>
          </w:tcPr>
          <w:p>
            <w:pPr>
              <w:jc w:val="right"/>
              <w:ind w:right="340"/>
              <w:spacing w:after="0"/>
              <w:rPr>
                <w:sz w:val="20"/>
                <w:szCs w:val="20"/>
                <w:color w:val="auto"/>
              </w:rPr>
            </w:pPr>
            <w:r>
              <w:rPr>
                <w:rFonts w:ascii="Arial" w:cs="Arial" w:eastAsia="Arial" w:hAnsi="Arial"/>
                <w:sz w:val="18"/>
                <w:szCs w:val="18"/>
                <w:color w:val="auto"/>
              </w:rPr>
              <w:t>16,571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8,256</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100.7%</w:t>
            </w:r>
          </w:p>
        </w:tc>
        <w:tc>
          <w:tcPr>
            <w:tcW w:w="1640" w:type="dxa"/>
            <w:vAlign w:val="bottom"/>
            <w:gridSpan w:val="3"/>
          </w:tcPr>
          <w:p>
            <w:pPr>
              <w:jc w:val="right"/>
              <w:ind w:right="680"/>
              <w:spacing w:after="0"/>
              <w:rPr>
                <w:sz w:val="20"/>
                <w:szCs w:val="20"/>
                <w:color w:val="auto"/>
              </w:rPr>
            </w:pPr>
            <w:r>
              <w:rPr>
                <w:rFonts w:ascii="Arial" w:cs="Arial" w:eastAsia="Arial" w:hAnsi="Arial"/>
                <w:sz w:val="18"/>
                <w:szCs w:val="18"/>
                <w:color w:val="auto"/>
              </w:rPr>
              <w:t>49,155</w:t>
            </w:r>
          </w:p>
        </w:tc>
        <w:tc>
          <w:tcPr>
            <w:tcW w:w="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25,810</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Equipment &amp; other</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13,862</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w:t>
            </w:r>
          </w:p>
        </w:tc>
        <w:tc>
          <w:tcPr>
            <w:tcW w:w="16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43,317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35,481</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8"/>
                <w:szCs w:val="18"/>
                <w:color w:val="auto"/>
              </w:rPr>
              <w:t>Net revenues</w:t>
            </w:r>
          </w:p>
        </w:tc>
        <w:tc>
          <w:tcPr>
            <w:tcW w:w="1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4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$ 176,789</w:t>
            </w:r>
          </w:p>
        </w:tc>
        <w:tc>
          <w:tcPr>
            <w:tcW w:w="34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165,169</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7.0%</w:t>
            </w:r>
          </w:p>
        </w:tc>
        <w:tc>
          <w:tcPr>
            <w:tcW w:w="1640" w:type="dxa"/>
            <w:vAlign w:val="bottom"/>
            <w:gridSpan w:val="3"/>
          </w:tcPr>
          <w:p>
            <w:pPr>
              <w:jc w:val="right"/>
              <w:ind w:right="680"/>
              <w:spacing w:after="0"/>
              <w:rPr>
                <w:sz w:val="20"/>
                <w:szCs w:val="20"/>
                <w:color w:val="auto"/>
              </w:rPr>
            </w:pPr>
            <w:r>
              <w:rPr>
                <w:rFonts w:ascii="Arial" w:cs="Arial" w:eastAsia="Arial" w:hAnsi="Arial"/>
                <w:sz w:val="18"/>
                <w:szCs w:val="18"/>
                <w:color w:val="auto"/>
              </w:rPr>
              <w:t>$ 506,661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476,326</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25</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Disposables Revenues by Product Type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4"/>
                <w:szCs w:val="14"/>
                <w:b w:val="1"/>
                <w:bCs w:val="1"/>
                <w:color w:val="auto"/>
              </w:rPr>
              <w:t>For the three months ended</w:t>
            </w:r>
          </w:p>
        </w:tc>
        <w:tc>
          <w:tcPr>
            <w:tcW w:w="1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 Increase/</w:t>
            </w:r>
          </w:p>
        </w:tc>
        <w:tc>
          <w:tcPr>
            <w:tcW w:w="2760" w:type="dxa"/>
            <w:vAlign w:val="bottom"/>
            <w:tcBorders>
              <w:bottom w:val="single" w:sz="8" w:color="auto"/>
            </w:tcBorders>
            <w:gridSpan w:val="2"/>
          </w:tcPr>
          <w:p>
            <w:pPr>
              <w:jc w:val="right"/>
              <w:ind w:right="475"/>
              <w:spacing w:after="0"/>
              <w:rPr>
                <w:sz w:val="20"/>
                <w:szCs w:val="20"/>
                <w:color w:val="auto"/>
              </w:rPr>
            </w:pPr>
            <w:r>
              <w:rPr>
                <w:rFonts w:ascii="Arial" w:cs="Arial" w:eastAsia="Arial" w:hAnsi="Arial"/>
                <w:sz w:val="14"/>
                <w:szCs w:val="14"/>
                <w:b w:val="1"/>
                <w:bCs w:val="1"/>
                <w:color w:val="auto"/>
              </w:rPr>
              <w:t>For the nine months ended</w:t>
            </w:r>
          </w:p>
        </w:tc>
        <w:tc>
          <w:tcPr>
            <w:tcW w:w="136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260" w:type="dxa"/>
            <w:vAlign w:val="bottom"/>
            <w:gridSpan w:val="2"/>
          </w:tcPr>
          <w:p>
            <w:pPr>
              <w:jc w:val="right"/>
              <w:ind w:right="335"/>
              <w:spacing w:after="0" w:line="117" w:lineRule="exact"/>
              <w:rPr>
                <w:sz w:val="20"/>
                <w:szCs w:val="20"/>
                <w:color w:val="auto"/>
              </w:rPr>
            </w:pPr>
            <w:r>
              <w:rPr>
                <w:rFonts w:ascii="Arial" w:cs="Arial" w:eastAsia="Arial" w:hAnsi="Arial"/>
                <w:sz w:val="13"/>
                <w:szCs w:val="13"/>
                <w:b w:val="1"/>
                <w:bCs w:val="1"/>
                <w:color w:val="auto"/>
              </w:rPr>
              <w:t>January 1,</w:t>
            </w:r>
          </w:p>
        </w:tc>
        <w:tc>
          <w:tcPr>
            <w:tcW w:w="1480" w:type="dxa"/>
            <w:vAlign w:val="bottom"/>
            <w:gridSpan w:val="2"/>
          </w:tcPr>
          <w:p>
            <w:pPr>
              <w:jc w:val="right"/>
              <w:ind w:right="133"/>
              <w:spacing w:after="0" w:line="117" w:lineRule="exact"/>
              <w:rPr>
                <w:sz w:val="20"/>
                <w:szCs w:val="20"/>
                <w:color w:val="auto"/>
              </w:rPr>
            </w:pPr>
            <w:r>
              <w:rPr>
                <w:rFonts w:ascii="Arial" w:cs="Arial" w:eastAsia="Arial" w:hAnsi="Arial"/>
                <w:sz w:val="13"/>
                <w:szCs w:val="13"/>
                <w:b w:val="1"/>
                <w:bCs w:val="1"/>
                <w:color w:val="auto"/>
              </w:rPr>
              <w:t>December 26,</w:t>
            </w:r>
          </w:p>
        </w:tc>
        <w:tc>
          <w:tcPr>
            <w:tcW w:w="1760" w:type="dxa"/>
            <w:vAlign w:val="bottom"/>
            <w:gridSpan w:val="2"/>
            <w:vMerge w:val="continue"/>
          </w:tcPr>
          <w:p>
            <w:pPr>
              <w:spacing w:after="0"/>
              <w:rPr>
                <w:sz w:val="10"/>
                <w:szCs w:val="10"/>
                <w:color w:val="auto"/>
              </w:rPr>
            </w:pPr>
          </w:p>
        </w:tc>
        <w:tc>
          <w:tcPr>
            <w:tcW w:w="1280" w:type="dxa"/>
            <w:vAlign w:val="bottom"/>
          </w:tcPr>
          <w:p>
            <w:pPr>
              <w:jc w:val="right"/>
              <w:ind w:right="336"/>
              <w:spacing w:after="0" w:line="117" w:lineRule="exact"/>
              <w:rPr>
                <w:sz w:val="20"/>
                <w:szCs w:val="20"/>
                <w:color w:val="auto"/>
              </w:rPr>
            </w:pPr>
            <w:r>
              <w:rPr>
                <w:rFonts w:ascii="Arial" w:cs="Arial" w:eastAsia="Arial" w:hAnsi="Arial"/>
                <w:sz w:val="13"/>
                <w:szCs w:val="13"/>
                <w:b w:val="1"/>
                <w:bCs w:val="1"/>
                <w:color w:val="auto"/>
              </w:rPr>
              <w:t>January 1,</w:t>
            </w:r>
          </w:p>
        </w:tc>
        <w:tc>
          <w:tcPr>
            <w:tcW w:w="1480" w:type="dxa"/>
            <w:vAlign w:val="bottom"/>
          </w:tcPr>
          <w:p>
            <w:pPr>
              <w:jc w:val="right"/>
              <w:ind w:right="135"/>
              <w:spacing w:after="0" w:line="117" w:lineRule="exact"/>
              <w:rPr>
                <w:sz w:val="20"/>
                <w:szCs w:val="20"/>
                <w:color w:val="auto"/>
              </w:rPr>
            </w:pPr>
            <w:r>
              <w:rPr>
                <w:rFonts w:ascii="Arial" w:cs="Arial" w:eastAsia="Arial" w:hAnsi="Arial"/>
                <w:sz w:val="13"/>
                <w:szCs w:val="13"/>
                <w:b w:val="1"/>
                <w:bCs w:val="1"/>
                <w:color w:val="auto"/>
              </w:rPr>
              <w:t>December 26,</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020" w:type="dxa"/>
            <w:vAlign w:val="bottom"/>
          </w:tcPr>
          <w:p>
            <w:pPr>
              <w:jc w:val="right"/>
              <w:ind w:right="515"/>
              <w:spacing w:after="0"/>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14"/>
                <w:szCs w:val="14"/>
                <w:color w:val="auto"/>
              </w:rPr>
            </w:pPr>
          </w:p>
        </w:tc>
        <w:tc>
          <w:tcPr>
            <w:tcW w:w="920" w:type="dxa"/>
            <w:vAlign w:val="bottom"/>
          </w:tcPr>
          <w:p>
            <w:pPr>
              <w:jc w:val="right"/>
              <w:ind w:right="413"/>
              <w:spacing w:after="0"/>
              <w:rPr>
                <w:sz w:val="20"/>
                <w:szCs w:val="20"/>
                <w:color w:val="auto"/>
              </w:rPr>
            </w:pPr>
            <w:r>
              <w:rPr>
                <w:rFonts w:ascii="Arial" w:cs="Arial" w:eastAsia="Arial" w:hAnsi="Arial"/>
                <w:sz w:val="14"/>
                <w:szCs w:val="14"/>
                <w:b w:val="1"/>
                <w:bCs w:val="1"/>
                <w:color w:val="auto"/>
              </w:rPr>
              <w:t>2009</w:t>
            </w: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280" w:type="dxa"/>
            <w:vAlign w:val="bottom"/>
          </w:tcPr>
          <w:p>
            <w:pPr>
              <w:jc w:val="right"/>
              <w:ind w:right="516"/>
              <w:spacing w:after="0"/>
              <w:rPr>
                <w:sz w:val="20"/>
                <w:szCs w:val="20"/>
                <w:color w:val="auto"/>
              </w:rPr>
            </w:pPr>
            <w:r>
              <w:rPr>
                <w:rFonts w:ascii="Arial" w:cs="Arial" w:eastAsia="Arial" w:hAnsi="Arial"/>
                <w:sz w:val="14"/>
                <w:szCs w:val="14"/>
                <w:b w:val="1"/>
                <w:bCs w:val="1"/>
                <w:color w:val="auto"/>
              </w:rPr>
              <w:t>2011</w:t>
            </w:r>
          </w:p>
        </w:tc>
        <w:tc>
          <w:tcPr>
            <w:tcW w:w="1480" w:type="dxa"/>
            <w:vAlign w:val="bottom"/>
          </w:tcPr>
          <w:p>
            <w:pPr>
              <w:jc w:val="right"/>
              <w:ind w:right="415"/>
              <w:spacing w:after="0"/>
              <w:rPr>
                <w:sz w:val="20"/>
                <w:szCs w:val="20"/>
                <w:color w:val="auto"/>
              </w:rPr>
            </w:pPr>
            <w:r>
              <w:rPr>
                <w:rFonts w:ascii="Arial" w:cs="Arial" w:eastAsia="Arial" w:hAnsi="Arial"/>
                <w:sz w:val="14"/>
                <w:szCs w:val="14"/>
                <w:b w:val="1"/>
                <w:bCs w:val="1"/>
                <w:color w:val="auto"/>
              </w:rPr>
              <w:t>2009</w:t>
            </w:r>
          </w:p>
        </w:tc>
        <w:tc>
          <w:tcPr>
            <w:tcW w:w="1360" w:type="dxa"/>
            <w:vAlign w:val="bottom"/>
          </w:tcPr>
          <w:p>
            <w:pPr>
              <w:jc w:val="right"/>
              <w:ind w:right="7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Plasma disposables</w:t>
            </w:r>
          </w:p>
        </w:tc>
        <w:tc>
          <w:tcPr>
            <w:tcW w:w="2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355"/>
              <w:spacing w:after="0" w:line="206" w:lineRule="exact"/>
              <w:rPr>
                <w:sz w:val="20"/>
                <w:szCs w:val="20"/>
                <w:color w:val="auto"/>
              </w:rPr>
            </w:pPr>
            <w:r>
              <w:rPr>
                <w:rFonts w:ascii="Arial" w:cs="Arial" w:eastAsia="Arial" w:hAnsi="Arial"/>
                <w:sz w:val="18"/>
                <w:szCs w:val="18"/>
                <w:color w:val="auto"/>
              </w:rPr>
              <w:t>59,814</w:t>
            </w:r>
          </w:p>
        </w:tc>
        <w:tc>
          <w:tcPr>
            <w:tcW w:w="5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253"/>
              <w:spacing w:after="0" w:line="206" w:lineRule="exact"/>
              <w:rPr>
                <w:sz w:val="20"/>
                <w:szCs w:val="20"/>
                <w:color w:val="auto"/>
              </w:rPr>
            </w:pPr>
            <w:r>
              <w:rPr>
                <w:rFonts w:ascii="Arial" w:cs="Arial" w:eastAsia="Arial" w:hAnsi="Arial"/>
                <w:sz w:val="18"/>
                <w:szCs w:val="18"/>
                <w:color w:val="auto"/>
              </w:rPr>
              <w:t>59,177</w:t>
            </w:r>
          </w:p>
        </w:tc>
        <w:tc>
          <w:tcPr>
            <w:tcW w:w="1360" w:type="dxa"/>
            <w:vAlign w:val="bottom"/>
            <w:tcBorders>
              <w:top w:val="single" w:sz="8" w:color="auto"/>
            </w:tcBorders>
            <w:shd w:val="clear" w:color="auto" w:fill="CCEEFF"/>
          </w:tcPr>
          <w:p>
            <w:pPr>
              <w:jc w:val="right"/>
              <w:ind w:right="95"/>
              <w:spacing w:after="0" w:line="206" w:lineRule="exact"/>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356"/>
              <w:spacing w:after="0" w:line="206" w:lineRule="exact"/>
              <w:rPr>
                <w:sz w:val="20"/>
                <w:szCs w:val="20"/>
                <w:color w:val="auto"/>
              </w:rPr>
            </w:pPr>
            <w:r>
              <w:rPr>
                <w:rFonts w:ascii="Arial" w:cs="Arial" w:eastAsia="Arial" w:hAnsi="Arial"/>
                <w:sz w:val="18"/>
                <w:szCs w:val="18"/>
                <w:color w:val="auto"/>
              </w:rPr>
              <w:t>$172,245</w:t>
            </w:r>
          </w:p>
        </w:tc>
        <w:tc>
          <w:tcPr>
            <w:tcW w:w="1480" w:type="dxa"/>
            <w:vAlign w:val="bottom"/>
            <w:tcBorders>
              <w:top w:val="single" w:sz="8" w:color="auto"/>
            </w:tcBorders>
            <w:shd w:val="clear" w:color="auto" w:fill="CCEEFF"/>
          </w:tcPr>
          <w:p>
            <w:pPr>
              <w:jc w:val="right"/>
              <w:ind w:right="255"/>
              <w:spacing w:after="0" w:line="206" w:lineRule="exact"/>
              <w:rPr>
                <w:sz w:val="20"/>
                <w:szCs w:val="20"/>
                <w:color w:val="auto"/>
              </w:rPr>
            </w:pPr>
            <w:r>
              <w:rPr>
                <w:rFonts w:ascii="Arial" w:cs="Arial" w:eastAsia="Arial" w:hAnsi="Arial"/>
                <w:sz w:val="18"/>
                <w:szCs w:val="18"/>
                <w:color w:val="auto"/>
              </w:rPr>
              <w:t>$177,468</w:t>
            </w:r>
          </w:p>
        </w:tc>
        <w:tc>
          <w:tcPr>
            <w:tcW w:w="1360" w:type="dxa"/>
            <w:vAlign w:val="bottom"/>
            <w:tcBorders>
              <w:top w:val="single" w:sz="8" w:color="auto"/>
            </w:tcBorders>
            <w:shd w:val="clear" w:color="auto" w:fill="CCEEFF"/>
          </w:tcPr>
          <w:p>
            <w:pPr>
              <w:jc w:val="right"/>
              <w:ind w:right="35"/>
              <w:spacing w:after="0" w:line="20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24"/>
        </w:trPr>
        <w:tc>
          <w:tcPr>
            <w:tcW w:w="2800" w:type="dxa"/>
            <w:vAlign w:val="bottom"/>
            <w:gridSpan w:val="2"/>
          </w:tcPr>
          <w:p>
            <w:pPr>
              <w:spacing w:after="0"/>
              <w:rPr>
                <w:sz w:val="20"/>
                <w:szCs w:val="20"/>
                <w:color w:val="auto"/>
              </w:rPr>
            </w:pPr>
            <w:r>
              <w:rPr>
                <w:rFonts w:ascii="Arial" w:cs="Arial" w:eastAsia="Arial" w:hAnsi="Arial"/>
                <w:sz w:val="18"/>
                <w:szCs w:val="18"/>
                <w:color w:val="auto"/>
              </w:rPr>
              <w:t>Blood bank disposables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Platelet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41,056</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39,793</w:t>
            </w:r>
          </w:p>
        </w:tc>
        <w:tc>
          <w:tcPr>
            <w:tcW w:w="13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3.2%</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117,120</w:t>
            </w:r>
          </w:p>
        </w:tc>
        <w:tc>
          <w:tcPr>
            <w:tcW w:w="14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111,349</w:t>
            </w:r>
          </w:p>
        </w:tc>
        <w:tc>
          <w:tcPr>
            <w:tcW w:w="13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780" w:type="dxa"/>
            <w:vAlign w:val="bottom"/>
          </w:tcPr>
          <w:p>
            <w:pPr>
              <w:ind w:left="180"/>
              <w:spacing w:after="0"/>
              <w:rPr>
                <w:sz w:val="20"/>
                <w:szCs w:val="20"/>
                <w:color w:val="auto"/>
              </w:rPr>
            </w:pPr>
            <w:r>
              <w:rPr>
                <w:rFonts w:ascii="Arial" w:cs="Arial" w:eastAsia="Arial" w:hAnsi="Arial"/>
                <w:sz w:val="18"/>
                <w:szCs w:val="18"/>
                <w:color w:val="auto"/>
              </w:rPr>
              <w:t>Red cell</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color w:val="auto"/>
              </w:rPr>
              <w:t>11,676</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12,022</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19"/>
                <w:szCs w:val="19"/>
                <w:color w:val="auto"/>
              </w:rPr>
            </w:pPr>
          </w:p>
        </w:tc>
        <w:tc>
          <w:tcPr>
            <w:tcW w:w="128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rPr>
              <w:t>34,284</w:t>
            </w:r>
          </w:p>
        </w:tc>
        <w:tc>
          <w:tcPr>
            <w:tcW w:w="148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35,285</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rPr>
              <w:t>52,732</w:t>
            </w:r>
          </w:p>
        </w:tc>
        <w:tc>
          <w:tcPr>
            <w:tcW w:w="5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51,815</w:t>
            </w:r>
          </w:p>
        </w:tc>
        <w:tc>
          <w:tcPr>
            <w:tcW w:w="13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rPr>
              <w:t>151,404</w:t>
            </w:r>
          </w:p>
        </w:tc>
        <w:tc>
          <w:tcPr>
            <w:tcW w:w="148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rPr>
              <w:t>146,634</w:t>
            </w:r>
          </w:p>
        </w:tc>
        <w:tc>
          <w:tcPr>
            <w:tcW w:w="13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30"/>
        </w:trPr>
        <w:tc>
          <w:tcPr>
            <w:tcW w:w="2800" w:type="dxa"/>
            <w:vAlign w:val="bottom"/>
            <w:gridSpan w:val="2"/>
          </w:tcPr>
          <w:p>
            <w:pPr>
              <w:spacing w:after="0"/>
              <w:rPr>
                <w:sz w:val="20"/>
                <w:szCs w:val="20"/>
                <w:color w:val="auto"/>
              </w:rPr>
            </w:pPr>
            <w:r>
              <w:rPr>
                <w:rFonts w:ascii="Arial" w:cs="Arial" w:eastAsia="Arial" w:hAnsi="Arial"/>
                <w:sz w:val="18"/>
                <w:szCs w:val="18"/>
                <w:color w:val="auto"/>
              </w:rPr>
              <w:t>Hospital disposables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Surgical</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17,116</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17,864</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(4.2%)</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49,479</w:t>
            </w:r>
          </w:p>
        </w:tc>
        <w:tc>
          <w:tcPr>
            <w:tcW w:w="14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51,920</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80" w:type="dxa"/>
            <w:vAlign w:val="bottom"/>
          </w:tcPr>
          <w:p>
            <w:pPr>
              <w:ind w:left="180"/>
              <w:spacing w:after="0"/>
              <w:rPr>
                <w:sz w:val="20"/>
                <w:szCs w:val="20"/>
                <w:color w:val="auto"/>
              </w:rPr>
            </w:pPr>
            <w:r>
              <w:rPr>
                <w:rFonts w:ascii="Arial" w:cs="Arial" w:eastAsia="Arial" w:hAnsi="Arial"/>
                <w:sz w:val="18"/>
                <w:szCs w:val="18"/>
                <w:color w:val="auto"/>
              </w:rPr>
              <w:t>OrthoPAT</w:t>
            </w:r>
          </w:p>
        </w:tc>
        <w:tc>
          <w:tcPr>
            <w:tcW w:w="240" w:type="dxa"/>
            <w:vAlign w:val="bottom"/>
          </w:tcPr>
          <w:p>
            <w:pPr>
              <w:spacing w:after="0"/>
              <w:rPr>
                <w:sz w:val="18"/>
                <w:szCs w:val="18"/>
                <w:color w:val="auto"/>
              </w:rPr>
            </w:pPr>
          </w:p>
        </w:tc>
        <w:tc>
          <w:tcPr>
            <w:tcW w:w="1020" w:type="dxa"/>
            <w:vAlign w:val="bottom"/>
          </w:tcPr>
          <w:p>
            <w:pPr>
              <w:jc w:val="right"/>
              <w:ind w:right="355"/>
              <w:spacing w:after="0"/>
              <w:rPr>
                <w:sz w:val="20"/>
                <w:szCs w:val="20"/>
                <w:color w:val="auto"/>
              </w:rPr>
            </w:pPr>
            <w:r>
              <w:rPr>
                <w:rFonts w:ascii="Arial" w:cs="Arial" w:eastAsia="Arial" w:hAnsi="Arial"/>
                <w:sz w:val="18"/>
                <w:szCs w:val="18"/>
                <w:color w:val="auto"/>
              </w:rPr>
              <w:t>9,248</w:t>
            </w:r>
          </w:p>
        </w:tc>
        <w:tc>
          <w:tcPr>
            <w:tcW w:w="560" w:type="dxa"/>
            <w:vAlign w:val="bottom"/>
          </w:tcPr>
          <w:p>
            <w:pPr>
              <w:spacing w:after="0"/>
              <w:rPr>
                <w:sz w:val="18"/>
                <w:szCs w:val="18"/>
                <w:color w:val="auto"/>
              </w:rPr>
            </w:pPr>
          </w:p>
        </w:tc>
        <w:tc>
          <w:tcPr>
            <w:tcW w:w="920" w:type="dxa"/>
            <w:vAlign w:val="bottom"/>
          </w:tcPr>
          <w:p>
            <w:pPr>
              <w:jc w:val="right"/>
              <w:ind w:right="253"/>
              <w:spacing w:after="0"/>
              <w:rPr>
                <w:sz w:val="20"/>
                <w:szCs w:val="20"/>
                <w:color w:val="auto"/>
              </w:rPr>
            </w:pPr>
            <w:r>
              <w:rPr>
                <w:rFonts w:ascii="Arial" w:cs="Arial" w:eastAsia="Arial" w:hAnsi="Arial"/>
                <w:sz w:val="18"/>
                <w:szCs w:val="18"/>
                <w:color w:val="auto"/>
              </w:rPr>
              <w:t>9,864</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8"/>
                <w:szCs w:val="18"/>
                <w:color w:val="auto"/>
              </w:rPr>
            </w:pPr>
          </w:p>
        </w:tc>
        <w:tc>
          <w:tcPr>
            <w:tcW w:w="1280" w:type="dxa"/>
            <w:vAlign w:val="bottom"/>
          </w:tcPr>
          <w:p>
            <w:pPr>
              <w:jc w:val="right"/>
              <w:ind w:right="356"/>
              <w:spacing w:after="0"/>
              <w:rPr>
                <w:sz w:val="20"/>
                <w:szCs w:val="20"/>
                <w:color w:val="auto"/>
              </w:rPr>
            </w:pPr>
            <w:r>
              <w:rPr>
                <w:rFonts w:ascii="Arial" w:cs="Arial" w:eastAsia="Arial" w:hAnsi="Arial"/>
                <w:sz w:val="18"/>
                <w:szCs w:val="18"/>
                <w:color w:val="auto"/>
              </w:rPr>
              <w:t>26,486</w:t>
            </w:r>
          </w:p>
        </w:tc>
        <w:tc>
          <w:tcPr>
            <w:tcW w:w="1480" w:type="dxa"/>
            <w:vAlign w:val="bottom"/>
          </w:tcPr>
          <w:p>
            <w:pPr>
              <w:jc w:val="right"/>
              <w:ind w:right="255"/>
              <w:spacing w:after="0"/>
              <w:rPr>
                <w:sz w:val="20"/>
                <w:szCs w:val="20"/>
                <w:color w:val="auto"/>
              </w:rPr>
            </w:pPr>
            <w:r>
              <w:rPr>
                <w:rFonts w:ascii="Arial" w:cs="Arial" w:eastAsia="Arial" w:hAnsi="Arial"/>
                <w:sz w:val="18"/>
                <w:szCs w:val="18"/>
                <w:color w:val="auto"/>
              </w:rPr>
              <w:t>27,126</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Diagnostics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rPr>
              <w:t>5,220</w:t>
            </w:r>
          </w:p>
        </w:tc>
        <w:tc>
          <w:tcPr>
            <w:tcW w:w="5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4,331</w:t>
            </w:r>
          </w:p>
        </w:tc>
        <w:tc>
          <w:tcPr>
            <w:tcW w:w="13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20.5%</w:t>
            </w:r>
          </w:p>
        </w:tc>
        <w:tc>
          <w:tcPr>
            <w:tcW w:w="4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rPr>
              <w:t>14,575</w:t>
            </w:r>
          </w:p>
        </w:tc>
        <w:tc>
          <w:tcPr>
            <w:tcW w:w="148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rPr>
              <w:t>11,887</w:t>
            </w:r>
          </w:p>
        </w:tc>
        <w:tc>
          <w:tcPr>
            <w:tcW w:w="13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color w:val="auto"/>
              </w:rPr>
              <w:t>31,584</w:t>
            </w: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32,059</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128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rPr>
              <w:t>90,540</w:t>
            </w:r>
          </w:p>
        </w:tc>
        <w:tc>
          <w:tcPr>
            <w:tcW w:w="148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90,933</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2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Total disposables revenue</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w w:val="86"/>
              </w:rPr>
              <w:t>144,130</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86"/>
              </w:rPr>
              <w:t>143,051</w:t>
            </w:r>
          </w:p>
        </w:tc>
        <w:tc>
          <w:tcPr>
            <w:tcW w:w="13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0.8%</w:t>
            </w:r>
          </w:p>
        </w:tc>
        <w:tc>
          <w:tcPr>
            <w:tcW w:w="4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rPr>
              <w:t>$414,189</w:t>
            </w:r>
          </w:p>
        </w:tc>
        <w:tc>
          <w:tcPr>
            <w:tcW w:w="148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rPr>
              <w:t>$415,035</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Disposables</w:t>
      </w:r>
    </w:p>
    <w:p>
      <w:pPr>
        <w:spacing w:after="0" w:line="11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Disposables include the Plasma, Blood Bank, and Hospital product lines. Disposables revenue increased 0.8% and decreased 0.2% for the third quarter and the first nine months of fiscal year 2011, respectively, over the comparable periods of fiscal year 2010. Foreign exchange resulted in a 1.2% increase and 0.2% decrease for the third quarter and the first nine months of fiscal year 2011, respectively. Without the effect of foreign exchange, disposables revenue decreased 0.4% and remained flat for the third quarter and the first nine months of fiscal year 2011,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Plasma</w:t>
      </w:r>
    </w:p>
    <w:p>
      <w:pPr>
        <w:spacing w:after="0" w:line="11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Plasma disposables revenue increased 1.1% and decreased 2.9% for the third quarter and the first nine months of fiscal year 2011, respectively, compared to the same periods in fiscal year 2010. Foreign exchange accounted for a decrease of 0.2% for the quarter and 1.2% for the nine months. Without the effects of foreign exchange, plasma disposables revenue increased 1.3% and decreased 1.7% for the third quarter and the first nine months of fiscal year 2011, respectively. The increase in plasma disposables revenue in our North American and emerging markets contributed to the growth this quarter. This increase was offset by lower apheresis plasma collection volume in Japan as more plasma was sourced by the Japan Red Cross as a byproduct from its whole blood collections, a trend that we expect to continue, but moderate, into the next year. Growth in the quarter was also tempered as one of our significant customers has removed one of its products from the market, which negatively affected our sales in the U.S. and Europe. The decrease in revenue for the nine-month period was primarily driven by our commercial plasma customers having slowed their growth and in some cases reduced collections from last year’s levels in the first half of fiscal year 2011 following several years of significant growth.</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Blood Bank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Blood bank consists of disposables used to collect platelets, red cells, and plasma for transfusion.</w:t>
      </w:r>
    </w:p>
    <w:p>
      <w:pPr>
        <w:spacing w:after="0" w:line="111" w:lineRule="exact"/>
        <w:rPr>
          <w:sz w:val="20"/>
          <w:szCs w:val="20"/>
          <w:color w:val="auto"/>
        </w:rPr>
      </w:pPr>
    </w:p>
    <w:p>
      <w:pPr>
        <w:ind w:right="140"/>
        <w:spacing w:after="0" w:line="303" w:lineRule="auto"/>
        <w:rPr>
          <w:sz w:val="20"/>
          <w:szCs w:val="20"/>
          <w:color w:val="auto"/>
        </w:rPr>
      </w:pPr>
      <w:r>
        <w:rPr>
          <w:rFonts w:ascii="Arial" w:cs="Arial" w:eastAsia="Arial" w:hAnsi="Arial"/>
          <w:sz w:val="15"/>
          <w:szCs w:val="15"/>
          <w:color w:val="auto"/>
        </w:rPr>
        <w:t>Platelet disposables revenue increased 3.2% and 5.2% for the third quarter and the first nine months of fiscal year 2011, respectively, compared to the same periods in fiscal year 2010. Comparing the third quarter and the first nine months of fiscal year 2011 to that of fiscal year 2010, foreign exchange accounted for</w:t>
      </w:r>
    </w:p>
    <w:p>
      <w:pPr>
        <w:spacing w:after="0" w:line="247" w:lineRule="auto"/>
        <w:rPr>
          <w:sz w:val="20"/>
          <w:szCs w:val="20"/>
          <w:color w:val="auto"/>
        </w:rPr>
      </w:pPr>
      <w:r>
        <w:rPr>
          <w:rFonts w:ascii="Arial" w:cs="Arial" w:eastAsia="Arial" w:hAnsi="Arial"/>
          <w:sz w:val="18"/>
          <w:szCs w:val="18"/>
          <w:color w:val="auto"/>
        </w:rPr>
        <w:t>3.9% and 1.8%, respectively, of this increase. Without the favorable effect of foreign exchange, platelet disposable revenue decreased 0.7% and increased 3.4% for the third quarter and the first nine months of fiscal year 2011, respectively. Sales have increased across emerging markets throughout the fiscal year, which is the primary driver of the increase in revenue during the nine-month period. At the same time, sales have declined in our European direct market attributed to competition including the switch from apheresis platelets to platelets derived from whole blood collections, which is the primary driver for the decline in revenue in Europe during the three-month period.</w:t>
      </w:r>
    </w:p>
    <w:p>
      <w:pPr>
        <w:spacing w:after="0" w:line="90"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color w:val="auto"/>
        </w:rPr>
        <w:t>Red cell disposables (used to collect two units of red cells or one unit of red cells and one unit of plasma for transfusion) revenue decreased 2.9% and 2.8% for the third quarter and the first nine months of fiscal year 2011, respectively, compared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to the same periods in fiscal year 2010. Foreign exchange accounted for a revenue increase of 0.2% and decrease of 0.7% from the third quarter and the first nine months of fiscal year 2010, respectively. The remaining decrease of 3.1% and 2.1% for the quarter and nine months, respectively, was driven by lower demand for red cells as a result of fewer surgeries resulting in a reduced demand for automated red cell collection.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Hospital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Hospital consists of Surgical, OrthoPAT, and Diagnostics products.</w:t>
      </w:r>
    </w:p>
    <w:p>
      <w:pPr>
        <w:spacing w:after="0" w:line="11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Surgical disposables revenue consists principally of the Cell Saver and cardioPAT products. Revenues from our surgical disposables decreased 4.2% and 4.7% for the third quarter and the first nine months of fiscal year 2011, respectively, compared to the same periods in fiscal year 2010. Foreign exchange resulted in an increase 1.2% and a decrease of 0.7% in surgical disposables revenue for the quarter and nine months, respectively. Without the effects of foreign currency, the decrease in surgical disposables revenue of 5.4% and 4.0% for the third quarter and nine months, respectively, was the result of a decrease in demand across our European and North American markets driven by both competitive pressures and market conditions resulting in fewer surgeries. This decrease was partly offset by our strong sales in our emerging markets.</w:t>
      </w:r>
    </w:p>
    <w:p>
      <w:pPr>
        <w:spacing w:after="0" w:line="74"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Revenues from our OrthoPAT disposables decreased 6.2% and 2.4% for the third quarter and the first nine months of fiscal year 2011, respectively, compared to the same periods in fiscal year 2010. Foreign exchange resulted in an increase in OrthoPAT disposables revenue of 0.4% and a decrease of 0.6% for the quarter and nine months, respectively. Without the effect of foreign currency, OrthoPAT disposables revenue decreased by 6.6% for the third quarter and 1.8% for the nine months. The decline in the third quarter and first nine months of fiscal year 2011 was driven by the frequency of the use of the OrthoPAT in part reflecting lower orthopedic procedure volume.</w:t>
      </w:r>
    </w:p>
    <w:p>
      <w:pPr>
        <w:spacing w:after="0" w:line="8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Diagnostics product revenue consists principally of the TEG products. Revenues from our diagnostics products increased 20.5% and 22.6% for the third quarter and the first nine months of fiscal year 2011, respectively, compared to the same periods in fiscal year 2010. Foreign exchange accounted for an increase of 0.3% and a decrease of 0.3% for the quarter and nine months, respectively. Without the effect of foreign currency, diagnostic product revenues increased by 20.2% and 22.9% for the quarter and nine months, respectively. The revenue increase is due to new adoption and continued penetration of this product as we continue to create this new market, particularly as it relates to blood management solutions.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Solutions</w:t>
      </w:r>
    </w:p>
    <w:p>
      <w:pPr>
        <w:spacing w:after="0" w:line="11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 software solutions revenues include revenue from software sales and related services. Software solutions revenues increased 100.7% and 90.4% for the third quarter and the first nine months of fiscal year 2011, respectively, over the comparable periods of fiscal year 2010. Foreign exchange resulted in 2.3% and 1.0% of this increase for the quarter and nine months, respectively. The remaining increase of 98.4% and 89.4% for the third quarter and the first nine months of fiscal year 2011, respectively, was driven primarily by software services revenues associated with the recent acquisition of Global Med, and to a lesser extent, increased sales of our BloodTrack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&amp; Other</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Our equipment &amp; other revenues include revenue from equipment sales, repairs performed under preventive maintenance contracts or emergency service visits, spare part sales, and various service and training programs. Equipment &amp; other revenues increased 16.1% and 22.1% for the third quarter and the first nine months of fiscal year 2011, respectively, over the comparable periods of fiscal year 2010. Foreign exchange resulted in a 2.1% increase for the quarter and had a negligible effect for the first nine months. Without the effect of currency exchange, the increase of 14.0% and 22.1% for the third quarter and the first nine months of fiscal year 2011, respectively, was driven by acquisition related growth from the SEBRA products, which we acquired in September 2009, and growth in our emerging markets. Irrespective of the increases noted, equipment sales continue to be adversely impacted by restricted hospital capital spending and macro economic trends impacting health care funding across most of our markets.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660" w:type="dxa"/>
            <w:vAlign w:val="bottom"/>
          </w:tcPr>
          <w:p>
            <w:pPr>
              <w:spacing w:after="0"/>
              <w:rPr>
                <w:sz w:val="14"/>
                <w:szCs w:val="14"/>
                <w:color w:val="auto"/>
              </w:rPr>
            </w:pPr>
          </w:p>
        </w:tc>
        <w:tc>
          <w:tcPr>
            <w:tcW w:w="2520" w:type="dxa"/>
            <w:vAlign w:val="bottom"/>
            <w:tcBorders>
              <w:bottom w:val="single" w:sz="8" w:color="auto"/>
            </w:tcBorders>
            <w:gridSpan w:val="3"/>
          </w:tcPr>
          <w:p>
            <w:pPr>
              <w:jc w:val="right"/>
              <w:ind w:right="343"/>
              <w:spacing w:after="0"/>
              <w:rPr>
                <w:sz w:val="20"/>
                <w:szCs w:val="20"/>
                <w:color w:val="auto"/>
              </w:rPr>
            </w:pPr>
            <w:r>
              <w:rPr>
                <w:rFonts w:ascii="Arial" w:cs="Arial" w:eastAsia="Arial" w:hAnsi="Arial"/>
                <w:sz w:val="14"/>
                <w:szCs w:val="14"/>
                <w:b w:val="1"/>
                <w:bCs w:val="1"/>
                <w:color w:val="auto"/>
              </w:rPr>
              <w:t>For the three months ended</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740" w:type="dxa"/>
            <w:vAlign w:val="bottom"/>
            <w:tcBorders>
              <w:bottom w:val="single" w:sz="8" w:color="auto"/>
            </w:tcBorders>
            <w:gridSpan w:val="3"/>
          </w:tcPr>
          <w:p>
            <w:pPr>
              <w:jc w:val="right"/>
              <w:ind w:right="483"/>
              <w:spacing w:after="0"/>
              <w:rPr>
                <w:sz w:val="20"/>
                <w:szCs w:val="20"/>
                <w:color w:val="auto"/>
              </w:rPr>
            </w:pPr>
            <w:r>
              <w:rPr>
                <w:rFonts w:ascii="Arial" w:cs="Arial" w:eastAsia="Arial" w:hAnsi="Arial"/>
                <w:sz w:val="14"/>
                <w:szCs w:val="14"/>
                <w:b w:val="1"/>
                <w:bCs w:val="1"/>
                <w:color w:val="auto"/>
              </w:rPr>
              <w:t>For the nine months ended</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17"/>
        </w:trPr>
        <w:tc>
          <w:tcPr>
            <w:tcW w:w="2660" w:type="dxa"/>
            <w:vAlign w:val="bottom"/>
          </w:tcPr>
          <w:p>
            <w:pPr>
              <w:spacing w:after="0"/>
              <w:rPr>
                <w:sz w:val="10"/>
                <w:szCs w:val="10"/>
                <w:color w:val="auto"/>
              </w:rPr>
            </w:pPr>
          </w:p>
        </w:tc>
        <w:tc>
          <w:tcPr>
            <w:tcW w:w="1040" w:type="dxa"/>
            <w:vAlign w:val="bottom"/>
          </w:tcPr>
          <w:p>
            <w:pPr>
              <w:jc w:val="right"/>
              <w:ind w:right="123"/>
              <w:spacing w:after="0" w:line="117" w:lineRule="exact"/>
              <w:rPr>
                <w:sz w:val="20"/>
                <w:szCs w:val="20"/>
                <w:color w:val="auto"/>
              </w:rPr>
            </w:pPr>
            <w:r>
              <w:rPr>
                <w:rFonts w:ascii="Arial" w:cs="Arial" w:eastAsia="Arial" w:hAnsi="Arial"/>
                <w:sz w:val="13"/>
                <w:szCs w:val="13"/>
                <w:b w:val="1"/>
                <w:bCs w:val="1"/>
                <w:color w:val="auto"/>
              </w:rPr>
              <w:t>January 1,</w:t>
            </w:r>
          </w:p>
        </w:tc>
        <w:tc>
          <w:tcPr>
            <w:tcW w:w="280" w:type="dxa"/>
            <w:vAlign w:val="bottom"/>
          </w:tcPr>
          <w:p>
            <w:pPr>
              <w:spacing w:after="0"/>
              <w:rPr>
                <w:sz w:val="10"/>
                <w:szCs w:val="10"/>
                <w:color w:val="auto"/>
              </w:rPr>
            </w:pPr>
          </w:p>
        </w:tc>
        <w:tc>
          <w:tcPr>
            <w:tcW w:w="1200" w:type="dxa"/>
            <w:vAlign w:val="bottom"/>
          </w:tcPr>
          <w:p>
            <w:pPr>
              <w:jc w:val="right"/>
              <w:ind w:right="123"/>
              <w:spacing w:after="0" w:line="117" w:lineRule="exact"/>
              <w:rPr>
                <w:sz w:val="20"/>
                <w:szCs w:val="20"/>
                <w:color w:val="auto"/>
              </w:rPr>
            </w:pPr>
            <w:r>
              <w:rPr>
                <w:rFonts w:ascii="Arial" w:cs="Arial" w:eastAsia="Arial" w:hAnsi="Arial"/>
                <w:sz w:val="13"/>
                <w:szCs w:val="13"/>
                <w:b w:val="1"/>
                <w:bCs w:val="1"/>
                <w:color w:val="auto"/>
              </w:rPr>
              <w:t>December 26,</w:t>
            </w: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tcPr>
          <w:p>
            <w:pPr>
              <w:jc w:val="right"/>
              <w:ind w:right="163"/>
              <w:spacing w:after="0" w:line="117" w:lineRule="exact"/>
              <w:rPr>
                <w:sz w:val="20"/>
                <w:szCs w:val="20"/>
                <w:color w:val="auto"/>
              </w:rPr>
            </w:pPr>
            <w:r>
              <w:rPr>
                <w:rFonts w:ascii="Arial" w:cs="Arial" w:eastAsia="Arial" w:hAnsi="Arial"/>
                <w:sz w:val="13"/>
                <w:szCs w:val="13"/>
                <w:b w:val="1"/>
                <w:bCs w:val="1"/>
                <w:color w:val="auto"/>
              </w:rPr>
              <w:t>January 1,</w:t>
            </w:r>
          </w:p>
        </w:tc>
        <w:tc>
          <w:tcPr>
            <w:tcW w:w="440" w:type="dxa"/>
            <w:vAlign w:val="bottom"/>
          </w:tcPr>
          <w:p>
            <w:pPr>
              <w:spacing w:after="0"/>
              <w:rPr>
                <w:sz w:val="10"/>
                <w:szCs w:val="10"/>
                <w:color w:val="auto"/>
              </w:rPr>
            </w:pPr>
          </w:p>
        </w:tc>
        <w:tc>
          <w:tcPr>
            <w:tcW w:w="1160" w:type="dxa"/>
            <w:vAlign w:val="bottom"/>
          </w:tcPr>
          <w:p>
            <w:pPr>
              <w:jc w:val="right"/>
              <w:ind w:right="83"/>
              <w:spacing w:after="0" w:line="117" w:lineRule="exact"/>
              <w:rPr>
                <w:sz w:val="20"/>
                <w:szCs w:val="20"/>
                <w:color w:val="auto"/>
              </w:rPr>
            </w:pPr>
            <w:r>
              <w:rPr>
                <w:rFonts w:ascii="Arial" w:cs="Arial" w:eastAsia="Arial" w:hAnsi="Arial"/>
                <w:sz w:val="13"/>
                <w:szCs w:val="13"/>
                <w:b w:val="1"/>
                <w:bCs w:val="1"/>
                <w:color w:val="auto"/>
              </w:rPr>
              <w:t>December 26,</w:t>
            </w:r>
          </w:p>
        </w:tc>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68"/>
        </w:trPr>
        <w:tc>
          <w:tcPr>
            <w:tcW w:w="26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jc w:val="right"/>
              <w:ind w:right="303"/>
              <w:spacing w:after="0"/>
              <w:rPr>
                <w:sz w:val="20"/>
                <w:szCs w:val="20"/>
                <w:color w:val="auto"/>
              </w:rPr>
            </w:pPr>
            <w:r>
              <w:rPr>
                <w:rFonts w:ascii="Arial" w:cs="Arial" w:eastAsia="Arial" w:hAnsi="Arial"/>
                <w:sz w:val="14"/>
                <w:szCs w:val="14"/>
                <w:b w:val="1"/>
                <w:bCs w:val="1"/>
                <w:color w:val="auto"/>
              </w:rPr>
              <w:t>2011</w:t>
            </w:r>
          </w:p>
        </w:tc>
        <w:tc>
          <w:tcPr>
            <w:tcW w:w="1480" w:type="dxa"/>
            <w:vAlign w:val="bottom"/>
            <w:gridSpan w:val="2"/>
          </w:tcPr>
          <w:p>
            <w:pPr>
              <w:jc w:val="right"/>
              <w:ind w:right="383"/>
              <w:spacing w:after="0"/>
              <w:rPr>
                <w:sz w:val="20"/>
                <w:szCs w:val="20"/>
                <w:color w:val="auto"/>
              </w:rPr>
            </w:pPr>
            <w:r>
              <w:rPr>
                <w:rFonts w:ascii="Arial" w:cs="Arial" w:eastAsia="Arial" w:hAnsi="Arial"/>
                <w:sz w:val="14"/>
                <w:szCs w:val="14"/>
                <w:b w:val="1"/>
                <w:bCs w:val="1"/>
                <w:color w:val="auto"/>
              </w:rPr>
              <w:t>2009</w:t>
            </w:r>
          </w:p>
        </w:tc>
        <w:tc>
          <w:tcPr>
            <w:tcW w:w="84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 Increase</w:t>
            </w:r>
          </w:p>
        </w:tc>
        <w:tc>
          <w:tcPr>
            <w:tcW w:w="1140" w:type="dxa"/>
            <w:vAlign w:val="bottom"/>
          </w:tcPr>
          <w:p>
            <w:pPr>
              <w:jc w:val="right"/>
              <w:ind w:right="363"/>
              <w:spacing w:after="0"/>
              <w:rPr>
                <w:sz w:val="20"/>
                <w:szCs w:val="20"/>
                <w:color w:val="auto"/>
              </w:rPr>
            </w:pPr>
            <w:r>
              <w:rPr>
                <w:rFonts w:ascii="Arial" w:cs="Arial" w:eastAsia="Arial" w:hAnsi="Arial"/>
                <w:sz w:val="14"/>
                <w:szCs w:val="14"/>
                <w:b w:val="1"/>
                <w:bCs w:val="1"/>
                <w:color w:val="auto"/>
              </w:rPr>
              <w:t>2011</w:t>
            </w:r>
          </w:p>
        </w:tc>
        <w:tc>
          <w:tcPr>
            <w:tcW w:w="1600" w:type="dxa"/>
            <w:vAlign w:val="bottom"/>
            <w:gridSpan w:val="2"/>
          </w:tcPr>
          <w:p>
            <w:pPr>
              <w:jc w:val="right"/>
              <w:ind w:right="363"/>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4"/>
                <w:szCs w:val="14"/>
                <w:b w:val="1"/>
                <w:bCs w:val="1"/>
                <w:color w:val="auto"/>
              </w:rPr>
              <w:t>% Increase</w:t>
            </w:r>
          </w:p>
        </w:tc>
      </w:tr>
      <w:tr>
        <w:trPr>
          <w:trHeight w:val="193"/>
        </w:trPr>
        <w:tc>
          <w:tcPr>
            <w:tcW w:w="2660" w:type="dxa"/>
            <w:vAlign w:val="bottom"/>
          </w:tcPr>
          <w:p>
            <w:pPr>
              <w:spacing w:after="0" w:line="193" w:lineRule="exact"/>
              <w:rPr>
                <w:sz w:val="20"/>
                <w:szCs w:val="20"/>
                <w:color w:val="auto"/>
              </w:rPr>
            </w:pPr>
            <w:r>
              <w:rPr>
                <w:rFonts w:ascii="Arial" w:cs="Arial" w:eastAsia="Arial" w:hAnsi="Arial"/>
                <w:sz w:val="18"/>
                <w:szCs w:val="18"/>
                <w:color w:val="auto"/>
              </w:rPr>
              <w:t>Gross profit</w:t>
            </w:r>
          </w:p>
        </w:tc>
        <w:tc>
          <w:tcPr>
            <w:tcW w:w="1040" w:type="dxa"/>
            <w:vAlign w:val="bottom"/>
            <w:tcBorders>
              <w:top w:val="single" w:sz="8" w:color="auto"/>
            </w:tcBorders>
          </w:tcPr>
          <w:p>
            <w:pPr>
              <w:jc w:val="right"/>
              <w:ind w:right="203"/>
              <w:spacing w:after="0" w:line="193" w:lineRule="exact"/>
              <w:rPr>
                <w:sz w:val="20"/>
                <w:szCs w:val="20"/>
                <w:color w:val="auto"/>
              </w:rPr>
            </w:pPr>
            <w:r>
              <w:rPr>
                <w:rFonts w:ascii="Arial" w:cs="Arial" w:eastAsia="Arial" w:hAnsi="Arial"/>
                <w:sz w:val="18"/>
                <w:szCs w:val="18"/>
                <w:color w:val="auto"/>
              </w:rPr>
              <w:t>$93,490</w:t>
            </w:r>
          </w:p>
        </w:tc>
        <w:tc>
          <w:tcPr>
            <w:tcW w:w="280" w:type="dxa"/>
            <w:vAlign w:val="bottom"/>
          </w:tcPr>
          <w:p>
            <w:pPr>
              <w:spacing w:after="0"/>
              <w:rPr>
                <w:sz w:val="16"/>
                <w:szCs w:val="16"/>
                <w:color w:val="auto"/>
              </w:rPr>
            </w:pPr>
          </w:p>
        </w:tc>
        <w:tc>
          <w:tcPr>
            <w:tcW w:w="1200" w:type="dxa"/>
            <w:vAlign w:val="bottom"/>
            <w:tcBorders>
              <w:top w:val="single" w:sz="8" w:color="auto"/>
            </w:tcBorders>
          </w:tcPr>
          <w:p>
            <w:pPr>
              <w:jc w:val="right"/>
              <w:ind w:right="283"/>
              <w:spacing w:after="0" w:line="193" w:lineRule="exact"/>
              <w:rPr>
                <w:sz w:val="20"/>
                <w:szCs w:val="20"/>
                <w:color w:val="auto"/>
              </w:rPr>
            </w:pPr>
            <w:r>
              <w:rPr>
                <w:rFonts w:ascii="Arial" w:cs="Arial" w:eastAsia="Arial" w:hAnsi="Arial"/>
                <w:sz w:val="18"/>
                <w:szCs w:val="18"/>
                <w:color w:val="auto"/>
              </w:rPr>
              <w:t>$85,447</w:t>
            </w:r>
          </w:p>
        </w:tc>
        <w:tc>
          <w:tcPr>
            <w:tcW w:w="840" w:type="dxa"/>
            <w:vAlign w:val="bottom"/>
          </w:tcPr>
          <w:p>
            <w:pPr>
              <w:spacing w:after="0"/>
              <w:rPr>
                <w:sz w:val="16"/>
                <w:szCs w:val="16"/>
                <w:color w:val="auto"/>
              </w:rPr>
            </w:pPr>
          </w:p>
        </w:tc>
        <w:tc>
          <w:tcPr>
            <w:tcW w:w="900" w:type="dxa"/>
            <w:vAlign w:val="bottom"/>
            <w:tcBorders>
              <w:top w:val="single" w:sz="8" w:color="auto"/>
            </w:tcBorders>
          </w:tcPr>
          <w:p>
            <w:pPr>
              <w:jc w:val="right"/>
              <w:ind w:right="120"/>
              <w:spacing w:after="0" w:line="193" w:lineRule="exact"/>
              <w:rPr>
                <w:sz w:val="20"/>
                <w:szCs w:val="20"/>
                <w:color w:val="auto"/>
              </w:rPr>
            </w:pPr>
            <w:r>
              <w:rPr>
                <w:rFonts w:ascii="Arial" w:cs="Arial" w:eastAsia="Arial" w:hAnsi="Arial"/>
                <w:sz w:val="18"/>
                <w:szCs w:val="18"/>
                <w:color w:val="auto"/>
              </w:rPr>
              <w:t>9.4%</w:t>
            </w:r>
          </w:p>
        </w:tc>
        <w:tc>
          <w:tcPr>
            <w:tcW w:w="440" w:type="dxa"/>
            <w:vAlign w:val="bottom"/>
          </w:tcPr>
          <w:p>
            <w:pPr>
              <w:spacing w:after="0"/>
              <w:rPr>
                <w:sz w:val="16"/>
                <w:szCs w:val="16"/>
                <w:color w:val="auto"/>
              </w:rPr>
            </w:pPr>
          </w:p>
        </w:tc>
        <w:tc>
          <w:tcPr>
            <w:tcW w:w="1140" w:type="dxa"/>
            <w:vAlign w:val="bottom"/>
            <w:tcBorders>
              <w:top w:val="single" w:sz="8" w:color="auto"/>
            </w:tcBorders>
          </w:tcPr>
          <w:p>
            <w:pPr>
              <w:jc w:val="right"/>
              <w:ind w:right="203"/>
              <w:spacing w:after="0" w:line="193" w:lineRule="exact"/>
              <w:rPr>
                <w:sz w:val="20"/>
                <w:szCs w:val="20"/>
                <w:color w:val="auto"/>
              </w:rPr>
            </w:pPr>
            <w:r>
              <w:rPr>
                <w:rFonts w:ascii="Arial" w:cs="Arial" w:eastAsia="Arial" w:hAnsi="Arial"/>
                <w:sz w:val="18"/>
                <w:szCs w:val="18"/>
                <w:color w:val="auto"/>
              </w:rPr>
              <w:t>$267,708</w:t>
            </w:r>
          </w:p>
        </w:tc>
        <w:tc>
          <w:tcPr>
            <w:tcW w:w="440" w:type="dxa"/>
            <w:vAlign w:val="bottom"/>
          </w:tcPr>
          <w:p>
            <w:pPr>
              <w:spacing w:after="0"/>
              <w:rPr>
                <w:sz w:val="16"/>
                <w:szCs w:val="16"/>
                <w:color w:val="auto"/>
              </w:rPr>
            </w:pPr>
          </w:p>
        </w:tc>
        <w:tc>
          <w:tcPr>
            <w:tcW w:w="1160" w:type="dxa"/>
            <w:vAlign w:val="bottom"/>
            <w:tcBorders>
              <w:top w:val="single" w:sz="8" w:color="auto"/>
            </w:tcBorders>
          </w:tcPr>
          <w:p>
            <w:pPr>
              <w:jc w:val="right"/>
              <w:ind w:right="223"/>
              <w:spacing w:after="0" w:line="193" w:lineRule="exact"/>
              <w:rPr>
                <w:sz w:val="20"/>
                <w:szCs w:val="20"/>
                <w:color w:val="auto"/>
              </w:rPr>
            </w:pPr>
            <w:r>
              <w:rPr>
                <w:rFonts w:ascii="Arial" w:cs="Arial" w:eastAsia="Arial" w:hAnsi="Arial"/>
                <w:sz w:val="18"/>
                <w:szCs w:val="18"/>
                <w:color w:val="auto"/>
              </w:rPr>
              <w:t>$249,357</w:t>
            </w:r>
          </w:p>
        </w:tc>
        <w:tc>
          <w:tcPr>
            <w:tcW w:w="440" w:type="dxa"/>
            <w:vAlign w:val="bottom"/>
          </w:tcPr>
          <w:p>
            <w:pPr>
              <w:spacing w:after="0"/>
              <w:rPr>
                <w:sz w:val="16"/>
                <w:szCs w:val="16"/>
                <w:color w:val="auto"/>
              </w:rPr>
            </w:pPr>
          </w:p>
        </w:tc>
        <w:tc>
          <w:tcPr>
            <w:tcW w:w="880" w:type="dxa"/>
            <w:vAlign w:val="bottom"/>
            <w:tcBorders>
              <w:top w:val="single" w:sz="8" w:color="auto"/>
            </w:tcBorders>
          </w:tcPr>
          <w:p>
            <w:pPr>
              <w:jc w:val="right"/>
              <w:ind w:right="100"/>
              <w:spacing w:after="0" w:line="193" w:lineRule="exact"/>
              <w:rPr>
                <w:sz w:val="20"/>
                <w:szCs w:val="20"/>
                <w:color w:val="auto"/>
              </w:rPr>
            </w:pPr>
            <w:r>
              <w:rPr>
                <w:rFonts w:ascii="Arial" w:cs="Arial" w:eastAsia="Arial" w:hAnsi="Arial"/>
                <w:sz w:val="18"/>
                <w:szCs w:val="18"/>
                <w:color w:val="auto"/>
              </w:rPr>
              <w:t>7.4%</w:t>
            </w:r>
          </w:p>
        </w:tc>
      </w:tr>
      <w:tr>
        <w:trPr>
          <w:trHeight w:val="223"/>
        </w:trPr>
        <w:tc>
          <w:tcPr>
            <w:tcW w:w="2660" w:type="dxa"/>
            <w:vAlign w:val="bottom"/>
          </w:tcPr>
          <w:p>
            <w:pPr>
              <w:ind w:left="200"/>
              <w:spacing w:after="0"/>
              <w:rPr>
                <w:sz w:val="20"/>
                <w:szCs w:val="20"/>
                <w:color w:val="auto"/>
              </w:rPr>
            </w:pPr>
            <w:r>
              <w:rPr>
                <w:rFonts w:ascii="Arial" w:cs="Arial" w:eastAsia="Arial" w:hAnsi="Arial"/>
                <w:sz w:val="18"/>
                <w:szCs w:val="18"/>
                <w:color w:val="auto"/>
              </w:rPr>
              <w:t>% of net revenues</w:t>
            </w:r>
          </w:p>
        </w:tc>
        <w:tc>
          <w:tcPr>
            <w:tcW w:w="1040" w:type="dxa"/>
            <w:vAlign w:val="bottom"/>
          </w:tcPr>
          <w:p>
            <w:pPr>
              <w:jc w:val="right"/>
              <w:ind w:right="63"/>
              <w:spacing w:after="0"/>
              <w:rPr>
                <w:sz w:val="20"/>
                <w:szCs w:val="20"/>
                <w:color w:val="auto"/>
              </w:rPr>
            </w:pPr>
            <w:r>
              <w:rPr>
                <w:rFonts w:ascii="Arial" w:cs="Arial" w:eastAsia="Arial" w:hAnsi="Arial"/>
                <w:sz w:val="18"/>
                <w:szCs w:val="18"/>
                <w:color w:val="auto"/>
              </w:rPr>
              <w:t>52.9%</w:t>
            </w:r>
          </w:p>
        </w:tc>
        <w:tc>
          <w:tcPr>
            <w:tcW w:w="1480" w:type="dxa"/>
            <w:vAlign w:val="bottom"/>
            <w:gridSpan w:val="2"/>
          </w:tcPr>
          <w:p>
            <w:pPr>
              <w:jc w:val="right"/>
              <w:ind w:right="143"/>
              <w:spacing w:after="0"/>
              <w:rPr>
                <w:sz w:val="20"/>
                <w:szCs w:val="20"/>
                <w:color w:val="auto"/>
              </w:rPr>
            </w:pPr>
            <w:r>
              <w:rPr>
                <w:rFonts w:ascii="Arial" w:cs="Arial" w:eastAsia="Arial" w:hAnsi="Arial"/>
                <w:sz w:val="18"/>
                <w:szCs w:val="18"/>
                <w:color w:val="auto"/>
              </w:rPr>
              <w:t>51.7%</w:t>
            </w: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63"/>
              <w:spacing w:after="0"/>
              <w:rPr>
                <w:sz w:val="20"/>
                <w:szCs w:val="20"/>
                <w:color w:val="auto"/>
              </w:rPr>
            </w:pPr>
            <w:r>
              <w:rPr>
                <w:rFonts w:ascii="Arial" w:cs="Arial" w:eastAsia="Arial" w:hAnsi="Arial"/>
                <w:sz w:val="18"/>
                <w:szCs w:val="18"/>
                <w:color w:val="auto"/>
              </w:rPr>
              <w:t>52.8%</w:t>
            </w:r>
          </w:p>
        </w:tc>
        <w:tc>
          <w:tcPr>
            <w:tcW w:w="1600" w:type="dxa"/>
            <w:vAlign w:val="bottom"/>
            <w:gridSpan w:val="2"/>
          </w:tcPr>
          <w:p>
            <w:pPr>
              <w:jc w:val="right"/>
              <w:ind w:right="63"/>
              <w:spacing w:after="0"/>
              <w:rPr>
                <w:sz w:val="20"/>
                <w:szCs w:val="20"/>
                <w:color w:val="auto"/>
              </w:rPr>
            </w:pPr>
            <w:r>
              <w:rPr>
                <w:rFonts w:ascii="Arial" w:cs="Arial" w:eastAsia="Arial" w:hAnsi="Arial"/>
                <w:sz w:val="18"/>
                <w:szCs w:val="18"/>
                <w:color w:val="auto"/>
              </w:rPr>
              <w:t>52.4%</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spacing w:after="0" w:line="95" w:lineRule="exact"/>
        <w:rPr>
          <w:sz w:val="20"/>
          <w:szCs w:val="20"/>
          <w:color w:val="auto"/>
        </w:rPr>
      </w:pPr>
    </w:p>
    <w:p>
      <w:pPr>
        <w:jc w:val="both"/>
        <w:ind w:right="240"/>
        <w:spacing w:after="0" w:line="271" w:lineRule="auto"/>
        <w:rPr>
          <w:sz w:val="20"/>
          <w:szCs w:val="20"/>
          <w:color w:val="auto"/>
        </w:rPr>
      </w:pPr>
      <w:r>
        <w:rPr>
          <w:rFonts w:ascii="Arial" w:cs="Arial" w:eastAsia="Arial" w:hAnsi="Arial"/>
          <w:sz w:val="17"/>
          <w:szCs w:val="17"/>
          <w:color w:val="auto"/>
        </w:rPr>
        <w:t>Gross profit increased 9.4% and 7.4% in the third quarter and first nine months of fiscal year 2011, respectively, as compared to the third quarter and the first nine months of fiscal year 2010. The effects of foreign exchange increased gross profit by 1.5% for the quarter and decreased gross profit by 1.1% for the first nine months of fiscal year 2011. Absent foreign exchange, gross profit increased 7.9% for the quarter and 8.5% for the nine months. The increase was largely driven by higher software sales and, to a lesser extent, cost improvements in our manufacturing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4"/>
                <w:szCs w:val="14"/>
                <w:b w:val="1"/>
                <w:bCs w:val="1"/>
                <w:color w:val="auto"/>
              </w:rPr>
              <w:t>For the three months ended</w:t>
            </w: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4"/>
                <w:szCs w:val="14"/>
                <w:b w:val="1"/>
                <w:bCs w:val="1"/>
                <w:color w:val="auto"/>
              </w:rPr>
              <w:t>For the nine months ended</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240" w:type="dxa"/>
            <w:vAlign w:val="bottom"/>
            <w:gridSpan w:val="2"/>
          </w:tcPr>
          <w:p>
            <w:pPr>
              <w:ind w:left="180"/>
              <w:spacing w:after="0" w:line="117" w:lineRule="exact"/>
              <w:rPr>
                <w:sz w:val="20"/>
                <w:szCs w:val="20"/>
                <w:color w:val="auto"/>
              </w:rPr>
            </w:pPr>
            <w:r>
              <w:rPr>
                <w:rFonts w:ascii="Arial" w:cs="Arial" w:eastAsia="Arial" w:hAnsi="Arial"/>
                <w:sz w:val="13"/>
                <w:szCs w:val="13"/>
                <w:b w:val="1"/>
                <w:bCs w:val="1"/>
                <w:color w:val="auto"/>
              </w:rPr>
              <w:t>January 1,</w:t>
            </w:r>
          </w:p>
        </w:tc>
        <w:tc>
          <w:tcPr>
            <w:tcW w:w="1380" w:type="dxa"/>
            <w:vAlign w:val="bottom"/>
            <w:gridSpan w:val="2"/>
          </w:tcPr>
          <w:p>
            <w:pPr>
              <w:jc w:val="right"/>
              <w:ind w:right="94"/>
              <w:spacing w:after="0" w:line="117" w:lineRule="exact"/>
              <w:rPr>
                <w:sz w:val="20"/>
                <w:szCs w:val="20"/>
                <w:color w:val="auto"/>
              </w:rPr>
            </w:pPr>
            <w:r>
              <w:rPr>
                <w:rFonts w:ascii="Arial" w:cs="Arial" w:eastAsia="Arial" w:hAnsi="Arial"/>
                <w:sz w:val="13"/>
                <w:szCs w:val="13"/>
                <w:b w:val="1"/>
                <w:bCs w:val="1"/>
                <w:color w:val="auto"/>
              </w:rPr>
              <w:t>December 26,</w:t>
            </w:r>
          </w:p>
        </w:tc>
        <w:tc>
          <w:tcPr>
            <w:tcW w:w="1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gridSpan w:val="2"/>
          </w:tcPr>
          <w:p>
            <w:pPr>
              <w:jc w:val="right"/>
              <w:ind w:right="355"/>
              <w:spacing w:after="0" w:line="117" w:lineRule="exact"/>
              <w:rPr>
                <w:sz w:val="20"/>
                <w:szCs w:val="20"/>
                <w:color w:val="auto"/>
              </w:rPr>
            </w:pPr>
            <w:r>
              <w:rPr>
                <w:rFonts w:ascii="Arial" w:cs="Arial" w:eastAsia="Arial" w:hAnsi="Arial"/>
                <w:sz w:val="13"/>
                <w:szCs w:val="13"/>
                <w:b w:val="1"/>
                <w:bCs w:val="1"/>
                <w:color w:val="auto"/>
              </w:rPr>
              <w:t>January 1,</w:t>
            </w:r>
          </w:p>
        </w:tc>
        <w:tc>
          <w:tcPr>
            <w:tcW w:w="1320" w:type="dxa"/>
            <w:vAlign w:val="bottom"/>
            <w:gridSpan w:val="2"/>
          </w:tcPr>
          <w:p>
            <w:pPr>
              <w:ind w:left="360"/>
              <w:spacing w:after="0" w:line="117" w:lineRule="exact"/>
              <w:rPr>
                <w:sz w:val="20"/>
                <w:szCs w:val="20"/>
                <w:color w:val="auto"/>
              </w:rPr>
            </w:pPr>
            <w:r>
              <w:rPr>
                <w:rFonts w:ascii="Arial" w:cs="Arial" w:eastAsia="Arial" w:hAnsi="Arial"/>
                <w:sz w:val="13"/>
                <w:szCs w:val="13"/>
                <w:b w:val="1"/>
                <w:bCs w:val="1"/>
                <w:color w:val="auto"/>
              </w:rPr>
              <w:t>December 26,</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980" w:type="dxa"/>
            <w:vAlign w:val="bottom"/>
          </w:tcPr>
          <w:p>
            <w:pPr>
              <w:jc w:val="right"/>
              <w:ind w:right="515"/>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4"/>
                <w:szCs w:val="14"/>
                <w:color w:val="auto"/>
              </w:rPr>
            </w:pPr>
          </w:p>
        </w:tc>
        <w:tc>
          <w:tcPr>
            <w:tcW w:w="840" w:type="dxa"/>
            <w:vAlign w:val="bottom"/>
          </w:tcPr>
          <w:p>
            <w:pPr>
              <w:jc w:val="right"/>
              <w:ind w:right="374"/>
              <w:spacing w:after="0"/>
              <w:rPr>
                <w:sz w:val="20"/>
                <w:szCs w:val="20"/>
                <w:color w:val="auto"/>
              </w:rPr>
            </w:pPr>
            <w:r>
              <w:rPr>
                <w:rFonts w:ascii="Arial" w:cs="Arial" w:eastAsia="Arial" w:hAnsi="Arial"/>
                <w:sz w:val="14"/>
                <w:szCs w:val="14"/>
                <w:b w:val="1"/>
                <w:bCs w:val="1"/>
                <w:color w:val="auto"/>
              </w:rPr>
              <w:t>2009</w:t>
            </w: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 Increase</w:t>
            </w:r>
          </w:p>
        </w:tc>
        <w:tc>
          <w:tcPr>
            <w:tcW w:w="280" w:type="dxa"/>
            <w:vAlign w:val="bottom"/>
          </w:tcPr>
          <w:p>
            <w:pPr>
              <w:spacing w:after="0"/>
              <w:rPr>
                <w:sz w:val="14"/>
                <w:szCs w:val="14"/>
                <w:color w:val="auto"/>
              </w:rPr>
            </w:pPr>
          </w:p>
        </w:tc>
        <w:tc>
          <w:tcPr>
            <w:tcW w:w="1060" w:type="dxa"/>
            <w:vAlign w:val="bottom"/>
          </w:tcPr>
          <w:p>
            <w:pPr>
              <w:jc w:val="right"/>
              <w:ind w:right="555"/>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4"/>
                <w:szCs w:val="14"/>
                <w:color w:val="auto"/>
              </w:rPr>
            </w:pPr>
          </w:p>
        </w:tc>
        <w:tc>
          <w:tcPr>
            <w:tcW w:w="840" w:type="dxa"/>
            <w:vAlign w:val="bottom"/>
          </w:tcPr>
          <w:p>
            <w:pPr>
              <w:jc w:val="right"/>
              <w:ind w:right="334"/>
              <w:spacing w:after="0"/>
              <w:rPr>
                <w:sz w:val="20"/>
                <w:szCs w:val="20"/>
                <w:color w:val="auto"/>
              </w:rPr>
            </w:pPr>
            <w:r>
              <w:rPr>
                <w:rFonts w:ascii="Arial" w:cs="Arial" w:eastAsia="Arial" w:hAnsi="Arial"/>
                <w:sz w:val="14"/>
                <w:szCs w:val="14"/>
                <w:b w:val="1"/>
                <w:bCs w:val="1"/>
                <w:color w:val="auto"/>
              </w:rPr>
              <w:t>2009</w:t>
            </w:r>
          </w:p>
        </w:tc>
        <w:tc>
          <w:tcPr>
            <w:tcW w:w="1400" w:type="dxa"/>
            <w:vAlign w:val="bottom"/>
          </w:tcPr>
          <w:p>
            <w:pPr>
              <w:jc w:val="right"/>
              <w:ind w:right="55"/>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2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Research, development and</w:t>
            </w:r>
          </w:p>
        </w:tc>
        <w:tc>
          <w:tcPr>
            <w:tcW w:w="2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engineering</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7,996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6,461</w:t>
            </w:r>
          </w:p>
        </w:tc>
        <w:tc>
          <w:tcPr>
            <w:tcW w:w="14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23.8%</w:t>
            </w: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23,870</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19,714</w:t>
            </w:r>
          </w:p>
        </w:tc>
        <w:tc>
          <w:tcPr>
            <w:tcW w:w="14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60" w:type="dxa"/>
            <w:vAlign w:val="bottom"/>
          </w:tcPr>
          <w:p>
            <w:pPr>
              <w:spacing w:after="0"/>
              <w:rPr>
                <w:sz w:val="19"/>
                <w:szCs w:val="19"/>
                <w:color w:val="auto"/>
              </w:rPr>
            </w:pPr>
          </w:p>
        </w:tc>
        <w:tc>
          <w:tcPr>
            <w:tcW w:w="980" w:type="dxa"/>
            <w:vAlign w:val="bottom"/>
          </w:tcPr>
          <w:p>
            <w:pPr>
              <w:jc w:val="right"/>
              <w:ind w:right="275"/>
              <w:spacing w:after="0"/>
              <w:rPr>
                <w:sz w:val="20"/>
                <w:szCs w:val="20"/>
                <w:color w:val="auto"/>
              </w:rPr>
            </w:pPr>
            <w:r>
              <w:rPr>
                <w:rFonts w:ascii="Arial" w:cs="Arial" w:eastAsia="Arial" w:hAnsi="Arial"/>
                <w:sz w:val="18"/>
                <w:szCs w:val="18"/>
                <w:color w:val="auto"/>
              </w:rPr>
              <w:t>4.5%</w:t>
            </w:r>
          </w:p>
        </w:tc>
        <w:tc>
          <w:tcPr>
            <w:tcW w:w="540" w:type="dxa"/>
            <w:vAlign w:val="bottom"/>
          </w:tcPr>
          <w:p>
            <w:pPr>
              <w:spacing w:after="0"/>
              <w:rPr>
                <w:sz w:val="19"/>
                <w:szCs w:val="19"/>
                <w:color w:val="auto"/>
              </w:rPr>
            </w:pP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3.9%</w:t>
            </w: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255"/>
              <w:spacing w:after="0"/>
              <w:rPr>
                <w:sz w:val="20"/>
                <w:szCs w:val="20"/>
                <w:color w:val="auto"/>
              </w:rPr>
            </w:pPr>
            <w:r>
              <w:rPr>
                <w:rFonts w:ascii="Arial" w:cs="Arial" w:eastAsia="Arial" w:hAnsi="Arial"/>
                <w:sz w:val="18"/>
                <w:szCs w:val="18"/>
                <w:color w:val="auto"/>
              </w:rPr>
              <w:t>4.7%</w:t>
            </w:r>
          </w:p>
        </w:tc>
        <w:tc>
          <w:tcPr>
            <w:tcW w:w="48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2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w w:val="83"/>
              </w:rPr>
              <w:t>56,935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83"/>
              </w:rPr>
              <w:t>53,151</w:t>
            </w:r>
          </w:p>
        </w:tc>
        <w:tc>
          <w:tcPr>
            <w:tcW w:w="14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7.1%</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w w:val="86"/>
              </w:rPr>
              <w:t>164,079</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86"/>
              </w:rPr>
              <w:t>150,459</w:t>
            </w:r>
          </w:p>
        </w:tc>
        <w:tc>
          <w:tcPr>
            <w:tcW w:w="14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60" w:type="dxa"/>
            <w:vAlign w:val="bottom"/>
          </w:tcPr>
          <w:p>
            <w:pPr>
              <w:spacing w:after="0"/>
              <w:rPr>
                <w:sz w:val="19"/>
                <w:szCs w:val="19"/>
                <w:color w:val="auto"/>
              </w:rPr>
            </w:pPr>
          </w:p>
        </w:tc>
        <w:tc>
          <w:tcPr>
            <w:tcW w:w="980" w:type="dxa"/>
            <w:vAlign w:val="bottom"/>
          </w:tcPr>
          <w:p>
            <w:pPr>
              <w:jc w:val="right"/>
              <w:ind w:right="275"/>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19"/>
                <w:szCs w:val="19"/>
                <w:color w:val="auto"/>
              </w:rPr>
            </w:pP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32.2%</w:t>
            </w: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255"/>
              <w:spacing w:after="0"/>
              <w:rPr>
                <w:sz w:val="20"/>
                <w:szCs w:val="20"/>
                <w:color w:val="auto"/>
              </w:rPr>
            </w:pPr>
            <w:r>
              <w:rPr>
                <w:rFonts w:ascii="Arial" w:cs="Arial" w:eastAsia="Arial" w:hAnsi="Arial"/>
                <w:sz w:val="18"/>
                <w:szCs w:val="18"/>
                <w:color w:val="auto"/>
              </w:rPr>
              <w:t>32.4%</w:t>
            </w:r>
          </w:p>
        </w:tc>
        <w:tc>
          <w:tcPr>
            <w:tcW w:w="48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31.6%</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2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income</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n.m.</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(1,894)</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60" w:type="dxa"/>
            <w:vAlign w:val="bottom"/>
          </w:tcPr>
          <w:p>
            <w:pPr>
              <w:spacing w:after="0"/>
              <w:rPr>
                <w:sz w:val="19"/>
                <w:szCs w:val="19"/>
                <w:color w:val="auto"/>
              </w:rPr>
            </w:pPr>
          </w:p>
        </w:tc>
        <w:tc>
          <w:tcPr>
            <w:tcW w:w="980" w:type="dxa"/>
            <w:vAlign w:val="bottom"/>
          </w:tcPr>
          <w:p>
            <w:pPr>
              <w:jc w:val="right"/>
              <w:ind w:right="275"/>
              <w:spacing w:after="0"/>
              <w:rPr>
                <w:sz w:val="20"/>
                <w:szCs w:val="20"/>
                <w:color w:val="auto"/>
              </w:rPr>
            </w:pPr>
            <w:r>
              <w:rPr>
                <w:rFonts w:ascii="Arial" w:cs="Arial" w:eastAsia="Arial" w:hAnsi="Arial"/>
                <w:sz w:val="18"/>
                <w:szCs w:val="18"/>
                <w:color w:val="auto"/>
              </w:rPr>
              <w:t>0.0%</w:t>
            </w:r>
          </w:p>
        </w:tc>
        <w:tc>
          <w:tcPr>
            <w:tcW w:w="540" w:type="dxa"/>
            <w:vAlign w:val="bottom"/>
          </w:tcPr>
          <w:p>
            <w:pPr>
              <w:spacing w:after="0"/>
              <w:rPr>
                <w:sz w:val="19"/>
                <w:szCs w:val="19"/>
                <w:color w:val="auto"/>
              </w:rPr>
            </w:pP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0.0%</w:t>
            </w: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255"/>
              <w:spacing w:after="0"/>
              <w:rPr>
                <w:sz w:val="20"/>
                <w:szCs w:val="20"/>
                <w:color w:val="auto"/>
              </w:rPr>
            </w:pPr>
            <w:r>
              <w:rPr>
                <w:rFonts w:ascii="Arial" w:cs="Arial" w:eastAsia="Arial" w:hAnsi="Arial"/>
                <w:sz w:val="18"/>
                <w:szCs w:val="18"/>
                <w:color w:val="auto"/>
              </w:rPr>
              <w:t>-0.4%</w:t>
            </w:r>
          </w:p>
        </w:tc>
        <w:tc>
          <w:tcPr>
            <w:tcW w:w="48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0.0%</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2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w w:val="83"/>
              </w:rPr>
              <w:t>64,931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83"/>
              </w:rPr>
              <w:t>59,612</w:t>
            </w:r>
          </w:p>
        </w:tc>
        <w:tc>
          <w:tcPr>
            <w:tcW w:w="14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8.9%</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w w:val="86"/>
              </w:rPr>
              <w:t>186,055</w:t>
            </w:r>
          </w:p>
        </w:tc>
        <w:tc>
          <w:tcPr>
            <w:tcW w:w="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86"/>
              </w:rPr>
              <w:t>170,173</w:t>
            </w:r>
          </w:p>
        </w:tc>
        <w:tc>
          <w:tcPr>
            <w:tcW w:w="14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60" w:type="dxa"/>
            <w:vAlign w:val="bottom"/>
          </w:tcPr>
          <w:p>
            <w:pPr>
              <w:spacing w:after="0"/>
              <w:rPr>
                <w:sz w:val="19"/>
                <w:szCs w:val="19"/>
                <w:color w:val="auto"/>
              </w:rPr>
            </w:pPr>
          </w:p>
        </w:tc>
        <w:tc>
          <w:tcPr>
            <w:tcW w:w="980" w:type="dxa"/>
            <w:vAlign w:val="bottom"/>
          </w:tcPr>
          <w:p>
            <w:pPr>
              <w:jc w:val="right"/>
              <w:ind w:right="275"/>
              <w:spacing w:after="0"/>
              <w:rPr>
                <w:sz w:val="20"/>
                <w:szCs w:val="20"/>
                <w:color w:val="auto"/>
              </w:rPr>
            </w:pPr>
            <w:r>
              <w:rPr>
                <w:rFonts w:ascii="Arial" w:cs="Arial" w:eastAsia="Arial" w:hAnsi="Arial"/>
                <w:sz w:val="18"/>
                <w:szCs w:val="18"/>
                <w:color w:val="auto"/>
              </w:rPr>
              <w:t>36.7%</w:t>
            </w:r>
          </w:p>
        </w:tc>
        <w:tc>
          <w:tcPr>
            <w:tcW w:w="540" w:type="dxa"/>
            <w:vAlign w:val="bottom"/>
          </w:tcPr>
          <w:p>
            <w:pPr>
              <w:spacing w:after="0"/>
              <w:rPr>
                <w:sz w:val="19"/>
                <w:szCs w:val="19"/>
                <w:color w:val="auto"/>
              </w:rPr>
            </w:pP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36.1%</w:t>
            </w: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255"/>
              <w:spacing w:after="0"/>
              <w:rPr>
                <w:sz w:val="20"/>
                <w:szCs w:val="20"/>
                <w:color w:val="auto"/>
              </w:rPr>
            </w:pPr>
            <w:r>
              <w:rPr>
                <w:rFonts w:ascii="Arial" w:cs="Arial" w:eastAsia="Arial" w:hAnsi="Arial"/>
                <w:sz w:val="18"/>
                <w:szCs w:val="18"/>
                <w:color w:val="auto"/>
              </w:rPr>
              <w:t>36.7%</w:t>
            </w:r>
          </w:p>
        </w:tc>
        <w:tc>
          <w:tcPr>
            <w:tcW w:w="48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35.7%</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Engineering</w:t>
      </w:r>
    </w:p>
    <w:p>
      <w:pPr>
        <w:spacing w:after="0" w:line="111" w:lineRule="exact"/>
        <w:rPr>
          <w:sz w:val="20"/>
          <w:szCs w:val="20"/>
          <w:color w:val="auto"/>
        </w:rPr>
      </w:pPr>
    </w:p>
    <w:p>
      <w:pPr>
        <w:jc w:val="both"/>
        <w:ind w:right="140"/>
        <w:spacing w:after="0" w:line="294" w:lineRule="auto"/>
        <w:rPr>
          <w:sz w:val="20"/>
          <w:szCs w:val="20"/>
          <w:color w:val="auto"/>
        </w:rPr>
      </w:pPr>
      <w:r>
        <w:rPr>
          <w:rFonts w:ascii="Arial" w:cs="Arial" w:eastAsia="Arial" w:hAnsi="Arial"/>
          <w:sz w:val="17"/>
          <w:szCs w:val="17"/>
          <w:color w:val="auto"/>
        </w:rPr>
        <w:t>Research, development and engineering expenses increased 23.8% and 21.1% for the third quarter and the first nine months of fiscal year 2011, respectively, as compared to the same periods of fiscal year 2010. The increase is primarily related to the expansion of our software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1"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During the third quarter and the first nine months of fiscal year 2011, selling, general and administrative expenses increased 7.1% and 9.1%, respectively. Foreign exchange resulted in an increase of 1.4% and 0.8% in selling, general and administrative expenses during the quarter and nine months, respectively. Excluding the impact of foreign exchange, selling, general and administrative expense increased 5.7% and 8.3% for the third quarter and the first nine months of fiscal year 2011 over the comparable periods of fiscal year 2010. The increase was attributable to newly acquired businesses, SEBRA and Global Med, and transformation costs including costs to integrate Global Med. The increase was partly offset by cost reductions from planned synergies and a reduction in the expense associated with cash bonus incentive compensation this fiscal year as the Company’s financial results were lower than the financial targets established at the beginning of the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Income</w:t>
      </w:r>
    </w:p>
    <w:p>
      <w:pPr>
        <w:spacing w:after="0" w:line="11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 xml:space="preserve">Under the accounting rules for business combinations (specifically,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we established a liability for payments that we might make in the future to former shareholders of Neoteric that are tied to the performance of the Blood Track business for the first three years post acquisition, beginning with fiscal year 2010. We have reviewed the expected performance versus the necessary thresholds of performance for the former shareholders to receive additional performance payments and we recorded an adjustment to the fair value of the contingent consideration as contingent consideration income of $1.9 million during the second quarter of fiscal year 2011.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4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423"/>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443"/>
              <w:spacing w:after="0"/>
              <w:rPr>
                <w:sz w:val="20"/>
                <w:szCs w:val="20"/>
                <w:color w:val="auto"/>
              </w:rPr>
            </w:pPr>
            <w:r>
              <w:rPr>
                <w:rFonts w:ascii="Arial" w:cs="Arial" w:eastAsia="Arial" w:hAnsi="Arial"/>
                <w:sz w:val="14"/>
                <w:szCs w:val="14"/>
                <w:b w:val="1"/>
                <w:bCs w:val="1"/>
                <w:color w:val="auto"/>
              </w:rPr>
              <w:t>For the nine months ended</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17"/>
        </w:trPr>
        <w:tc>
          <w:tcPr>
            <w:tcW w:w="2940" w:type="dxa"/>
            <w:vAlign w:val="bottom"/>
          </w:tcPr>
          <w:p>
            <w:pPr>
              <w:spacing w:after="0"/>
              <w:rPr>
                <w:sz w:val="10"/>
                <w:szCs w:val="10"/>
                <w:color w:val="auto"/>
              </w:rPr>
            </w:pPr>
          </w:p>
        </w:tc>
        <w:tc>
          <w:tcPr>
            <w:tcW w:w="1040" w:type="dxa"/>
            <w:vAlign w:val="bottom"/>
          </w:tcPr>
          <w:p>
            <w:pPr>
              <w:jc w:val="right"/>
              <w:ind w:right="123"/>
              <w:spacing w:after="0" w:line="117" w:lineRule="exact"/>
              <w:rPr>
                <w:sz w:val="20"/>
                <w:szCs w:val="20"/>
                <w:color w:val="auto"/>
              </w:rPr>
            </w:pPr>
            <w:r>
              <w:rPr>
                <w:rFonts w:ascii="Arial" w:cs="Arial" w:eastAsia="Arial" w:hAnsi="Arial"/>
                <w:sz w:val="13"/>
                <w:szCs w:val="13"/>
                <w:b w:val="1"/>
                <w:bCs w:val="1"/>
                <w:color w:val="auto"/>
              </w:rPr>
              <w:t>January 1,</w:t>
            </w:r>
          </w:p>
        </w:tc>
        <w:tc>
          <w:tcPr>
            <w:tcW w:w="420" w:type="dxa"/>
            <w:vAlign w:val="bottom"/>
          </w:tcPr>
          <w:p>
            <w:pPr>
              <w:spacing w:after="0"/>
              <w:rPr>
                <w:sz w:val="10"/>
                <w:szCs w:val="10"/>
                <w:color w:val="auto"/>
              </w:rPr>
            </w:pPr>
          </w:p>
        </w:tc>
        <w:tc>
          <w:tcPr>
            <w:tcW w:w="1200" w:type="dxa"/>
            <w:vAlign w:val="bottom"/>
          </w:tcPr>
          <w:p>
            <w:pPr>
              <w:jc w:val="right"/>
              <w:ind w:right="103"/>
              <w:spacing w:after="0" w:line="117" w:lineRule="exact"/>
              <w:rPr>
                <w:sz w:val="20"/>
                <w:szCs w:val="20"/>
                <w:color w:val="auto"/>
              </w:rPr>
            </w:pPr>
            <w:r>
              <w:rPr>
                <w:rFonts w:ascii="Arial" w:cs="Arial" w:eastAsia="Arial" w:hAnsi="Arial"/>
                <w:sz w:val="13"/>
                <w:szCs w:val="13"/>
                <w:b w:val="1"/>
                <w:bCs w:val="1"/>
                <w:color w:val="auto"/>
              </w:rPr>
              <w:t>December 26,</w:t>
            </w:r>
          </w:p>
        </w:tc>
        <w:tc>
          <w:tcPr>
            <w:tcW w:w="4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tcPr>
          <w:p>
            <w:pPr>
              <w:jc w:val="right"/>
              <w:ind w:right="123"/>
              <w:spacing w:after="0" w:line="117" w:lineRule="exact"/>
              <w:rPr>
                <w:sz w:val="20"/>
                <w:szCs w:val="20"/>
                <w:color w:val="auto"/>
              </w:rPr>
            </w:pPr>
            <w:r>
              <w:rPr>
                <w:rFonts w:ascii="Arial" w:cs="Arial" w:eastAsia="Arial" w:hAnsi="Arial"/>
                <w:sz w:val="13"/>
                <w:szCs w:val="13"/>
                <w:b w:val="1"/>
                <w:bCs w:val="1"/>
                <w:color w:val="auto"/>
              </w:rPr>
              <w:t>January 1,</w:t>
            </w:r>
          </w:p>
        </w:tc>
        <w:tc>
          <w:tcPr>
            <w:tcW w:w="420" w:type="dxa"/>
            <w:vAlign w:val="bottom"/>
          </w:tcPr>
          <w:p>
            <w:pPr>
              <w:spacing w:after="0"/>
              <w:rPr>
                <w:sz w:val="10"/>
                <w:szCs w:val="10"/>
                <w:color w:val="auto"/>
              </w:rPr>
            </w:pPr>
          </w:p>
        </w:tc>
        <w:tc>
          <w:tcPr>
            <w:tcW w:w="1200" w:type="dxa"/>
            <w:vAlign w:val="bottom"/>
          </w:tcPr>
          <w:p>
            <w:pPr>
              <w:jc w:val="right"/>
              <w:ind w:right="103"/>
              <w:spacing w:after="0" w:line="117" w:lineRule="exact"/>
              <w:rPr>
                <w:sz w:val="20"/>
                <w:szCs w:val="20"/>
                <w:color w:val="auto"/>
              </w:rPr>
            </w:pPr>
            <w:r>
              <w:rPr>
                <w:rFonts w:ascii="Arial" w:cs="Arial" w:eastAsia="Arial" w:hAnsi="Arial"/>
                <w:sz w:val="13"/>
                <w:szCs w:val="13"/>
                <w:b w:val="1"/>
                <w:bCs w:val="1"/>
                <w:color w:val="auto"/>
              </w:rPr>
              <w:t>December 26,</w:t>
            </w:r>
          </w:p>
        </w:tc>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68"/>
        </w:trPr>
        <w:tc>
          <w:tcPr>
            <w:tcW w:w="29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jc w:val="right"/>
              <w:ind w:right="303"/>
              <w:spacing w:after="0"/>
              <w:rPr>
                <w:sz w:val="20"/>
                <w:szCs w:val="20"/>
                <w:color w:val="auto"/>
              </w:rPr>
            </w:pPr>
            <w:r>
              <w:rPr>
                <w:rFonts w:ascii="Arial" w:cs="Arial" w:eastAsia="Arial" w:hAnsi="Arial"/>
                <w:sz w:val="14"/>
                <w:szCs w:val="14"/>
                <w:b w:val="1"/>
                <w:bCs w:val="1"/>
                <w:color w:val="auto"/>
              </w:rPr>
              <w:t>2011</w:t>
            </w:r>
          </w:p>
        </w:tc>
        <w:tc>
          <w:tcPr>
            <w:tcW w:w="1620" w:type="dxa"/>
            <w:vAlign w:val="bottom"/>
            <w:gridSpan w:val="2"/>
          </w:tcPr>
          <w:p>
            <w:pPr>
              <w:jc w:val="right"/>
              <w:ind w:right="383"/>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 Increase</w:t>
            </w:r>
          </w:p>
        </w:tc>
        <w:tc>
          <w:tcPr>
            <w:tcW w:w="1040" w:type="dxa"/>
            <w:vAlign w:val="bottom"/>
          </w:tcPr>
          <w:p>
            <w:pPr>
              <w:jc w:val="right"/>
              <w:ind w:right="303"/>
              <w:spacing w:after="0"/>
              <w:rPr>
                <w:sz w:val="20"/>
                <w:szCs w:val="20"/>
                <w:color w:val="auto"/>
              </w:rPr>
            </w:pPr>
            <w:r>
              <w:rPr>
                <w:rFonts w:ascii="Arial" w:cs="Arial" w:eastAsia="Arial" w:hAnsi="Arial"/>
                <w:sz w:val="14"/>
                <w:szCs w:val="14"/>
                <w:b w:val="1"/>
                <w:bCs w:val="1"/>
                <w:color w:val="auto"/>
              </w:rPr>
              <w:t>2011</w:t>
            </w:r>
          </w:p>
        </w:tc>
        <w:tc>
          <w:tcPr>
            <w:tcW w:w="1620" w:type="dxa"/>
            <w:vAlign w:val="bottom"/>
            <w:gridSpan w:val="2"/>
          </w:tcPr>
          <w:p>
            <w:pPr>
              <w:jc w:val="right"/>
              <w:ind w:right="383"/>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9"/>
              </w:rPr>
              <w:t>% Decrease</w:t>
            </w:r>
          </w:p>
        </w:tc>
      </w:tr>
      <w:tr>
        <w:trPr>
          <w:trHeight w:val="193"/>
        </w:trPr>
        <w:tc>
          <w:tcPr>
            <w:tcW w:w="2940" w:type="dxa"/>
            <w:vAlign w:val="bottom"/>
          </w:tcPr>
          <w:p>
            <w:pPr>
              <w:spacing w:after="0" w:line="193" w:lineRule="exact"/>
              <w:rPr>
                <w:sz w:val="20"/>
                <w:szCs w:val="20"/>
                <w:color w:val="auto"/>
              </w:rPr>
            </w:pPr>
            <w:r>
              <w:rPr>
                <w:rFonts w:ascii="Arial" w:cs="Arial" w:eastAsia="Arial" w:hAnsi="Arial"/>
                <w:sz w:val="18"/>
                <w:szCs w:val="18"/>
                <w:color w:val="auto"/>
              </w:rPr>
              <w:t>Operating income</w:t>
            </w:r>
          </w:p>
        </w:tc>
        <w:tc>
          <w:tcPr>
            <w:tcW w:w="1040" w:type="dxa"/>
            <w:vAlign w:val="bottom"/>
            <w:tcBorders>
              <w:top w:val="single" w:sz="8" w:color="auto"/>
            </w:tcBorders>
          </w:tcPr>
          <w:p>
            <w:pPr>
              <w:jc w:val="right"/>
              <w:ind w:right="203"/>
              <w:spacing w:after="0" w:line="193" w:lineRule="exact"/>
              <w:rPr>
                <w:sz w:val="20"/>
                <w:szCs w:val="20"/>
                <w:color w:val="auto"/>
              </w:rPr>
            </w:pPr>
            <w:r>
              <w:rPr>
                <w:rFonts w:ascii="Arial" w:cs="Arial" w:eastAsia="Arial" w:hAnsi="Arial"/>
                <w:sz w:val="18"/>
                <w:szCs w:val="18"/>
                <w:color w:val="auto"/>
              </w:rPr>
              <w:t>$28,559</w:t>
            </w:r>
          </w:p>
        </w:tc>
        <w:tc>
          <w:tcPr>
            <w:tcW w:w="420" w:type="dxa"/>
            <w:vAlign w:val="bottom"/>
          </w:tcPr>
          <w:p>
            <w:pPr>
              <w:spacing w:after="0"/>
              <w:rPr>
                <w:sz w:val="16"/>
                <w:szCs w:val="16"/>
                <w:color w:val="auto"/>
              </w:rPr>
            </w:pPr>
          </w:p>
        </w:tc>
        <w:tc>
          <w:tcPr>
            <w:tcW w:w="1200" w:type="dxa"/>
            <w:vAlign w:val="bottom"/>
            <w:tcBorders>
              <w:top w:val="single" w:sz="8" w:color="auto"/>
            </w:tcBorders>
          </w:tcPr>
          <w:p>
            <w:pPr>
              <w:jc w:val="right"/>
              <w:ind w:right="283"/>
              <w:spacing w:after="0" w:line="193" w:lineRule="exact"/>
              <w:rPr>
                <w:sz w:val="20"/>
                <w:szCs w:val="20"/>
                <w:color w:val="auto"/>
              </w:rPr>
            </w:pPr>
            <w:r>
              <w:rPr>
                <w:rFonts w:ascii="Arial" w:cs="Arial" w:eastAsia="Arial" w:hAnsi="Arial"/>
                <w:sz w:val="18"/>
                <w:szCs w:val="18"/>
                <w:color w:val="auto"/>
              </w:rPr>
              <w:t>$25,835</w:t>
            </w:r>
          </w:p>
        </w:tc>
        <w:tc>
          <w:tcPr>
            <w:tcW w:w="420" w:type="dxa"/>
            <w:vAlign w:val="bottom"/>
          </w:tcPr>
          <w:p>
            <w:pPr>
              <w:spacing w:after="0"/>
              <w:rPr>
                <w:sz w:val="16"/>
                <w:szCs w:val="16"/>
                <w:color w:val="auto"/>
              </w:rPr>
            </w:pPr>
          </w:p>
        </w:tc>
        <w:tc>
          <w:tcPr>
            <w:tcW w:w="980" w:type="dxa"/>
            <w:vAlign w:val="bottom"/>
            <w:tcBorders>
              <w:top w:val="single" w:sz="8" w:color="auto"/>
            </w:tcBorders>
          </w:tcPr>
          <w:p>
            <w:pPr>
              <w:jc w:val="right"/>
              <w:ind w:right="100"/>
              <w:spacing w:after="0" w:line="193" w:lineRule="exact"/>
              <w:rPr>
                <w:sz w:val="20"/>
                <w:szCs w:val="20"/>
                <w:color w:val="auto"/>
              </w:rPr>
            </w:pPr>
            <w:r>
              <w:rPr>
                <w:rFonts w:ascii="Arial" w:cs="Arial" w:eastAsia="Arial" w:hAnsi="Arial"/>
                <w:sz w:val="18"/>
                <w:szCs w:val="18"/>
                <w:color w:val="auto"/>
              </w:rPr>
              <w:t>10.5%</w:t>
            </w:r>
          </w:p>
        </w:tc>
        <w:tc>
          <w:tcPr>
            <w:tcW w:w="440" w:type="dxa"/>
            <w:vAlign w:val="bottom"/>
          </w:tcPr>
          <w:p>
            <w:pPr>
              <w:spacing w:after="0"/>
              <w:rPr>
                <w:sz w:val="16"/>
                <w:szCs w:val="16"/>
                <w:color w:val="auto"/>
              </w:rPr>
            </w:pPr>
          </w:p>
        </w:tc>
        <w:tc>
          <w:tcPr>
            <w:tcW w:w="1040" w:type="dxa"/>
            <w:vAlign w:val="bottom"/>
            <w:tcBorders>
              <w:top w:val="single" w:sz="8" w:color="auto"/>
            </w:tcBorders>
          </w:tcPr>
          <w:p>
            <w:pPr>
              <w:jc w:val="right"/>
              <w:ind w:right="223"/>
              <w:spacing w:after="0" w:line="193" w:lineRule="exact"/>
              <w:rPr>
                <w:sz w:val="20"/>
                <w:szCs w:val="20"/>
                <w:color w:val="auto"/>
              </w:rPr>
            </w:pPr>
            <w:r>
              <w:rPr>
                <w:rFonts w:ascii="Arial" w:cs="Arial" w:eastAsia="Arial" w:hAnsi="Arial"/>
                <w:sz w:val="18"/>
                <w:szCs w:val="18"/>
                <w:color w:val="auto"/>
              </w:rPr>
              <w:t>$81,653</w:t>
            </w:r>
          </w:p>
        </w:tc>
        <w:tc>
          <w:tcPr>
            <w:tcW w:w="420" w:type="dxa"/>
            <w:vAlign w:val="bottom"/>
          </w:tcPr>
          <w:p>
            <w:pPr>
              <w:spacing w:after="0"/>
              <w:rPr>
                <w:sz w:val="16"/>
                <w:szCs w:val="16"/>
                <w:color w:val="auto"/>
              </w:rPr>
            </w:pPr>
          </w:p>
        </w:tc>
        <w:tc>
          <w:tcPr>
            <w:tcW w:w="1200" w:type="dxa"/>
            <w:vAlign w:val="bottom"/>
            <w:tcBorders>
              <w:top w:val="single" w:sz="8" w:color="auto"/>
            </w:tcBorders>
          </w:tcPr>
          <w:p>
            <w:pPr>
              <w:jc w:val="right"/>
              <w:ind w:right="263"/>
              <w:spacing w:after="0" w:line="193" w:lineRule="exact"/>
              <w:rPr>
                <w:sz w:val="20"/>
                <w:szCs w:val="20"/>
                <w:color w:val="auto"/>
              </w:rPr>
            </w:pPr>
            <w:r>
              <w:rPr>
                <w:rFonts w:ascii="Arial" w:cs="Arial" w:eastAsia="Arial" w:hAnsi="Arial"/>
                <w:sz w:val="18"/>
                <w:szCs w:val="18"/>
                <w:color w:val="auto"/>
              </w:rPr>
              <w:t>$79,184</w:t>
            </w:r>
          </w:p>
        </w:tc>
        <w:tc>
          <w:tcPr>
            <w:tcW w:w="440" w:type="dxa"/>
            <w:vAlign w:val="bottom"/>
          </w:tcPr>
          <w:p>
            <w:pPr>
              <w:spacing w:after="0"/>
              <w:rPr>
                <w:sz w:val="16"/>
                <w:szCs w:val="16"/>
                <w:color w:val="auto"/>
              </w:rPr>
            </w:pPr>
          </w:p>
        </w:tc>
        <w:tc>
          <w:tcPr>
            <w:tcW w:w="880" w:type="dxa"/>
            <w:vAlign w:val="bottom"/>
            <w:tcBorders>
              <w:top w:val="single" w:sz="8" w:color="auto"/>
            </w:tcBorders>
          </w:tcPr>
          <w:p>
            <w:pPr>
              <w:jc w:val="right"/>
              <w:ind w:right="100"/>
              <w:spacing w:after="0" w:line="193" w:lineRule="exact"/>
              <w:rPr>
                <w:sz w:val="20"/>
                <w:szCs w:val="20"/>
                <w:color w:val="auto"/>
              </w:rPr>
            </w:pPr>
            <w:r>
              <w:rPr>
                <w:rFonts w:ascii="Arial" w:cs="Arial" w:eastAsia="Arial" w:hAnsi="Arial"/>
                <w:sz w:val="18"/>
                <w:szCs w:val="18"/>
                <w:color w:val="auto"/>
              </w:rPr>
              <w:t>3.1%</w:t>
            </w:r>
          </w:p>
        </w:tc>
      </w:tr>
      <w:tr>
        <w:trPr>
          <w:trHeight w:val="223"/>
        </w:trPr>
        <w:tc>
          <w:tcPr>
            <w:tcW w:w="2940" w:type="dxa"/>
            <w:vAlign w:val="bottom"/>
          </w:tcPr>
          <w:p>
            <w:pPr>
              <w:ind w:left="200"/>
              <w:spacing w:after="0"/>
              <w:rPr>
                <w:sz w:val="20"/>
                <w:szCs w:val="20"/>
                <w:color w:val="auto"/>
              </w:rPr>
            </w:pPr>
            <w:r>
              <w:rPr>
                <w:rFonts w:ascii="Arial" w:cs="Arial" w:eastAsia="Arial" w:hAnsi="Arial"/>
                <w:sz w:val="18"/>
                <w:szCs w:val="18"/>
                <w:color w:val="auto"/>
              </w:rPr>
              <w:t>% of net revenues</w:t>
            </w:r>
          </w:p>
        </w:tc>
        <w:tc>
          <w:tcPr>
            <w:tcW w:w="1040" w:type="dxa"/>
            <w:vAlign w:val="bottom"/>
          </w:tcPr>
          <w:p>
            <w:pPr>
              <w:jc w:val="right"/>
              <w:ind w:right="63"/>
              <w:spacing w:after="0"/>
              <w:rPr>
                <w:sz w:val="20"/>
                <w:szCs w:val="20"/>
                <w:color w:val="auto"/>
              </w:rPr>
            </w:pPr>
            <w:r>
              <w:rPr>
                <w:rFonts w:ascii="Arial" w:cs="Arial" w:eastAsia="Arial" w:hAnsi="Arial"/>
                <w:sz w:val="18"/>
                <w:szCs w:val="18"/>
                <w:color w:val="auto"/>
              </w:rPr>
              <w:t>16.2%</w:t>
            </w:r>
          </w:p>
        </w:tc>
        <w:tc>
          <w:tcPr>
            <w:tcW w:w="1620" w:type="dxa"/>
            <w:vAlign w:val="bottom"/>
            <w:gridSpan w:val="2"/>
          </w:tcPr>
          <w:p>
            <w:pPr>
              <w:jc w:val="right"/>
              <w:ind w:right="123"/>
              <w:spacing w:after="0"/>
              <w:rPr>
                <w:sz w:val="20"/>
                <w:szCs w:val="20"/>
                <w:color w:val="auto"/>
              </w:rPr>
            </w:pPr>
            <w:r>
              <w:rPr>
                <w:rFonts w:ascii="Arial" w:cs="Arial" w:eastAsia="Arial" w:hAnsi="Arial"/>
                <w:sz w:val="18"/>
                <w:szCs w:val="18"/>
                <w:color w:val="auto"/>
              </w:rPr>
              <w:t>15.6%</w:t>
            </w: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63"/>
              <w:spacing w:after="0"/>
              <w:rPr>
                <w:sz w:val="20"/>
                <w:szCs w:val="20"/>
                <w:color w:val="auto"/>
              </w:rPr>
            </w:pPr>
            <w:r>
              <w:rPr>
                <w:rFonts w:ascii="Arial" w:cs="Arial" w:eastAsia="Arial" w:hAnsi="Arial"/>
                <w:sz w:val="18"/>
                <w:szCs w:val="18"/>
                <w:color w:val="auto"/>
              </w:rPr>
              <w:t>16.1%</w:t>
            </w:r>
          </w:p>
        </w:tc>
        <w:tc>
          <w:tcPr>
            <w:tcW w:w="1620" w:type="dxa"/>
            <w:vAlign w:val="bottom"/>
            <w:gridSpan w:val="2"/>
          </w:tcPr>
          <w:p>
            <w:pPr>
              <w:jc w:val="right"/>
              <w:ind w:right="123"/>
              <w:spacing w:after="0"/>
              <w:rPr>
                <w:sz w:val="20"/>
                <w:szCs w:val="20"/>
                <w:color w:val="auto"/>
              </w:rPr>
            </w:pPr>
            <w:r>
              <w:rPr>
                <w:rFonts w:ascii="Arial" w:cs="Arial" w:eastAsia="Arial" w:hAnsi="Arial"/>
                <w:sz w:val="18"/>
                <w:szCs w:val="18"/>
                <w:color w:val="auto"/>
              </w:rPr>
              <w:t>16.6%</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spacing w:after="0" w:line="95"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Operating income increased 10.5% and 3.1% for the third quarter and the first nine months of fiscal year 2011, respectively, over the comparable periods of fiscal year 2010. Foreign exchange accounted for an increase of 3.9% and a decrease of 3.5% for the quarter and nine months. Without the effects of foreign exchange, operating income increased 6.6% for both the third quarter and first nine months of fiscal year 2011. Our emerging international markets and software business continue to be significant contributors to the improvement in operating income, partially offset by additional spending largely associated with our acquisitions and their integration.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(expense)/income, net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w w:val="95"/>
              </w:rPr>
              <w:t>For the three months ended</w:t>
            </w:r>
          </w:p>
        </w:tc>
        <w:tc>
          <w:tcPr>
            <w:tcW w:w="66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w w:val="95"/>
              </w:rPr>
              <w:t>For the nine months ended</w:t>
            </w:r>
          </w:p>
        </w:tc>
        <w:tc>
          <w:tcPr>
            <w:tcW w:w="66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1040" w:type="dxa"/>
            <w:vAlign w:val="bottom"/>
            <w:tcBorders>
              <w:top w:val="single" w:sz="8" w:color="auto"/>
            </w:tcBorders>
            <w:gridSpan w:val="3"/>
          </w:tcPr>
          <w:p>
            <w:pPr>
              <w:ind w:left="20"/>
              <w:spacing w:after="0" w:line="117" w:lineRule="exact"/>
              <w:rPr>
                <w:sz w:val="20"/>
                <w:szCs w:val="20"/>
                <w:color w:val="auto"/>
              </w:rPr>
            </w:pPr>
            <w:r>
              <w:rPr>
                <w:rFonts w:ascii="Arial" w:cs="Arial" w:eastAsia="Arial" w:hAnsi="Arial"/>
                <w:sz w:val="13"/>
                <w:szCs w:val="13"/>
                <w:b w:val="1"/>
                <w:bCs w:val="1"/>
                <w:color w:val="auto"/>
              </w:rPr>
              <w:t>January 1,</w:t>
            </w:r>
          </w:p>
        </w:tc>
        <w:tc>
          <w:tcPr>
            <w:tcW w:w="1140" w:type="dxa"/>
            <w:vAlign w:val="bottom"/>
            <w:tcBorders>
              <w:top w:val="single" w:sz="8" w:color="auto"/>
            </w:tcBorders>
            <w:gridSpan w:val="3"/>
          </w:tcPr>
          <w:p>
            <w:pPr>
              <w:ind w:left="320"/>
              <w:spacing w:after="0" w:line="117" w:lineRule="exact"/>
              <w:rPr>
                <w:sz w:val="20"/>
                <w:szCs w:val="20"/>
                <w:color w:val="auto"/>
              </w:rPr>
            </w:pPr>
            <w:r>
              <w:rPr>
                <w:rFonts w:ascii="Arial" w:cs="Arial" w:eastAsia="Arial" w:hAnsi="Arial"/>
                <w:sz w:val="13"/>
                <w:szCs w:val="13"/>
                <w:b w:val="1"/>
                <w:bCs w:val="1"/>
                <w:color w:val="auto"/>
                <w:w w:val="94"/>
              </w:rPr>
              <w:t>December 26,</w:t>
            </w:r>
          </w:p>
        </w:tc>
        <w:tc>
          <w:tcPr>
            <w:tcW w:w="6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Borders>
              <w:top w:val="single" w:sz="8" w:color="auto"/>
            </w:tcBorders>
            <w:gridSpan w:val="3"/>
          </w:tcPr>
          <w:p>
            <w:pPr>
              <w:ind w:left="20"/>
              <w:spacing w:after="0" w:line="117" w:lineRule="exact"/>
              <w:rPr>
                <w:sz w:val="20"/>
                <w:szCs w:val="20"/>
                <w:color w:val="auto"/>
              </w:rPr>
            </w:pPr>
            <w:r>
              <w:rPr>
                <w:rFonts w:ascii="Arial" w:cs="Arial" w:eastAsia="Arial" w:hAnsi="Arial"/>
                <w:sz w:val="13"/>
                <w:szCs w:val="13"/>
                <w:b w:val="1"/>
                <w:bCs w:val="1"/>
                <w:color w:val="auto"/>
              </w:rPr>
              <w:t>January 1,</w:t>
            </w:r>
          </w:p>
        </w:tc>
        <w:tc>
          <w:tcPr>
            <w:tcW w:w="1120" w:type="dxa"/>
            <w:vAlign w:val="bottom"/>
            <w:tcBorders>
              <w:top w:val="single" w:sz="8" w:color="auto"/>
            </w:tcBorders>
            <w:gridSpan w:val="3"/>
          </w:tcPr>
          <w:p>
            <w:pPr>
              <w:ind w:left="300"/>
              <w:spacing w:after="0" w:line="117" w:lineRule="exact"/>
              <w:rPr>
                <w:sz w:val="20"/>
                <w:szCs w:val="20"/>
                <w:color w:val="auto"/>
              </w:rPr>
            </w:pPr>
            <w:r>
              <w:rPr>
                <w:rFonts w:ascii="Arial" w:cs="Arial" w:eastAsia="Arial" w:hAnsi="Arial"/>
                <w:sz w:val="13"/>
                <w:szCs w:val="13"/>
                <w:b w:val="1"/>
                <w:bCs w:val="1"/>
                <w:color w:val="auto"/>
                <w:w w:val="94"/>
              </w:rPr>
              <w:t>December 26,</w:t>
            </w:r>
          </w:p>
        </w:tc>
        <w:tc>
          <w:tcPr>
            <w:tcW w:w="6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5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6"/>
              </w:rPr>
              <w:t>2011</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5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line="206" w:lineRule="exact"/>
              <w:rPr>
                <w:sz w:val="20"/>
                <w:szCs w:val="20"/>
                <w:color w:val="auto"/>
              </w:rPr>
            </w:pPr>
            <w:r>
              <w:rPr>
                <w:rFonts w:ascii="Arial" w:cs="Arial" w:eastAsia="Arial" w:hAnsi="Arial"/>
                <w:sz w:val="18"/>
                <w:szCs w:val="18"/>
                <w:color w:val="auto"/>
              </w:rPr>
              <w:t>(111)</w:t>
            </w:r>
          </w:p>
        </w:tc>
        <w:tc>
          <w:tcPr>
            <w:tcW w:w="500" w:type="dxa"/>
            <w:vAlign w:val="bottom"/>
            <w:gridSpan w:val="2"/>
            <w:shd w:val="clear" w:color="auto" w:fill="CCEEFF"/>
          </w:tcPr>
          <w:p>
            <w:pPr>
              <w:ind w:left="320"/>
              <w:spacing w:after="0" w:line="20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line="206" w:lineRule="exact"/>
              <w:rPr>
                <w:sz w:val="20"/>
                <w:szCs w:val="20"/>
                <w:color w:val="auto"/>
              </w:rPr>
            </w:pPr>
            <w:r>
              <w:rPr>
                <w:rFonts w:ascii="Arial" w:cs="Arial" w:eastAsia="Arial" w:hAnsi="Arial"/>
                <w:sz w:val="18"/>
                <w:szCs w:val="18"/>
                <w:color w:val="auto"/>
              </w:rPr>
              <w:t>(248)</w:t>
            </w: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60"/>
              <w:spacing w:after="0" w:line="20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99</w:t>
            </w:r>
          </w:p>
        </w:tc>
        <w:tc>
          <w:tcPr>
            <w:tcW w:w="3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300"/>
              <w:spacing w:after="0" w:line="20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0"/>
              <w:spacing w:after="0" w:line="206" w:lineRule="exact"/>
              <w:rPr>
                <w:sz w:val="20"/>
                <w:szCs w:val="20"/>
                <w:color w:val="auto"/>
              </w:rPr>
            </w:pPr>
            <w:r>
              <w:rPr>
                <w:rFonts w:ascii="Arial" w:cs="Arial" w:eastAsia="Arial" w:hAnsi="Arial"/>
                <w:sz w:val="18"/>
                <w:szCs w:val="18"/>
                <w:color w:val="auto"/>
              </w:rPr>
              <w:t>(722)</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2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91</w:t>
            </w:r>
          </w:p>
        </w:tc>
        <w:tc>
          <w:tcPr>
            <w:tcW w:w="360" w:type="dxa"/>
            <w:vAlign w:val="bottom"/>
          </w:tcPr>
          <w:p>
            <w:pPr>
              <w:spacing w:after="0"/>
              <w:rPr>
                <w:sz w:val="18"/>
                <w:szCs w:val="18"/>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56</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301</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309</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(266)</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(1,389)</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8"/>
                <w:szCs w:val="18"/>
                <w:color w:val="auto"/>
              </w:rPr>
              <w:t>Total other income, net</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27.7%</w:t>
            </w: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line="20" w:lineRule="exact"/>
              <w:rPr>
                <w:sz w:val="1"/>
                <w:szCs w:val="1"/>
                <w:color w:val="auto"/>
              </w:rPr>
            </w:pPr>
          </w:p>
        </w:tc>
      </w:tr>
      <w:tr>
        <w:trPr>
          <w:trHeight w:val="218"/>
        </w:trPr>
        <w:tc>
          <w:tcPr>
            <w:tcW w:w="352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(585)</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(458)</w:t>
            </w:r>
          </w:p>
        </w:tc>
        <w:tc>
          <w:tcPr>
            <w:tcW w:w="1100" w:type="dxa"/>
            <w:vAlign w:val="bottom"/>
            <w:gridSpan w:val="2"/>
            <w:vMerge w:val="continue"/>
          </w:tcPr>
          <w:p>
            <w:pPr>
              <w:spacing w:after="0"/>
              <w:rPr>
                <w:sz w:val="18"/>
                <w:szCs w:val="18"/>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(144)</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(1,802)</w:t>
            </w: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Total other expense, net increased by 27.7% and decreased 92.0% for the third quarter and first nine months of fiscal year 2011, respectively, as compared to the same periods of fiscal year 2010. The primary reason for the increase in the quarter is an increase in foreign exchange transaction losses on foreign currency denominated assets. The primary reasons for the decrease during the first nine months of fiscal year 2011 are the reduction in foreign currency losses on foreign currency assets, when comparing the same period of fiscal year 2010, and the reversal of interest expense on contingent consideration related to the Neoteric acquisition.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160" w:type="dxa"/>
            <w:vAlign w:val="bottom"/>
          </w:tcPr>
          <w:p>
            <w:pPr>
              <w:spacing w:after="0"/>
              <w:rPr>
                <w:sz w:val="14"/>
                <w:szCs w:val="14"/>
                <w:color w:val="auto"/>
              </w:rPr>
            </w:pPr>
          </w:p>
        </w:tc>
        <w:tc>
          <w:tcPr>
            <w:tcW w:w="25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For the nine months ended</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17"/>
        </w:trPr>
        <w:tc>
          <w:tcPr>
            <w:tcW w:w="3160" w:type="dxa"/>
            <w:vAlign w:val="bottom"/>
          </w:tcPr>
          <w:p>
            <w:pPr>
              <w:spacing w:after="0"/>
              <w:rPr>
                <w:sz w:val="10"/>
                <w:szCs w:val="10"/>
                <w:color w:val="auto"/>
              </w:rPr>
            </w:pPr>
          </w:p>
        </w:tc>
        <w:tc>
          <w:tcPr>
            <w:tcW w:w="980" w:type="dxa"/>
            <w:vAlign w:val="bottom"/>
          </w:tcPr>
          <w:p>
            <w:pPr>
              <w:ind w:left="180"/>
              <w:spacing w:after="0" w:line="117" w:lineRule="exact"/>
              <w:rPr>
                <w:sz w:val="20"/>
                <w:szCs w:val="20"/>
                <w:color w:val="auto"/>
              </w:rPr>
            </w:pPr>
            <w:r>
              <w:rPr>
                <w:rFonts w:ascii="Arial" w:cs="Arial" w:eastAsia="Arial" w:hAnsi="Arial"/>
                <w:sz w:val="13"/>
                <w:szCs w:val="13"/>
                <w:b w:val="1"/>
                <w:bCs w:val="1"/>
                <w:color w:val="auto"/>
              </w:rPr>
              <w:t>January 1,</w:t>
            </w:r>
          </w:p>
        </w:tc>
        <w:tc>
          <w:tcPr>
            <w:tcW w:w="480" w:type="dxa"/>
            <w:vAlign w:val="bottom"/>
          </w:tcPr>
          <w:p>
            <w:pPr>
              <w:spacing w:after="0"/>
              <w:rPr>
                <w:sz w:val="10"/>
                <w:szCs w:val="10"/>
                <w:color w:val="auto"/>
              </w:rPr>
            </w:pPr>
          </w:p>
        </w:tc>
        <w:tc>
          <w:tcPr>
            <w:tcW w:w="1040" w:type="dxa"/>
            <w:vAlign w:val="bottom"/>
          </w:tcPr>
          <w:p>
            <w:pPr>
              <w:ind w:left="100"/>
              <w:spacing w:after="0" w:line="117" w:lineRule="exact"/>
              <w:rPr>
                <w:sz w:val="20"/>
                <w:szCs w:val="20"/>
                <w:color w:val="auto"/>
              </w:rPr>
            </w:pPr>
            <w:r>
              <w:rPr>
                <w:rFonts w:ascii="Arial" w:cs="Arial" w:eastAsia="Arial" w:hAnsi="Arial"/>
                <w:sz w:val="13"/>
                <w:szCs w:val="13"/>
                <w:b w:val="1"/>
                <w:bCs w:val="1"/>
                <w:color w:val="auto"/>
              </w:rPr>
              <w:t>December 26,</w:t>
            </w: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ind w:left="160"/>
              <w:spacing w:after="0" w:line="117" w:lineRule="exact"/>
              <w:rPr>
                <w:sz w:val="20"/>
                <w:szCs w:val="20"/>
                <w:color w:val="auto"/>
              </w:rPr>
            </w:pPr>
            <w:r>
              <w:rPr>
                <w:rFonts w:ascii="Arial" w:cs="Arial" w:eastAsia="Arial" w:hAnsi="Arial"/>
                <w:sz w:val="13"/>
                <w:szCs w:val="13"/>
                <w:b w:val="1"/>
                <w:bCs w:val="1"/>
                <w:color w:val="auto"/>
              </w:rPr>
              <w:t>January 1,</w:t>
            </w:r>
          </w:p>
        </w:tc>
        <w:tc>
          <w:tcPr>
            <w:tcW w:w="480" w:type="dxa"/>
            <w:vAlign w:val="bottom"/>
          </w:tcPr>
          <w:p>
            <w:pPr>
              <w:spacing w:after="0"/>
              <w:rPr>
                <w:sz w:val="10"/>
                <w:szCs w:val="10"/>
                <w:color w:val="auto"/>
              </w:rPr>
            </w:pPr>
          </w:p>
        </w:tc>
        <w:tc>
          <w:tcPr>
            <w:tcW w:w="1020" w:type="dxa"/>
            <w:vAlign w:val="bottom"/>
          </w:tcPr>
          <w:p>
            <w:pPr>
              <w:ind w:left="100"/>
              <w:spacing w:after="0" w:line="117" w:lineRule="exact"/>
              <w:rPr>
                <w:sz w:val="20"/>
                <w:szCs w:val="20"/>
                <w:color w:val="auto"/>
              </w:rPr>
            </w:pPr>
            <w:r>
              <w:rPr>
                <w:rFonts w:ascii="Arial" w:cs="Arial" w:eastAsia="Arial" w:hAnsi="Arial"/>
                <w:sz w:val="13"/>
                <w:szCs w:val="13"/>
                <w:b w:val="1"/>
                <w:bCs w:val="1"/>
                <w:color w:val="auto"/>
              </w:rPr>
              <w:t>December 26,</w:t>
            </w:r>
          </w:p>
        </w:tc>
        <w:tc>
          <w:tcPr>
            <w:tcW w:w="4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68"/>
        </w:trPr>
        <w:tc>
          <w:tcPr>
            <w:tcW w:w="31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ind w:left="360"/>
              <w:spacing w:after="0"/>
              <w:rPr>
                <w:sz w:val="20"/>
                <w:szCs w:val="20"/>
                <w:color w:val="auto"/>
              </w:rPr>
            </w:pPr>
            <w:r>
              <w:rPr>
                <w:rFonts w:ascii="Arial" w:cs="Arial" w:eastAsia="Arial" w:hAnsi="Arial"/>
                <w:sz w:val="14"/>
                <w:szCs w:val="14"/>
                <w:b w:val="1"/>
                <w:bCs w:val="1"/>
                <w:color w:val="auto"/>
              </w:rPr>
              <w:t>2011</w:t>
            </w:r>
          </w:p>
        </w:tc>
        <w:tc>
          <w:tcPr>
            <w:tcW w:w="1520" w:type="dxa"/>
            <w:vAlign w:val="bottom"/>
            <w:gridSpan w:val="2"/>
          </w:tcPr>
          <w:p>
            <w:pPr>
              <w:ind w:left="860"/>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 Increase</w:t>
            </w:r>
          </w:p>
        </w:tc>
        <w:tc>
          <w:tcPr>
            <w:tcW w:w="980" w:type="dxa"/>
            <w:vAlign w:val="bottom"/>
          </w:tcPr>
          <w:p>
            <w:pPr>
              <w:ind w:left="360"/>
              <w:spacing w:after="0"/>
              <w:rPr>
                <w:sz w:val="20"/>
                <w:szCs w:val="20"/>
                <w:color w:val="auto"/>
              </w:rPr>
            </w:pPr>
            <w:r>
              <w:rPr>
                <w:rFonts w:ascii="Arial" w:cs="Arial" w:eastAsia="Arial" w:hAnsi="Arial"/>
                <w:sz w:val="14"/>
                <w:szCs w:val="14"/>
                <w:b w:val="1"/>
                <w:bCs w:val="1"/>
                <w:color w:val="auto"/>
              </w:rPr>
              <w:t>2011</w:t>
            </w:r>
          </w:p>
        </w:tc>
        <w:tc>
          <w:tcPr>
            <w:tcW w:w="1500" w:type="dxa"/>
            <w:vAlign w:val="bottom"/>
            <w:gridSpan w:val="2"/>
          </w:tcPr>
          <w:p>
            <w:pPr>
              <w:ind w:left="860"/>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960" w:type="dxa"/>
            <w:vAlign w:val="bottom"/>
          </w:tcPr>
          <w:p>
            <w:pPr>
              <w:jc w:val="right"/>
              <w:ind w:righ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Decrease</w:t>
            </w:r>
          </w:p>
        </w:tc>
      </w:tr>
      <w:tr>
        <w:trPr>
          <w:trHeight w:val="217"/>
        </w:trPr>
        <w:tc>
          <w:tcPr>
            <w:tcW w:w="3160" w:type="dxa"/>
            <w:vAlign w:val="bottom"/>
          </w:tcPr>
          <w:p>
            <w:pPr>
              <w:spacing w:after="0" w:line="204" w:lineRule="exact"/>
              <w:rPr>
                <w:sz w:val="20"/>
                <w:szCs w:val="20"/>
                <w:color w:val="auto"/>
              </w:rPr>
            </w:pPr>
            <w:r>
              <w:rPr>
                <w:rFonts w:ascii="Arial" w:cs="Arial" w:eastAsia="Arial" w:hAnsi="Arial"/>
                <w:sz w:val="18"/>
                <w:szCs w:val="18"/>
                <w:color w:val="auto"/>
              </w:rPr>
              <w:t>Reported income tax rate</w:t>
            </w:r>
          </w:p>
        </w:tc>
        <w:tc>
          <w:tcPr>
            <w:tcW w:w="98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29.5%</w:t>
            </w:r>
          </w:p>
        </w:tc>
        <w:tc>
          <w:tcPr>
            <w:tcW w:w="480" w:type="dxa"/>
            <w:vAlign w:val="bottom"/>
          </w:tcPr>
          <w:p>
            <w:pPr>
              <w:spacing w:after="0"/>
              <w:rPr>
                <w:sz w:val="18"/>
                <w:szCs w:val="18"/>
                <w:color w:val="auto"/>
              </w:rPr>
            </w:pPr>
          </w:p>
        </w:tc>
        <w:tc>
          <w:tcPr>
            <w:tcW w:w="10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27.9%</w:t>
            </w:r>
          </w:p>
        </w:tc>
        <w:tc>
          <w:tcPr>
            <w:tcW w:w="480" w:type="dxa"/>
            <w:vAlign w:val="bottom"/>
          </w:tcPr>
          <w:p>
            <w:pPr>
              <w:spacing w:after="0"/>
              <w:rPr>
                <w:sz w:val="18"/>
                <w:szCs w:val="18"/>
                <w:color w:val="auto"/>
              </w:rPr>
            </w:pPr>
          </w:p>
        </w:tc>
        <w:tc>
          <w:tcPr>
            <w:tcW w:w="880" w:type="dxa"/>
            <w:vAlign w:val="bottom"/>
            <w:tcBorders>
              <w:top w:val="single" w:sz="8" w:color="auto"/>
            </w:tcBorders>
          </w:tcPr>
          <w:p>
            <w:pPr>
              <w:jc w:val="right"/>
              <w:ind w:right="100"/>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18"/>
                <w:szCs w:val="18"/>
                <w:color w:val="auto"/>
              </w:rPr>
            </w:pPr>
          </w:p>
        </w:tc>
        <w:tc>
          <w:tcPr>
            <w:tcW w:w="98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27.6%</w:t>
            </w:r>
          </w:p>
        </w:tc>
        <w:tc>
          <w:tcPr>
            <w:tcW w:w="480" w:type="dxa"/>
            <w:vAlign w:val="bottom"/>
          </w:tcPr>
          <w:p>
            <w:pPr>
              <w:spacing w:after="0"/>
              <w:rPr>
                <w:sz w:val="18"/>
                <w:szCs w:val="18"/>
                <w:color w:val="auto"/>
              </w:rPr>
            </w:pPr>
          </w:p>
        </w:tc>
        <w:tc>
          <w:tcPr>
            <w:tcW w:w="10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29.7%</w:t>
            </w:r>
          </w:p>
        </w:tc>
        <w:tc>
          <w:tcPr>
            <w:tcW w:w="480" w:type="dxa"/>
            <w:vAlign w:val="bottom"/>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(2.1%)</w:t>
            </w:r>
          </w:p>
        </w:tc>
      </w:tr>
    </w:tbl>
    <w:p>
      <w:pPr>
        <w:spacing w:after="0" w:line="82"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Our reported tax rate includes two principal components: an expected effective annual tax rate and discrete items resulting in additional provisions or benefits that are recorded in the quarter that an event arises or is resolved. Events or items that give rise to discrete recognition include finalizing audit examinations for open tax years, a statute of limitation’s expiration, or a change in the statutory tax rate. We are a global company with operations in various locations outside the U.S., accordingly, the consolidated income tax rate is a composite rate reflecting the earnings in the various locations and the applicable rates.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reported tax rate was 29.5% for the quarter ended January 1, 2011. The reported tax rate includes:</w:t>
      </w:r>
    </w:p>
    <w:p>
      <w:pPr>
        <w:spacing w:after="0" w:line="111" w:lineRule="exact"/>
        <w:rPr>
          <w:sz w:val="20"/>
          <w:szCs w:val="20"/>
          <w:color w:val="auto"/>
        </w:rPr>
      </w:pPr>
    </w:p>
    <w:p>
      <w:pPr>
        <w:ind w:left="220" w:right="540" w:hanging="214"/>
        <w:spacing w:after="0" w:line="366" w:lineRule="auto"/>
        <w:tabs>
          <w:tab w:leader="none" w:pos="220" w:val="left"/>
        </w:tabs>
        <w:numPr>
          <w:ilvl w:val="0"/>
          <w:numId w:val="13"/>
        </w:numPr>
        <w:rPr>
          <w:rFonts w:ascii="Arial" w:cs="Arial" w:eastAsia="Arial" w:hAnsi="Arial"/>
          <w:sz w:val="15"/>
          <w:szCs w:val="15"/>
          <w:b w:val="1"/>
          <w:bCs w:val="1"/>
          <w:color w:val="auto"/>
        </w:rPr>
      </w:pPr>
      <w:r>
        <w:rPr>
          <w:rFonts w:ascii="Arial" w:cs="Arial" w:eastAsia="Arial" w:hAnsi="Arial"/>
          <w:sz w:val="15"/>
          <w:szCs w:val="15"/>
          <w:color w:val="auto"/>
        </w:rPr>
        <w:t>a 29.6% expected effective annual tax rate which reflects tax benefits from foreign taxes (including our Swiss principal) and a domestic manufacturing deduction, partly offset by the state income tax provision and stock compensation expenses not deductible in all jurisdictions; and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net discrete items: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left="220" w:hanging="214"/>
        <w:spacing w:after="0"/>
        <w:tabs>
          <w:tab w:leader="none" w:pos="2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 $0.4 million increase in tax expense from previously accrued income taxes because of the finalization of our federal tax return,</w:t>
      </w:r>
    </w:p>
    <w:p>
      <w:pPr>
        <w:spacing w:after="0" w:line="111" w:lineRule="exact"/>
        <w:rPr>
          <w:rFonts w:ascii="Arial" w:cs="Arial" w:eastAsia="Arial" w:hAnsi="Arial"/>
          <w:sz w:val="18"/>
          <w:szCs w:val="18"/>
          <w:b w:val="1"/>
          <w:bCs w:val="1"/>
          <w:color w:val="auto"/>
        </w:rPr>
      </w:pPr>
    </w:p>
    <w:p>
      <w:pPr>
        <w:ind w:left="220" w:hanging="214"/>
        <w:spacing w:after="0"/>
        <w:tabs>
          <w:tab w:leader="none" w:pos="22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a $0.5 million net increase in tax expense for the establishment of reserves for potential foreign tax audits and the expiration of foreign tax statutes,</w:t>
      </w:r>
    </w:p>
    <w:p>
      <w:pPr>
        <w:spacing w:after="0" w:line="122" w:lineRule="exact"/>
        <w:rPr>
          <w:rFonts w:ascii="Arial" w:cs="Arial" w:eastAsia="Arial" w:hAnsi="Arial"/>
          <w:sz w:val="17"/>
          <w:szCs w:val="17"/>
          <w:b w:val="1"/>
          <w:bCs w:val="1"/>
          <w:color w:val="auto"/>
        </w:rPr>
      </w:pPr>
    </w:p>
    <w:p>
      <w:pPr>
        <w:ind w:left="220" w:hanging="214"/>
        <w:spacing w:after="0"/>
        <w:tabs>
          <w:tab w:leader="none" w:pos="2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 $0.5 million benefit from the remittance of earnings from foreign subsidiaries,</w:t>
      </w:r>
    </w:p>
    <w:p>
      <w:pPr>
        <w:spacing w:after="0" w:line="111" w:lineRule="exact"/>
        <w:rPr>
          <w:rFonts w:ascii="Arial" w:cs="Arial" w:eastAsia="Arial" w:hAnsi="Arial"/>
          <w:sz w:val="18"/>
          <w:szCs w:val="18"/>
          <w:b w:val="1"/>
          <w:bCs w:val="1"/>
          <w:color w:val="auto"/>
        </w:rPr>
      </w:pPr>
    </w:p>
    <w:p>
      <w:pPr>
        <w:ind w:left="220" w:hanging="214"/>
        <w:spacing w:after="0"/>
        <w:tabs>
          <w:tab w:leader="none" w:pos="2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 $0.3 million benefit from the reinstatement of the U.S. Federal Research and Development Credit.</w:t>
      </w:r>
    </w:p>
    <w:p>
      <w:pPr>
        <w:spacing w:after="0" w:line="11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The reported tax rate was 27.9% for the quarter ended December 26, 2009. The reported tax rate included our expected annual effective tax rate of 30.2%, comprised of the U.S. federal statutory rate of 35.0% reduced by tax benefits from foreign taxes (including our Swiss principal), full utilization of the foreign tax gross-up associated with a fiscal year 2010 dividend from Japan, and a domestic manufacturing deduction, partly offset by the state tax provision, stock compensation expenses not deductible in all jurisdictions, and the net discrete items of a $0.1 million benefit from the expiration of various reserves, the fiscal year 2009 provision to return analysis, and foreign and state tax assessments.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reported tax rate was 27.6% for the nine months ended January 1, 2011. The reported tax rate includes:</w:t>
      </w:r>
    </w:p>
    <w:p>
      <w:pPr>
        <w:spacing w:after="0" w:line="111" w:lineRule="exact"/>
        <w:rPr>
          <w:sz w:val="20"/>
          <w:szCs w:val="20"/>
          <w:color w:val="auto"/>
        </w:rPr>
      </w:pPr>
    </w:p>
    <w:p>
      <w:pPr>
        <w:ind w:left="220" w:right="540" w:hanging="214"/>
        <w:spacing w:after="0" w:line="366" w:lineRule="auto"/>
        <w:tabs>
          <w:tab w:leader="none" w:pos="220" w:val="left"/>
        </w:tabs>
        <w:numPr>
          <w:ilvl w:val="0"/>
          <w:numId w:val="15"/>
        </w:numPr>
        <w:rPr>
          <w:rFonts w:ascii="Arial" w:cs="Arial" w:eastAsia="Arial" w:hAnsi="Arial"/>
          <w:sz w:val="15"/>
          <w:szCs w:val="15"/>
          <w:b w:val="1"/>
          <w:bCs w:val="1"/>
          <w:color w:val="auto"/>
        </w:rPr>
      </w:pPr>
      <w:r>
        <w:rPr>
          <w:rFonts w:ascii="Arial" w:cs="Arial" w:eastAsia="Arial" w:hAnsi="Arial"/>
          <w:sz w:val="15"/>
          <w:szCs w:val="15"/>
          <w:color w:val="auto"/>
        </w:rPr>
        <w:t>a 29.6% expected effective annual tax rate which reflects tax benefits from foreign taxes (including our Swiss principal) and a domestic manufacturing deduction, partly offset by the state income tax provision and stock compensation expenses not deductible in all jurisdictions; and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items referenced above in the discussion of our third quarter results, earlier periods included the following net discrete items:</w:t>
      </w:r>
    </w:p>
    <w:p>
      <w:pPr>
        <w:spacing w:after="0" w:line="111" w:lineRule="exact"/>
        <w:rPr>
          <w:sz w:val="20"/>
          <w:szCs w:val="20"/>
          <w:color w:val="auto"/>
        </w:rPr>
      </w:pPr>
    </w:p>
    <w:p>
      <w:pPr>
        <w:ind w:left="220" w:hanging="214"/>
        <w:spacing w:after="0"/>
        <w:tabs>
          <w:tab w:leader="none" w:pos="2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 $0.6 million benefit from the contingent consideration income that is not taxable,</w:t>
      </w:r>
    </w:p>
    <w:p>
      <w:pPr>
        <w:spacing w:after="0" w:line="111" w:lineRule="exact"/>
        <w:rPr>
          <w:rFonts w:ascii="Arial" w:cs="Arial" w:eastAsia="Arial" w:hAnsi="Arial"/>
          <w:sz w:val="18"/>
          <w:szCs w:val="18"/>
          <w:b w:val="1"/>
          <w:bCs w:val="1"/>
          <w:color w:val="auto"/>
        </w:rPr>
      </w:pPr>
    </w:p>
    <w:p>
      <w:pPr>
        <w:ind w:left="220" w:hanging="214"/>
        <w:spacing w:after="0"/>
        <w:tabs>
          <w:tab w:leader="none" w:pos="2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 $0.3 million benefit from the release of a transfer price reserve after completion of the fiscal year 2010 global transfer study,</w:t>
      </w:r>
    </w:p>
    <w:p>
      <w:pPr>
        <w:spacing w:after="0" w:line="111" w:lineRule="exact"/>
        <w:rPr>
          <w:rFonts w:ascii="Arial" w:cs="Arial" w:eastAsia="Arial" w:hAnsi="Arial"/>
          <w:sz w:val="18"/>
          <w:szCs w:val="18"/>
          <w:b w:val="1"/>
          <w:bCs w:val="1"/>
          <w:color w:val="auto"/>
        </w:rPr>
      </w:pPr>
    </w:p>
    <w:p>
      <w:pPr>
        <w:ind w:left="220" w:hanging="214"/>
        <w:spacing w:after="0"/>
        <w:tabs>
          <w:tab w:leader="none" w:pos="2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 $0.8 million benefit from the Swiss principal ruling,</w:t>
      </w:r>
    </w:p>
    <w:p>
      <w:pPr>
        <w:spacing w:after="0" w:line="111"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The reported tax rate was 29.7% for the nine months ended December 26, 2009. The reported tax rate includes our expected effective annual tax rate of 30.2%, comprised of the U.S. federal statutory tax rate of 35.0% reduced by tax benefits from foreign taxes (including our Swiss principal) and a domestic manufacturing deduction, plus the state tax provision, and stock compensation expenses not deductible in all jurisdictions.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44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13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January 1, 2011</w:t>
            </w:r>
          </w:p>
        </w:tc>
        <w:tc>
          <w:tcPr>
            <w:tcW w:w="360" w:type="dxa"/>
            <w:vAlign w:val="bottom"/>
          </w:tcPr>
          <w:p>
            <w:pPr>
              <w:spacing w:after="0"/>
              <w:rPr>
                <w:sz w:val="14"/>
                <w:szCs w:val="14"/>
                <w:color w:val="auto"/>
              </w:rPr>
            </w:pPr>
          </w:p>
        </w:tc>
        <w:tc>
          <w:tcPr>
            <w:tcW w:w="12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April 3, 2010</w:t>
            </w:r>
          </w:p>
        </w:tc>
      </w:tr>
      <w:tr>
        <w:trPr>
          <w:trHeight w:val="205"/>
        </w:trPr>
        <w:tc>
          <w:tcPr>
            <w:tcW w:w="84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Cash &amp; cash equivalents</w:t>
            </w:r>
          </w:p>
        </w:tc>
        <w:tc>
          <w:tcPr>
            <w:tcW w:w="1380" w:type="dxa"/>
            <w:vAlign w:val="bottom"/>
            <w:shd w:val="clear" w:color="auto" w:fill="CCEEFF"/>
          </w:tcPr>
          <w:p>
            <w:pPr>
              <w:jc w:val="right"/>
              <w:ind w:right="314"/>
              <w:spacing w:after="0" w:line="206" w:lineRule="exact"/>
              <w:rPr>
                <w:sz w:val="20"/>
                <w:szCs w:val="20"/>
                <w:color w:val="auto"/>
              </w:rPr>
            </w:pPr>
            <w:r>
              <w:rPr>
                <w:rFonts w:ascii="Arial" w:cs="Arial" w:eastAsia="Arial" w:hAnsi="Arial"/>
                <w:sz w:val="18"/>
                <w:szCs w:val="18"/>
                <w:color w:val="auto"/>
              </w:rPr>
              <w:t>$169,538</w:t>
            </w:r>
          </w:p>
        </w:tc>
        <w:tc>
          <w:tcPr>
            <w:tcW w:w="1600" w:type="dxa"/>
            <w:vAlign w:val="bottom"/>
            <w:gridSpan w:val="2"/>
            <w:shd w:val="clear" w:color="auto" w:fill="CCEEFF"/>
          </w:tcPr>
          <w:p>
            <w:pPr>
              <w:jc w:val="right"/>
              <w:ind w:right="249"/>
              <w:spacing w:after="0" w:line="206" w:lineRule="exact"/>
              <w:rPr>
                <w:sz w:val="20"/>
                <w:szCs w:val="20"/>
                <w:color w:val="auto"/>
              </w:rPr>
            </w:pPr>
            <w:r>
              <w:rPr>
                <w:rFonts w:ascii="Arial" w:cs="Arial" w:eastAsia="Arial" w:hAnsi="Arial"/>
                <w:sz w:val="18"/>
                <w:szCs w:val="18"/>
                <w:color w:val="auto"/>
              </w:rPr>
              <w:t>$141,562</w:t>
            </w:r>
          </w:p>
        </w:tc>
      </w:tr>
      <w:tr>
        <w:trPr>
          <w:trHeight w:val="212"/>
        </w:trPr>
        <w:tc>
          <w:tcPr>
            <w:tcW w:w="8440" w:type="dxa"/>
            <w:vAlign w:val="bottom"/>
          </w:tcPr>
          <w:p>
            <w:pPr>
              <w:spacing w:after="0"/>
              <w:rPr>
                <w:sz w:val="20"/>
                <w:szCs w:val="20"/>
                <w:color w:val="auto"/>
              </w:rPr>
            </w:pPr>
            <w:r>
              <w:rPr>
                <w:rFonts w:ascii="Arial" w:cs="Arial" w:eastAsia="Arial" w:hAnsi="Arial"/>
                <w:sz w:val="18"/>
                <w:szCs w:val="18"/>
                <w:color w:val="auto"/>
              </w:rPr>
              <w:t>Working capital</w:t>
            </w:r>
          </w:p>
        </w:tc>
        <w:tc>
          <w:tcPr>
            <w:tcW w:w="1380" w:type="dxa"/>
            <w:vAlign w:val="bottom"/>
          </w:tcPr>
          <w:p>
            <w:pPr>
              <w:jc w:val="right"/>
              <w:ind w:right="314"/>
              <w:spacing w:after="0"/>
              <w:rPr>
                <w:sz w:val="20"/>
                <w:szCs w:val="20"/>
                <w:color w:val="auto"/>
              </w:rPr>
            </w:pPr>
            <w:r>
              <w:rPr>
                <w:rFonts w:ascii="Arial" w:cs="Arial" w:eastAsia="Arial" w:hAnsi="Arial"/>
                <w:sz w:val="18"/>
                <w:szCs w:val="18"/>
                <w:color w:val="auto"/>
              </w:rPr>
              <w:t>$300,487</w:t>
            </w:r>
          </w:p>
        </w:tc>
        <w:tc>
          <w:tcPr>
            <w:tcW w:w="1600" w:type="dxa"/>
            <w:vAlign w:val="bottom"/>
            <w:gridSpan w:val="2"/>
          </w:tcPr>
          <w:p>
            <w:pPr>
              <w:jc w:val="right"/>
              <w:ind w:right="249"/>
              <w:spacing w:after="0"/>
              <w:rPr>
                <w:sz w:val="20"/>
                <w:szCs w:val="20"/>
                <w:color w:val="auto"/>
              </w:rPr>
            </w:pPr>
            <w:r>
              <w:rPr>
                <w:rFonts w:ascii="Arial" w:cs="Arial" w:eastAsia="Arial" w:hAnsi="Arial"/>
                <w:sz w:val="18"/>
                <w:szCs w:val="18"/>
                <w:color w:val="auto"/>
              </w:rPr>
              <w:t>$250,973</w:t>
            </w:r>
          </w:p>
        </w:tc>
      </w:tr>
      <w:tr>
        <w:trPr>
          <w:trHeight w:val="212"/>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Current ratio</w:t>
            </w:r>
          </w:p>
        </w:tc>
        <w:tc>
          <w:tcPr>
            <w:tcW w:w="13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3.8</w:t>
            </w:r>
          </w:p>
        </w:tc>
        <w:tc>
          <w:tcPr>
            <w:tcW w:w="160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2.9</w:t>
            </w:r>
          </w:p>
        </w:tc>
      </w:tr>
      <w:tr>
        <w:trPr>
          <w:trHeight w:val="212"/>
        </w:trPr>
        <w:tc>
          <w:tcPr>
            <w:tcW w:w="8440" w:type="dxa"/>
            <w:vAlign w:val="bottom"/>
          </w:tcPr>
          <w:p>
            <w:pPr>
              <w:spacing w:after="0"/>
              <w:rPr>
                <w:sz w:val="20"/>
                <w:szCs w:val="20"/>
                <w:color w:val="auto"/>
              </w:rPr>
            </w:pPr>
            <w:r>
              <w:rPr>
                <w:rFonts w:ascii="Arial" w:cs="Arial" w:eastAsia="Arial" w:hAnsi="Arial"/>
                <w:sz w:val="18"/>
                <w:szCs w:val="18"/>
                <w:color w:val="auto"/>
              </w:rPr>
              <w:t>Net cash position (1)</w:t>
            </w:r>
          </w:p>
        </w:tc>
        <w:tc>
          <w:tcPr>
            <w:tcW w:w="1380" w:type="dxa"/>
            <w:vAlign w:val="bottom"/>
          </w:tcPr>
          <w:p>
            <w:pPr>
              <w:jc w:val="right"/>
              <w:ind w:right="314"/>
              <w:spacing w:after="0"/>
              <w:rPr>
                <w:sz w:val="20"/>
                <w:szCs w:val="20"/>
                <w:color w:val="auto"/>
              </w:rPr>
            </w:pPr>
            <w:r>
              <w:rPr>
                <w:rFonts w:ascii="Arial" w:cs="Arial" w:eastAsia="Arial" w:hAnsi="Arial"/>
                <w:sz w:val="18"/>
                <w:szCs w:val="18"/>
                <w:color w:val="auto"/>
              </w:rPr>
              <w:t>$157,100</w:t>
            </w:r>
          </w:p>
        </w:tc>
        <w:tc>
          <w:tcPr>
            <w:tcW w:w="1600" w:type="dxa"/>
            <w:vAlign w:val="bottom"/>
            <w:gridSpan w:val="2"/>
          </w:tcPr>
          <w:p>
            <w:pPr>
              <w:jc w:val="right"/>
              <w:ind w:right="249"/>
              <w:spacing w:after="0"/>
              <w:rPr>
                <w:sz w:val="20"/>
                <w:szCs w:val="20"/>
                <w:color w:val="auto"/>
              </w:rPr>
            </w:pPr>
            <w:r>
              <w:rPr>
                <w:rFonts w:ascii="Arial" w:cs="Arial" w:eastAsia="Arial" w:hAnsi="Arial"/>
                <w:sz w:val="18"/>
                <w:szCs w:val="18"/>
                <w:color w:val="auto"/>
              </w:rPr>
              <w:t>$120,911</w:t>
            </w:r>
          </w:p>
        </w:tc>
      </w:tr>
      <w:tr>
        <w:trPr>
          <w:trHeight w:val="212"/>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Days sales outstanding (DSO)</w:t>
            </w:r>
          </w:p>
        </w:tc>
        <w:tc>
          <w:tcPr>
            <w:tcW w:w="13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62</w:t>
            </w:r>
          </w:p>
        </w:tc>
        <w:tc>
          <w:tcPr>
            <w:tcW w:w="160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59</w:t>
            </w: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Disposables finished goods inventory turnover</w:t>
            </w:r>
          </w:p>
        </w:tc>
        <w:tc>
          <w:tcPr>
            <w:tcW w:w="1380" w:type="dxa"/>
            <w:vAlign w:val="bottom"/>
          </w:tcPr>
          <w:p>
            <w:pPr>
              <w:jc w:val="right"/>
              <w:ind w:right="314"/>
              <w:spacing w:after="0"/>
              <w:rPr>
                <w:sz w:val="20"/>
                <w:szCs w:val="20"/>
                <w:color w:val="auto"/>
              </w:rPr>
            </w:pPr>
            <w:r>
              <w:rPr>
                <w:rFonts w:ascii="Arial" w:cs="Arial" w:eastAsia="Arial" w:hAnsi="Arial"/>
                <w:sz w:val="18"/>
                <w:szCs w:val="18"/>
                <w:color w:val="auto"/>
              </w:rPr>
              <w:t>7.7</w:t>
            </w:r>
          </w:p>
        </w:tc>
        <w:tc>
          <w:tcPr>
            <w:tcW w:w="1600" w:type="dxa"/>
            <w:vAlign w:val="bottom"/>
            <w:gridSpan w:val="2"/>
          </w:tcPr>
          <w:p>
            <w:pPr>
              <w:jc w:val="right"/>
              <w:ind w:right="249"/>
              <w:spacing w:after="0"/>
              <w:rPr>
                <w:sz w:val="20"/>
                <w:szCs w:val="20"/>
                <w:color w:val="auto"/>
              </w:rPr>
            </w:pPr>
            <w:r>
              <w:rPr>
                <w:rFonts w:ascii="Arial" w:cs="Arial" w:eastAsia="Arial" w:hAnsi="Arial"/>
                <w:sz w:val="18"/>
                <w:szCs w:val="18"/>
                <w:color w:val="auto"/>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13049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28" w:lineRule="exact"/>
        <w:rPr>
          <w:sz w:val="20"/>
          <w:szCs w:val="20"/>
          <w:color w:val="auto"/>
        </w:rPr>
      </w:pPr>
    </w:p>
    <w:p>
      <w:pPr>
        <w:ind w:left="480" w:hanging="474"/>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cash position is the sum of cash and cash equivalents less total debt.</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primary sources of capital include cash and cash equivalents, internally generated cash flows, bank borrowings and the proceeds from stock option exercises. We believe these sources to be sufficient to fund our requirements, which are primarily capital expenditures (including our manufacturing expansion in Salt Lake City), share repurchases (like the $50.0 million share repurchase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60"/>
        <w:spacing w:after="0" w:line="265" w:lineRule="auto"/>
        <w:rPr>
          <w:sz w:val="20"/>
          <w:szCs w:val="20"/>
          <w:color w:val="auto"/>
        </w:rPr>
      </w:pPr>
      <w:r>
        <w:rPr>
          <w:rFonts w:ascii="Arial" w:cs="Arial" w:eastAsia="Arial" w:hAnsi="Arial"/>
          <w:sz w:val="18"/>
          <w:szCs w:val="18"/>
          <w:color w:val="auto"/>
        </w:rPr>
        <w:t>program authorized by the Board of Directors in April 2010 and completed in the first quarter of fiscal year 2011), new business and product development, and working capital for at least the next twelve months.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3"/>
          </w:tcPr>
          <w:p>
            <w:pPr>
              <w:ind w:left="300"/>
              <w:spacing w:after="0"/>
              <w:rPr>
                <w:sz w:val="20"/>
                <w:szCs w:val="20"/>
                <w:color w:val="auto"/>
              </w:rPr>
            </w:pPr>
            <w:r>
              <w:rPr>
                <w:rFonts w:ascii="Arial" w:cs="Arial" w:eastAsia="Arial" w:hAnsi="Arial"/>
                <w:sz w:val="14"/>
                <w:szCs w:val="14"/>
                <w:b w:val="1"/>
                <w:bCs w:val="1"/>
                <w:color w:val="auto"/>
                <w:w w:val="90"/>
              </w:rPr>
              <w:t>For the nine months ended</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68"/>
        </w:trPr>
        <w:tc>
          <w:tcPr>
            <w:tcW w:w="72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January 1, 2011</w:t>
            </w: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December 26, 2009</w:t>
            </w:r>
          </w:p>
        </w:tc>
        <w:tc>
          <w:tcPr>
            <w:tcW w:w="280" w:type="dxa"/>
            <w:vAlign w:val="bottom"/>
          </w:tcPr>
          <w:p>
            <w:pPr>
              <w:spacing w:after="0"/>
              <w:rPr>
                <w:sz w:val="14"/>
                <w:szCs w:val="14"/>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5"/>
        </w:trPr>
        <w:tc>
          <w:tcPr>
            <w:tcW w:w="72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Net cash provided by (used in):</w:t>
            </w:r>
          </w:p>
        </w:tc>
        <w:tc>
          <w:tcPr>
            <w:tcW w:w="2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280" w:type="dxa"/>
            <w:vAlign w:val="bottom"/>
          </w:tcPr>
          <w:p>
            <w:pPr>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91,316</w:t>
            </w:r>
          </w:p>
        </w:tc>
        <w:tc>
          <w:tcPr>
            <w:tcW w:w="6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93,981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212"/>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(41,009)</w:t>
            </w:r>
          </w:p>
        </w:tc>
        <w:tc>
          <w:tcPr>
            <w:tcW w:w="6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(64,031)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23,022</w:t>
            </w:r>
          </w:p>
        </w:tc>
        <w:tc>
          <w:tcPr>
            <w:tcW w:w="0" w:type="dxa"/>
            <w:vAlign w:val="bottom"/>
          </w:tcPr>
          <w:p>
            <w:pPr>
              <w:spacing w:after="0"/>
              <w:rPr>
                <w:sz w:val="1"/>
                <w:szCs w:val="1"/>
                <w:color w:val="auto"/>
              </w:rPr>
            </w:pPr>
          </w:p>
        </w:tc>
      </w:tr>
      <w:tr>
        <w:trPr>
          <w:trHeight w:val="212"/>
        </w:trPr>
        <w:tc>
          <w:tcPr>
            <w:tcW w:w="7280" w:type="dxa"/>
            <w:vAlign w:val="bottom"/>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(22,170)</w:t>
            </w:r>
          </w:p>
        </w:tc>
        <w:tc>
          <w:tcPr>
            <w:tcW w:w="6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(18,803)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12"/>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 (1)</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(161)</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color w:val="auto"/>
              </w:rPr>
              <w:t>Net increase/(decrease) in cash and cash equivalents</w:t>
            </w: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280" w:type="dxa"/>
            <w:vAlign w:val="bottom"/>
            <w:vMerge w:val="continue"/>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27,976</w:t>
            </w:r>
          </w:p>
        </w:tc>
        <w:tc>
          <w:tcPr>
            <w:tcW w:w="6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12,272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15,704</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13049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52" w:lineRule="exact"/>
        <w:rPr>
          <w:sz w:val="20"/>
          <w:szCs w:val="20"/>
          <w:color w:val="auto"/>
        </w:rPr>
      </w:pPr>
    </w:p>
    <w:p>
      <w:pPr>
        <w:ind w:left="480" w:right="560" w:hanging="474"/>
        <w:spacing w:after="0" w:line="366" w:lineRule="auto"/>
        <w:tabs>
          <w:tab w:leader="none" w:pos="4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balance sheet is affected by spot exchange rates used to translate local currency amounts into U.S. dollars. In accordance with GAAP, we have removed the effect of foreign currency throughout our cash flow statement, except for its effect on our cash and cash equivalents.</w:t>
      </w:r>
    </w:p>
    <w:p>
      <w:pPr>
        <w:spacing w:after="0" w:line="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our April 6, 2010 press release, the Company announced that its Board of Directors approved the repurchase of up to $50.0 million worth of Company shares during fiscal year 2011. Through January 1, 2011, the Company repurchased 907,310 shares of its common stock for an aggregate purchase price of $50.0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Overview:</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1"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Net cash provided by operating activities was $91.3 million in the first nine months of fiscal year 2011, a decrease of $2.7 million as compared to the first nine months of fiscal year 2010. Non cash items in the first nine months of fiscal year 2011 include $2.4 million of contingent consideration income and the reversal of related interest resulting from our acquisition of Neoteric.</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Net cash flows from operating activities during the first nine months of fiscal year 2011 include:</w:t>
      </w:r>
    </w:p>
    <w:p>
      <w:pPr>
        <w:spacing w:after="0" w:line="111" w:lineRule="exact"/>
        <w:rPr>
          <w:sz w:val="20"/>
          <w:szCs w:val="20"/>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$9.0 million payment for 2010 employee performance bonuses worldwide — a decrease of $4.7 million from the prior year,</w:t>
      </w:r>
    </w:p>
    <w:p>
      <w:pPr>
        <w:spacing w:after="0" w:line="124" w:lineRule="exact"/>
        <w:rPr>
          <w:rFonts w:ascii="Arial" w:cs="Arial" w:eastAsia="Arial" w:hAnsi="Arial"/>
          <w:sz w:val="18"/>
          <w:szCs w:val="18"/>
          <w:b w:val="1"/>
          <w:bCs w:val="1"/>
          <w:color w:val="auto"/>
        </w:rPr>
      </w:pPr>
    </w:p>
    <w:p>
      <w:pPr>
        <w:ind w:left="660" w:right="660" w:hanging="429"/>
        <w:spacing w:after="0" w:line="265"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$7.0 million payment of accrued expenses, including employment contracts of $3.0 million, $2.2 million of payroll and related costs, and legal expenses of $1.0 million, assumed from our acquisition of Global Med,</w:t>
      </w:r>
    </w:p>
    <w:p>
      <w:pPr>
        <w:spacing w:after="0" w:line="86" w:lineRule="exact"/>
        <w:rPr>
          <w:rFonts w:ascii="Arial" w:cs="Arial" w:eastAsia="Arial" w:hAnsi="Arial"/>
          <w:sz w:val="18"/>
          <w:szCs w:val="18"/>
          <w:b w:val="1"/>
          <w:bCs w:val="1"/>
          <w:color w:val="auto"/>
        </w:rPr>
      </w:pPr>
    </w:p>
    <w:p>
      <w:pPr>
        <w:ind w:left="660" w:hanging="429"/>
        <w:spacing w:after="0"/>
        <w:tabs>
          <w:tab w:leader="none" w:pos="66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$9.3 million payment of restructuring costs of our transformation and restructuring plans which include the integration of Global Med, and</w:t>
      </w:r>
    </w:p>
    <w:p>
      <w:pPr>
        <w:spacing w:after="0" w:line="135" w:lineRule="exact"/>
        <w:rPr>
          <w:rFonts w:ascii="Arial" w:cs="Arial" w:eastAsia="Arial" w:hAnsi="Arial"/>
          <w:sz w:val="17"/>
          <w:szCs w:val="17"/>
          <w:b w:val="1"/>
          <w:bCs w:val="1"/>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$10.0 million paid in income taxes.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1"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Net cash used in investing activities, which included $6.2 million related to the acquisition of ACCS, decreased by $23.0 million during the first nine months of fiscal year 2011 as compared to the first nine months of 2010. Net investing cash used in the prior year included the acquisition of SEBRA and Neoteric for $12.8 million and $6.6 million, respectively, as well as higher capital expenditures on property, plant, and equipment.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In the first nine months of fiscal year 2011, cash used in financing activities include: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hanging="429"/>
        <w:spacing w:after="0"/>
        <w:tabs>
          <w:tab w:leader="none" w:pos="66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$50.0 million in cash paid out relating to stock repurchases — compared to the $40.0 million paid out during the same period of the prior year,</w:t>
      </w:r>
    </w:p>
    <w:p>
      <w:pPr>
        <w:spacing w:after="0" w:line="135" w:lineRule="exact"/>
        <w:rPr>
          <w:rFonts w:ascii="Arial" w:cs="Arial" w:eastAsia="Arial" w:hAnsi="Arial"/>
          <w:sz w:val="17"/>
          <w:szCs w:val="17"/>
          <w:b w:val="1"/>
          <w:bCs w:val="1"/>
          <w:color w:val="auto"/>
        </w:rPr>
      </w:pPr>
    </w:p>
    <w:p>
      <w:pPr>
        <w:ind w:left="660" w:hanging="429"/>
        <w:spacing w:after="0"/>
        <w:tabs>
          <w:tab w:leader="none" w:pos="660" w:val="left"/>
        </w:tabs>
        <w:numPr>
          <w:ilvl w:val="0"/>
          <w:numId w:val="20"/>
        </w:numPr>
        <w:rPr>
          <w:rFonts w:ascii="Arial" w:cs="Arial" w:eastAsia="Arial" w:hAnsi="Arial"/>
          <w:sz w:val="15"/>
          <w:szCs w:val="15"/>
          <w:b w:val="1"/>
          <w:bCs w:val="1"/>
          <w:color w:val="auto"/>
        </w:rPr>
      </w:pPr>
      <w:r>
        <w:rPr>
          <w:rFonts w:ascii="Arial" w:cs="Arial" w:eastAsia="Arial" w:hAnsi="Arial"/>
          <w:sz w:val="15"/>
          <w:szCs w:val="15"/>
          <w:color w:val="auto"/>
        </w:rPr>
        <w:t>$35.8 million in proceeds from stock options, related excess tax benefits from stock option exercises, and the employee stock purchase plan, and</w:t>
      </w:r>
    </w:p>
    <w:p>
      <w:pPr>
        <w:spacing w:after="0" w:line="158" w:lineRule="exact"/>
        <w:rPr>
          <w:rFonts w:ascii="Arial" w:cs="Arial" w:eastAsia="Arial" w:hAnsi="Arial"/>
          <w:sz w:val="15"/>
          <w:szCs w:val="15"/>
          <w:b w:val="1"/>
          <w:bCs w:val="1"/>
          <w:color w:val="auto"/>
        </w:rPr>
      </w:pPr>
    </w:p>
    <w:p>
      <w:pPr>
        <w:ind w:left="660" w:hanging="429"/>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$7.8 million in repayment of debt assumed from our acquisition of Global Med.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11" w:lineRule="exact"/>
        <w:rPr>
          <w:sz w:val="20"/>
          <w:szCs w:val="20"/>
          <w:color w:val="auto"/>
        </w:rPr>
      </w:pPr>
    </w:p>
    <w:p>
      <w:pPr>
        <w:ind w:right="180"/>
        <w:spacing w:after="0" w:line="318" w:lineRule="auto"/>
        <w:rPr>
          <w:sz w:val="20"/>
          <w:szCs w:val="20"/>
          <w:color w:val="auto"/>
        </w:rPr>
      </w:pPr>
      <w:r>
        <w:rPr>
          <w:rFonts w:ascii="Arial" w:cs="Arial" w:eastAsia="Arial" w:hAnsi="Arial"/>
          <w:sz w:val="15"/>
          <w:szCs w:val="15"/>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11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For the first nine months of fiscal year 2011, approximately 53% of our sales are generated outside the U.S. in local currencies, yet our reporting currency is the U.S. dollar. Foreign exchange risk arises because we engage in business in foreign countries in local currency. Exposure is partially mitigated by producing and sourcing product in local currency and expenses incurred by local sales offices. However, whenever the U.S. dollar strengthens relative to the other major currencies, there is an adverse affect on our results of operations and alternatively, whenever the U.S. dollar weakens relative to the other major currencies, there is a positive effect on our results of operations.</w:t>
      </w:r>
    </w:p>
    <w:p>
      <w:pPr>
        <w:spacing w:after="0" w:line="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primary foreign currency exposures in relation to the U.S. dollar are the Euro and the Japanese Yen. In response to the sharply increased volatility in foreign exchange rates, we have entered into forward contracts to hedge the anticipated cash flows from forecasted Swiss Franc, British Pound, and Canadian Dollar denominated costs.</w:t>
      </w:r>
    </w:p>
    <w:p>
      <w:pPr>
        <w:spacing w:after="0" w:line="83"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It is our policy to minimize for a period of time, the unforeseen impact on our financial results of fluctuations in foreign exchange rates by using derivative financial instruments known as forward contracts to hedge the anticipated cash flows from forecasted foreign currency denominated sales and costs. Hedging through the use of forward contracts does not eliminate the volatility of foreign exchange rates, but because we generally enter into forward contracts one year in advance of the foreign currency denominated cash flows, rates are fixed for a one-year period, thereby facilitating financial planning and resource allocation. We enter into forward contracts that mature one month prior to the anticipated timing of the forecasted foreign currency denominated sales. These contracts are designated as cash flow hedges and are intended to lock in the expected cash flows of forecasted foreign currency denominated sales and costs at the available spot rate. Actual spot rate gains and losses on these contracts are recorded in sales and costs, at the same time the underlying transactions being hedged are recorded. The final impact of currency fluctuations on the results of operations is dependent on the local currency amounts hedged and the actual local currency results.</w:t>
      </w:r>
    </w:p>
    <w:p>
      <w:pPr>
        <w:spacing w:after="0" w:line="8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Presented below are the spot rates for our Euro, Japanese Yen, Canadian Dollar, British Pound, and Swiss Franc cash flow hedges that settled in fiscal year 2010, settled the first nine months of fiscal year 2011, or are presently outstanding. These hedges cover our long foreign currency positions that result from our sales in Europe and Japan. These hedges also include our short positions associated with costs incurred in Canadian Dollars, British Pounds, and Swiss Francs. The table also shows how the strengthening or weakening of the spot rates associated with those hedge contracts versus the spot rates in the contracts that settled in the prior comparable period affects our results favorably or unfavorably.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jc w:val="right"/>
              <w:ind w:right="314"/>
              <w:spacing w:after="0"/>
              <w:rPr>
                <w:sz w:val="20"/>
                <w:szCs w:val="20"/>
                <w:color w:val="auto"/>
              </w:rPr>
            </w:pPr>
            <w:r>
              <w:rPr>
                <w:rFonts w:ascii="Arial" w:cs="Arial" w:eastAsia="Arial" w:hAnsi="Arial"/>
                <w:sz w:val="14"/>
                <w:szCs w:val="14"/>
                <w:color w:val="auto"/>
              </w:rPr>
              <w:t>First</w:t>
            </w:r>
          </w:p>
        </w:tc>
        <w:tc>
          <w:tcPr>
            <w:tcW w:w="1780" w:type="dxa"/>
            <w:vAlign w:val="bottom"/>
            <w:gridSpan w:val="2"/>
          </w:tcPr>
          <w:p>
            <w:pPr>
              <w:ind w:left="480"/>
              <w:spacing w:after="0"/>
              <w:rPr>
                <w:sz w:val="20"/>
                <w:szCs w:val="20"/>
                <w:color w:val="auto"/>
              </w:rPr>
            </w:pPr>
            <w:r>
              <w:rPr>
                <w:rFonts w:ascii="Arial" w:cs="Arial" w:eastAsia="Arial" w:hAnsi="Arial"/>
                <w:sz w:val="14"/>
                <w:szCs w:val="14"/>
                <w:color w:val="auto"/>
              </w:rPr>
              <w:t>Favorable /</w:t>
            </w:r>
          </w:p>
        </w:tc>
        <w:tc>
          <w:tcPr>
            <w:tcW w:w="880" w:type="dxa"/>
            <w:vAlign w:val="bottom"/>
          </w:tcPr>
          <w:p>
            <w:pPr>
              <w:jc w:val="right"/>
              <w:ind w:right="234"/>
              <w:spacing w:after="0"/>
              <w:rPr>
                <w:sz w:val="20"/>
                <w:szCs w:val="20"/>
                <w:color w:val="auto"/>
              </w:rPr>
            </w:pPr>
            <w:r>
              <w:rPr>
                <w:rFonts w:ascii="Arial" w:cs="Arial" w:eastAsia="Arial" w:hAnsi="Arial"/>
                <w:sz w:val="14"/>
                <w:szCs w:val="14"/>
                <w:color w:val="auto"/>
              </w:rPr>
              <w:t>Second</w:t>
            </w:r>
          </w:p>
        </w:tc>
        <w:tc>
          <w:tcPr>
            <w:tcW w:w="1600" w:type="dxa"/>
            <w:vAlign w:val="bottom"/>
          </w:tcPr>
          <w:p>
            <w:pPr>
              <w:jc w:val="right"/>
              <w:ind w:right="395"/>
              <w:spacing w:after="0"/>
              <w:rPr>
                <w:sz w:val="20"/>
                <w:szCs w:val="20"/>
                <w:color w:val="auto"/>
              </w:rPr>
            </w:pPr>
            <w:r>
              <w:rPr>
                <w:rFonts w:ascii="Arial" w:cs="Arial" w:eastAsia="Arial" w:hAnsi="Arial"/>
                <w:sz w:val="14"/>
                <w:szCs w:val="14"/>
                <w:color w:val="auto"/>
              </w:rPr>
              <w:t>Favorable /</w:t>
            </w:r>
          </w:p>
        </w:tc>
        <w:tc>
          <w:tcPr>
            <w:tcW w:w="1000" w:type="dxa"/>
            <w:vAlign w:val="bottom"/>
          </w:tcPr>
          <w:p>
            <w:pPr>
              <w:jc w:val="right"/>
              <w:ind w:right="254"/>
              <w:spacing w:after="0"/>
              <w:rPr>
                <w:sz w:val="20"/>
                <w:szCs w:val="20"/>
                <w:color w:val="auto"/>
              </w:rPr>
            </w:pPr>
            <w:r>
              <w:rPr>
                <w:rFonts w:ascii="Arial" w:cs="Arial" w:eastAsia="Arial" w:hAnsi="Arial"/>
                <w:sz w:val="14"/>
                <w:szCs w:val="14"/>
                <w:color w:val="auto"/>
              </w:rPr>
              <w:t>Third</w:t>
            </w:r>
          </w:p>
        </w:tc>
        <w:tc>
          <w:tcPr>
            <w:tcW w:w="1600" w:type="dxa"/>
            <w:vAlign w:val="bottom"/>
          </w:tcPr>
          <w:p>
            <w:pPr>
              <w:jc w:val="right"/>
              <w:ind w:right="395"/>
              <w:spacing w:after="0"/>
              <w:rPr>
                <w:sz w:val="20"/>
                <w:szCs w:val="20"/>
                <w:color w:val="auto"/>
              </w:rPr>
            </w:pPr>
            <w:r>
              <w:rPr>
                <w:rFonts w:ascii="Arial" w:cs="Arial" w:eastAsia="Arial" w:hAnsi="Arial"/>
                <w:sz w:val="14"/>
                <w:szCs w:val="14"/>
                <w:color w:val="auto"/>
              </w:rPr>
              <w:t>Favorable /</w:t>
            </w:r>
          </w:p>
        </w:tc>
        <w:tc>
          <w:tcPr>
            <w:tcW w:w="1000" w:type="dxa"/>
            <w:vAlign w:val="bottom"/>
          </w:tcPr>
          <w:p>
            <w:pPr>
              <w:jc w:val="right"/>
              <w:ind w:right="235"/>
              <w:spacing w:after="0"/>
              <w:rPr>
                <w:sz w:val="20"/>
                <w:szCs w:val="20"/>
                <w:color w:val="auto"/>
              </w:rPr>
            </w:pPr>
            <w:r>
              <w:rPr>
                <w:rFonts w:ascii="Arial" w:cs="Arial" w:eastAsia="Arial" w:hAnsi="Arial"/>
                <w:sz w:val="14"/>
                <w:szCs w:val="14"/>
                <w:color w:val="auto"/>
              </w:rPr>
              <w:t>Fourth</w:t>
            </w:r>
          </w:p>
        </w:tc>
        <w:tc>
          <w:tcPr>
            <w:tcW w:w="1340" w:type="dxa"/>
            <w:vAlign w:val="bottom"/>
          </w:tcPr>
          <w:p>
            <w:pPr>
              <w:jc w:val="right"/>
              <w:ind w:right="118"/>
              <w:spacing w:after="0"/>
              <w:rPr>
                <w:sz w:val="20"/>
                <w:szCs w:val="20"/>
                <w:color w:val="auto"/>
              </w:rPr>
            </w:pPr>
            <w:r>
              <w:rPr>
                <w:rFonts w:ascii="Arial" w:cs="Arial" w:eastAsia="Arial" w:hAnsi="Arial"/>
                <w:sz w:val="14"/>
                <w:szCs w:val="14"/>
                <w:color w:val="auto"/>
              </w:rPr>
              <w:t>Favorable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Quarter</w:t>
            </w:r>
          </w:p>
        </w:tc>
        <w:tc>
          <w:tcPr>
            <w:tcW w:w="1600" w:type="dxa"/>
            <w:vAlign w:val="bottom"/>
          </w:tcPr>
          <w:p>
            <w:pPr>
              <w:jc w:val="right"/>
              <w:ind w:right="315"/>
              <w:spacing w:after="0"/>
              <w:rPr>
                <w:sz w:val="20"/>
                <w:szCs w:val="20"/>
                <w:color w:val="auto"/>
              </w:rPr>
            </w:pPr>
            <w:r>
              <w:rPr>
                <w:rFonts w:ascii="Arial" w:cs="Arial" w:eastAsia="Arial" w:hAnsi="Arial"/>
                <w:sz w:val="14"/>
                <w:szCs w:val="14"/>
                <w:color w:val="auto"/>
              </w:rPr>
              <w:t>(Unfavorable)</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Quarter</w:t>
            </w:r>
          </w:p>
        </w:tc>
        <w:tc>
          <w:tcPr>
            <w:tcW w:w="1600" w:type="dxa"/>
            <w:vAlign w:val="bottom"/>
          </w:tcPr>
          <w:p>
            <w:pPr>
              <w:jc w:val="right"/>
              <w:ind w:right="315"/>
              <w:spacing w:after="0"/>
              <w:rPr>
                <w:sz w:val="20"/>
                <w:szCs w:val="20"/>
                <w:color w:val="auto"/>
              </w:rPr>
            </w:pPr>
            <w:r>
              <w:rPr>
                <w:rFonts w:ascii="Arial" w:cs="Arial" w:eastAsia="Arial" w:hAnsi="Arial"/>
                <w:sz w:val="14"/>
                <w:szCs w:val="14"/>
                <w:color w:val="auto"/>
              </w:rPr>
              <w:t>(Unfavorable)</w:t>
            </w:r>
          </w:p>
        </w:tc>
        <w:tc>
          <w:tcPr>
            <w:tcW w:w="10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Quarter</w:t>
            </w:r>
          </w:p>
        </w:tc>
        <w:tc>
          <w:tcPr>
            <w:tcW w:w="1600" w:type="dxa"/>
            <w:vAlign w:val="bottom"/>
          </w:tcPr>
          <w:p>
            <w:pPr>
              <w:jc w:val="right"/>
              <w:ind w:right="315"/>
              <w:spacing w:after="0"/>
              <w:rPr>
                <w:sz w:val="20"/>
                <w:szCs w:val="20"/>
                <w:color w:val="auto"/>
              </w:rPr>
            </w:pPr>
            <w:r>
              <w:rPr>
                <w:rFonts w:ascii="Arial" w:cs="Arial" w:eastAsia="Arial" w:hAnsi="Arial"/>
                <w:sz w:val="14"/>
                <w:szCs w:val="14"/>
                <w:color w:val="auto"/>
              </w:rPr>
              <w:t>(Unfavorable)</w:t>
            </w:r>
          </w:p>
        </w:tc>
        <w:tc>
          <w:tcPr>
            <w:tcW w:w="10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Quarter</w:t>
            </w:r>
          </w:p>
        </w:tc>
        <w:tc>
          <w:tcPr>
            <w:tcW w:w="1340" w:type="dxa"/>
            <w:vAlign w:val="bottom"/>
          </w:tcPr>
          <w:p>
            <w:pPr>
              <w:jc w:val="right"/>
              <w:ind w:right="38"/>
              <w:spacing w:after="0"/>
              <w:rPr>
                <w:sz w:val="20"/>
                <w:szCs w:val="20"/>
                <w:color w:val="auto"/>
              </w:rPr>
            </w:pPr>
            <w:r>
              <w:rPr>
                <w:rFonts w:ascii="Arial" w:cs="Arial" w:eastAsia="Arial" w:hAnsi="Arial"/>
                <w:sz w:val="14"/>
                <w:szCs w:val="14"/>
                <w:color w:val="auto"/>
              </w:rPr>
              <w:t>(Unfavorable)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80" w:type="dxa"/>
            <w:vAlign w:val="bottom"/>
            <w:gridSpan w:val="4"/>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Euro — Hedge Spot Rate (US$ per Euro)</w:t>
            </w:r>
          </w:p>
        </w:tc>
        <w:tc>
          <w:tcPr>
            <w:tcW w:w="8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FY10</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1.5681</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14"/>
              <w:spacing w:after="0"/>
              <w:rPr>
                <w:sz w:val="20"/>
                <w:szCs w:val="20"/>
                <w:color w:val="auto"/>
              </w:rPr>
            </w:pPr>
            <w:r>
              <w:rPr>
                <w:rFonts w:ascii="Arial" w:cs="Arial" w:eastAsia="Arial" w:hAnsi="Arial"/>
                <w:sz w:val="18"/>
                <w:szCs w:val="18"/>
                <w:color w:val="auto"/>
              </w:rPr>
              <w:t>1.4890</w:t>
            </w:r>
          </w:p>
        </w:tc>
        <w:tc>
          <w:tcPr>
            <w:tcW w:w="1600" w:type="dxa"/>
            <w:vAlign w:val="bottom"/>
          </w:tcPr>
          <w:p>
            <w:pPr>
              <w:spacing w:after="0"/>
              <w:rPr>
                <w:sz w:val="18"/>
                <w:szCs w:val="18"/>
                <w:color w:val="auto"/>
              </w:rPr>
            </w:pP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1.3192</w:t>
            </w:r>
          </w:p>
        </w:tc>
        <w:tc>
          <w:tcPr>
            <w:tcW w:w="1600" w:type="dxa"/>
            <w:vAlign w:val="bottom"/>
          </w:tcPr>
          <w:p>
            <w:pPr>
              <w:spacing w:after="0"/>
              <w:rPr>
                <w:sz w:val="18"/>
                <w:szCs w:val="18"/>
                <w:color w:val="auto"/>
              </w:rPr>
            </w:pPr>
          </w:p>
        </w:tc>
        <w:tc>
          <w:tcPr>
            <w:tcW w:w="1000" w:type="dxa"/>
            <w:vAlign w:val="bottom"/>
          </w:tcPr>
          <w:p>
            <w:pPr>
              <w:jc w:val="right"/>
              <w:ind w:right="115"/>
              <w:spacing w:after="0"/>
              <w:rPr>
                <w:sz w:val="20"/>
                <w:szCs w:val="20"/>
                <w:color w:val="auto"/>
              </w:rPr>
            </w:pPr>
            <w:r>
              <w:rPr>
                <w:rFonts w:ascii="Arial" w:cs="Arial" w:eastAsia="Arial" w:hAnsi="Arial"/>
                <w:sz w:val="18"/>
                <w:szCs w:val="18"/>
                <w:color w:val="auto"/>
              </w:rPr>
              <w:t>1.2812</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FY11</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1.3582</w:t>
            </w:r>
          </w:p>
        </w:tc>
        <w:tc>
          <w:tcPr>
            <w:tcW w:w="16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1.4140</w:t>
            </w:r>
          </w:p>
        </w:tc>
        <w:tc>
          <w:tcPr>
            <w:tcW w:w="160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(5.0%)</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1.4326</w:t>
            </w:r>
          </w:p>
        </w:tc>
        <w:tc>
          <w:tcPr>
            <w:tcW w:w="160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8.6%</w:t>
            </w:r>
          </w:p>
        </w:tc>
        <w:tc>
          <w:tcPr>
            <w:tcW w:w="10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1.3523</w:t>
            </w:r>
          </w:p>
        </w:tc>
        <w:tc>
          <w:tcPr>
            <w:tcW w:w="13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FY12</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1.2432</w:t>
            </w:r>
          </w:p>
        </w:tc>
        <w:tc>
          <w:tcPr>
            <w:tcW w:w="1600" w:type="dxa"/>
            <w:vAlign w:val="bottom"/>
          </w:tcPr>
          <w:p>
            <w:pPr>
              <w:jc w:val="right"/>
              <w:ind w:right="335"/>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9"/>
                <w:szCs w:val="19"/>
                <w:color w:val="auto"/>
              </w:rPr>
            </w:pPr>
          </w:p>
        </w:tc>
        <w:tc>
          <w:tcPr>
            <w:tcW w:w="880" w:type="dxa"/>
            <w:vAlign w:val="bottom"/>
          </w:tcPr>
          <w:p>
            <w:pPr>
              <w:jc w:val="right"/>
              <w:ind w:right="114"/>
              <w:spacing w:after="0"/>
              <w:rPr>
                <w:sz w:val="20"/>
                <w:szCs w:val="20"/>
                <w:color w:val="auto"/>
              </w:rPr>
            </w:pPr>
            <w:r>
              <w:rPr>
                <w:rFonts w:ascii="Arial" w:cs="Arial" w:eastAsia="Arial" w:hAnsi="Arial"/>
                <w:sz w:val="18"/>
                <w:szCs w:val="18"/>
                <w:color w:val="auto"/>
              </w:rPr>
              <w:t>1.3014</w:t>
            </w:r>
          </w:p>
        </w:tc>
        <w:tc>
          <w:tcPr>
            <w:tcW w:w="1600" w:type="dxa"/>
            <w:vAlign w:val="bottom"/>
          </w:tcPr>
          <w:p>
            <w:pPr>
              <w:jc w:val="right"/>
              <w:ind w:right="315"/>
              <w:spacing w:after="0"/>
              <w:rPr>
                <w:sz w:val="20"/>
                <w:szCs w:val="20"/>
                <w:color w:val="auto"/>
              </w:rPr>
            </w:pPr>
            <w:r>
              <w:rPr>
                <w:rFonts w:ascii="Arial" w:cs="Arial" w:eastAsia="Arial" w:hAnsi="Arial"/>
                <w:sz w:val="18"/>
                <w:szCs w:val="18"/>
                <w:color w:val="auto"/>
              </w:rPr>
              <w:t>(8.0%)</w:t>
            </w: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1.3619</w:t>
            </w:r>
          </w:p>
        </w:tc>
        <w:tc>
          <w:tcPr>
            <w:tcW w:w="1600" w:type="dxa"/>
            <w:vAlign w:val="bottom"/>
          </w:tcPr>
          <w:p>
            <w:pPr>
              <w:jc w:val="right"/>
              <w:ind w:right="315"/>
              <w:spacing w:after="0"/>
              <w:rPr>
                <w:sz w:val="20"/>
                <w:szCs w:val="20"/>
                <w:color w:val="auto"/>
              </w:rPr>
            </w:pPr>
            <w:r>
              <w:rPr>
                <w:rFonts w:ascii="Arial" w:cs="Arial" w:eastAsia="Arial" w:hAnsi="Arial"/>
                <w:sz w:val="18"/>
                <w:szCs w:val="18"/>
                <w:color w:val="auto"/>
              </w:rPr>
              <w:t>(4.9%)</w:t>
            </w:r>
          </w:p>
        </w:tc>
        <w:tc>
          <w:tcPr>
            <w:tcW w:w="1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80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9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5"/>
              </w:rPr>
              <w:t>Japanese Yen — Hedge Spot Rate (JPY per US$)</w:t>
            </w:r>
          </w:p>
        </w:tc>
        <w:tc>
          <w:tcPr>
            <w:tcW w:w="8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FY10</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105.2792</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14"/>
              <w:spacing w:after="0"/>
              <w:rPr>
                <w:sz w:val="20"/>
                <w:szCs w:val="20"/>
                <w:color w:val="auto"/>
              </w:rPr>
            </w:pPr>
            <w:r>
              <w:rPr>
                <w:rFonts w:ascii="Arial" w:cs="Arial" w:eastAsia="Arial" w:hAnsi="Arial"/>
                <w:sz w:val="18"/>
                <w:szCs w:val="18"/>
                <w:color w:val="auto"/>
                <w:w w:val="87"/>
              </w:rPr>
              <w:t>105.1132</w:t>
            </w:r>
          </w:p>
        </w:tc>
        <w:tc>
          <w:tcPr>
            <w:tcW w:w="1600" w:type="dxa"/>
            <w:vAlign w:val="bottom"/>
          </w:tcPr>
          <w:p>
            <w:pPr>
              <w:spacing w:after="0"/>
              <w:rPr>
                <w:sz w:val="18"/>
                <w:szCs w:val="18"/>
                <w:color w:val="auto"/>
              </w:rPr>
            </w:pP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96.3791</w:t>
            </w:r>
          </w:p>
        </w:tc>
        <w:tc>
          <w:tcPr>
            <w:tcW w:w="1600" w:type="dxa"/>
            <w:vAlign w:val="bottom"/>
          </w:tcPr>
          <w:p>
            <w:pPr>
              <w:spacing w:after="0"/>
              <w:rPr>
                <w:sz w:val="18"/>
                <w:szCs w:val="18"/>
                <w:color w:val="auto"/>
              </w:rPr>
            </w:pPr>
          </w:p>
        </w:tc>
        <w:tc>
          <w:tcPr>
            <w:tcW w:w="1000" w:type="dxa"/>
            <w:vAlign w:val="bottom"/>
          </w:tcPr>
          <w:p>
            <w:pPr>
              <w:jc w:val="right"/>
              <w:ind w:right="115"/>
              <w:spacing w:after="0"/>
              <w:rPr>
                <w:sz w:val="20"/>
                <w:szCs w:val="20"/>
                <w:color w:val="auto"/>
              </w:rPr>
            </w:pPr>
            <w:r>
              <w:rPr>
                <w:rFonts w:ascii="Arial" w:cs="Arial" w:eastAsia="Arial" w:hAnsi="Arial"/>
                <w:sz w:val="18"/>
                <w:szCs w:val="18"/>
                <w:color w:val="auto"/>
              </w:rPr>
              <w:t>93.4950</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FY11</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98.1677</w:t>
            </w:r>
          </w:p>
        </w:tc>
        <w:tc>
          <w:tcPr>
            <w:tcW w:w="160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94.9066</w:t>
            </w:r>
          </w:p>
        </w:tc>
        <w:tc>
          <w:tcPr>
            <w:tcW w:w="160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9.7%</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89.1350</w:t>
            </w:r>
          </w:p>
        </w:tc>
        <w:tc>
          <w:tcPr>
            <w:tcW w:w="160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7.5%</w:t>
            </w:r>
          </w:p>
        </w:tc>
        <w:tc>
          <w:tcPr>
            <w:tcW w:w="10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89.7839</w:t>
            </w:r>
          </w:p>
        </w:tc>
        <w:tc>
          <w:tcPr>
            <w:tcW w:w="13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FY12</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88.9878</w:t>
            </w:r>
          </w:p>
        </w:tc>
        <w:tc>
          <w:tcPr>
            <w:tcW w:w="1600" w:type="dxa"/>
            <w:vAlign w:val="bottom"/>
          </w:tcPr>
          <w:p>
            <w:pPr>
              <w:jc w:val="right"/>
              <w:ind w:right="395"/>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9"/>
                <w:szCs w:val="19"/>
                <w:color w:val="auto"/>
              </w:rPr>
            </w:pPr>
          </w:p>
        </w:tc>
        <w:tc>
          <w:tcPr>
            <w:tcW w:w="880" w:type="dxa"/>
            <w:vAlign w:val="bottom"/>
          </w:tcPr>
          <w:p>
            <w:pPr>
              <w:jc w:val="right"/>
              <w:ind w:right="114"/>
              <w:spacing w:after="0"/>
              <w:rPr>
                <w:sz w:val="20"/>
                <w:szCs w:val="20"/>
                <w:color w:val="auto"/>
              </w:rPr>
            </w:pPr>
            <w:r>
              <w:rPr>
                <w:rFonts w:ascii="Arial" w:cs="Arial" w:eastAsia="Arial" w:hAnsi="Arial"/>
                <w:sz w:val="18"/>
                <w:szCs w:val="18"/>
                <w:color w:val="auto"/>
              </w:rPr>
              <w:t>85.6477</w:t>
            </w:r>
          </w:p>
        </w:tc>
        <w:tc>
          <w:tcPr>
            <w:tcW w:w="1600" w:type="dxa"/>
            <w:vAlign w:val="bottom"/>
          </w:tcPr>
          <w:p>
            <w:pPr>
              <w:jc w:val="right"/>
              <w:ind w:right="375"/>
              <w:spacing w:after="0"/>
              <w:rPr>
                <w:sz w:val="20"/>
                <w:szCs w:val="20"/>
                <w:color w:val="auto"/>
              </w:rPr>
            </w:pPr>
            <w:r>
              <w:rPr>
                <w:rFonts w:ascii="Arial" w:cs="Arial" w:eastAsia="Arial" w:hAnsi="Arial"/>
                <w:sz w:val="18"/>
                <w:szCs w:val="18"/>
                <w:color w:val="auto"/>
              </w:rPr>
              <w:t>9.8%</w:t>
            </w: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81.73</w:t>
            </w:r>
          </w:p>
        </w:tc>
        <w:tc>
          <w:tcPr>
            <w:tcW w:w="1600" w:type="dxa"/>
            <w:vAlign w:val="bottom"/>
          </w:tcPr>
          <w:p>
            <w:pPr>
              <w:jc w:val="right"/>
              <w:ind w:right="375"/>
              <w:spacing w:after="0"/>
              <w:rPr>
                <w:sz w:val="20"/>
                <w:szCs w:val="20"/>
                <w:color w:val="auto"/>
              </w:rPr>
            </w:pPr>
            <w:r>
              <w:rPr>
                <w:rFonts w:ascii="Arial" w:cs="Arial" w:eastAsia="Arial" w:hAnsi="Arial"/>
                <w:sz w:val="18"/>
                <w:szCs w:val="18"/>
                <w:color w:val="auto"/>
              </w:rPr>
              <w:t>8.3%</w:t>
            </w:r>
          </w:p>
        </w:tc>
        <w:tc>
          <w:tcPr>
            <w:tcW w:w="1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80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9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0"/>
              </w:rPr>
              <w:t>Canadian Dollar — Hedge Spot Rate (CAD per US$)</w:t>
            </w:r>
          </w:p>
        </w:tc>
        <w:tc>
          <w:tcPr>
            <w:tcW w:w="8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FY10</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1.1409</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14"/>
              <w:spacing w:after="0"/>
              <w:rPr>
                <w:sz w:val="20"/>
                <w:szCs w:val="20"/>
                <w:color w:val="auto"/>
              </w:rPr>
            </w:pPr>
            <w:r>
              <w:rPr>
                <w:rFonts w:ascii="Arial" w:cs="Arial" w:eastAsia="Arial" w:hAnsi="Arial"/>
                <w:sz w:val="18"/>
                <w:szCs w:val="18"/>
                <w:color w:val="auto"/>
              </w:rPr>
              <w:t>1.1200</w:t>
            </w:r>
          </w:p>
        </w:tc>
        <w:tc>
          <w:tcPr>
            <w:tcW w:w="1600" w:type="dxa"/>
            <w:vAlign w:val="bottom"/>
          </w:tcPr>
          <w:p>
            <w:pPr>
              <w:spacing w:after="0"/>
              <w:rPr>
                <w:sz w:val="18"/>
                <w:szCs w:val="18"/>
                <w:color w:val="auto"/>
              </w:rPr>
            </w:pP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1.1125</w:t>
            </w:r>
          </w:p>
        </w:tc>
        <w:tc>
          <w:tcPr>
            <w:tcW w:w="1600" w:type="dxa"/>
            <w:vAlign w:val="bottom"/>
          </w:tcPr>
          <w:p>
            <w:pPr>
              <w:spacing w:after="0"/>
              <w:rPr>
                <w:sz w:val="18"/>
                <w:szCs w:val="18"/>
                <w:color w:val="auto"/>
              </w:rPr>
            </w:pPr>
          </w:p>
        </w:tc>
        <w:tc>
          <w:tcPr>
            <w:tcW w:w="1000" w:type="dxa"/>
            <w:vAlign w:val="bottom"/>
          </w:tcPr>
          <w:p>
            <w:pPr>
              <w:jc w:val="right"/>
              <w:ind w:right="115"/>
              <w:spacing w:after="0"/>
              <w:rPr>
                <w:sz w:val="20"/>
                <w:szCs w:val="20"/>
                <w:color w:val="auto"/>
              </w:rPr>
            </w:pPr>
            <w:r>
              <w:rPr>
                <w:rFonts w:ascii="Arial" w:cs="Arial" w:eastAsia="Arial" w:hAnsi="Arial"/>
                <w:sz w:val="18"/>
                <w:szCs w:val="18"/>
                <w:color w:val="auto"/>
              </w:rPr>
              <w:t>1.0884</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FY11</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1.0959</w:t>
            </w:r>
          </w:p>
        </w:tc>
        <w:tc>
          <w:tcPr>
            <w:tcW w:w="16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1.0862</w:t>
            </w:r>
          </w:p>
        </w:tc>
        <w:tc>
          <w:tcPr>
            <w:tcW w:w="160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(3.0%)</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1.0654</w:t>
            </w:r>
          </w:p>
        </w:tc>
        <w:tc>
          <w:tcPr>
            <w:tcW w:w="160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(4.2%)</w:t>
            </w:r>
          </w:p>
        </w:tc>
        <w:tc>
          <w:tcPr>
            <w:tcW w:w="10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1.0282</w:t>
            </w:r>
          </w:p>
        </w:tc>
        <w:tc>
          <w:tcPr>
            <w:tcW w:w="13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FY12</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1.0501</w:t>
            </w:r>
          </w:p>
        </w:tc>
        <w:tc>
          <w:tcPr>
            <w:tcW w:w="1600" w:type="dxa"/>
            <w:vAlign w:val="bottom"/>
          </w:tcPr>
          <w:p>
            <w:pPr>
              <w:jc w:val="right"/>
              <w:ind w:right="335"/>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880" w:type="dxa"/>
            <w:vAlign w:val="bottom"/>
          </w:tcPr>
          <w:p>
            <w:pPr>
              <w:jc w:val="right"/>
              <w:ind w:right="114"/>
              <w:spacing w:after="0"/>
              <w:rPr>
                <w:sz w:val="20"/>
                <w:szCs w:val="20"/>
                <w:color w:val="auto"/>
              </w:rPr>
            </w:pPr>
            <w:r>
              <w:rPr>
                <w:rFonts w:ascii="Arial" w:cs="Arial" w:eastAsia="Arial" w:hAnsi="Arial"/>
                <w:sz w:val="18"/>
                <w:szCs w:val="18"/>
                <w:color w:val="auto"/>
              </w:rPr>
              <w:t>1.0318</w:t>
            </w:r>
          </w:p>
        </w:tc>
        <w:tc>
          <w:tcPr>
            <w:tcW w:w="1600" w:type="dxa"/>
            <w:vAlign w:val="bottom"/>
          </w:tcPr>
          <w:p>
            <w:pPr>
              <w:jc w:val="right"/>
              <w:ind w:right="315"/>
              <w:spacing w:after="0"/>
              <w:rPr>
                <w:sz w:val="20"/>
                <w:szCs w:val="20"/>
                <w:color w:val="auto"/>
              </w:rPr>
            </w:pPr>
            <w:r>
              <w:rPr>
                <w:rFonts w:ascii="Arial" w:cs="Arial" w:eastAsia="Arial" w:hAnsi="Arial"/>
                <w:sz w:val="18"/>
                <w:szCs w:val="18"/>
                <w:color w:val="auto"/>
              </w:rPr>
              <w:t>(5.0%)</w:t>
            </w: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1.00</w:t>
            </w:r>
          </w:p>
        </w:tc>
        <w:tc>
          <w:tcPr>
            <w:tcW w:w="1600" w:type="dxa"/>
            <w:vAlign w:val="bottom"/>
          </w:tcPr>
          <w:p>
            <w:pPr>
              <w:jc w:val="right"/>
              <w:ind w:right="315"/>
              <w:spacing w:after="0"/>
              <w:rPr>
                <w:sz w:val="20"/>
                <w:szCs w:val="20"/>
                <w:color w:val="auto"/>
              </w:rPr>
            </w:pPr>
            <w:r>
              <w:rPr>
                <w:rFonts w:ascii="Arial" w:cs="Arial" w:eastAsia="Arial" w:hAnsi="Arial"/>
                <w:sz w:val="18"/>
                <w:szCs w:val="18"/>
                <w:color w:val="auto"/>
              </w:rPr>
              <w:t>(5.8%)</w:t>
            </w:r>
          </w:p>
        </w:tc>
        <w:tc>
          <w:tcPr>
            <w:tcW w:w="1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80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9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4"/>
              </w:rPr>
              <w:t>British Pound — Hedge Spot Rate (US$ per GBP)</w:t>
            </w:r>
          </w:p>
        </w:tc>
        <w:tc>
          <w:tcPr>
            <w:tcW w:w="8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FY10</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1.4487</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14"/>
              <w:spacing w:after="0"/>
              <w:rPr>
                <w:sz w:val="20"/>
                <w:szCs w:val="20"/>
                <w:color w:val="auto"/>
              </w:rPr>
            </w:pPr>
            <w:r>
              <w:rPr>
                <w:rFonts w:ascii="Arial" w:cs="Arial" w:eastAsia="Arial" w:hAnsi="Arial"/>
                <w:sz w:val="18"/>
                <w:szCs w:val="18"/>
                <w:color w:val="auto"/>
              </w:rPr>
              <w:t>1.4439</w:t>
            </w:r>
          </w:p>
        </w:tc>
        <w:tc>
          <w:tcPr>
            <w:tcW w:w="1600" w:type="dxa"/>
            <w:vAlign w:val="bottom"/>
          </w:tcPr>
          <w:p>
            <w:pPr>
              <w:spacing w:after="0"/>
              <w:rPr>
                <w:sz w:val="18"/>
                <w:szCs w:val="18"/>
                <w:color w:val="auto"/>
              </w:rPr>
            </w:pP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1.4229</w:t>
            </w:r>
          </w:p>
        </w:tc>
        <w:tc>
          <w:tcPr>
            <w:tcW w:w="1600" w:type="dxa"/>
            <w:vAlign w:val="bottom"/>
          </w:tcPr>
          <w:p>
            <w:pPr>
              <w:spacing w:after="0"/>
              <w:rPr>
                <w:sz w:val="18"/>
                <w:szCs w:val="18"/>
                <w:color w:val="auto"/>
              </w:rPr>
            </w:pPr>
          </w:p>
        </w:tc>
        <w:tc>
          <w:tcPr>
            <w:tcW w:w="1000" w:type="dxa"/>
            <w:vAlign w:val="bottom"/>
          </w:tcPr>
          <w:p>
            <w:pPr>
              <w:jc w:val="right"/>
              <w:ind w:right="115"/>
              <w:spacing w:after="0"/>
              <w:rPr>
                <w:sz w:val="20"/>
                <w:szCs w:val="20"/>
                <w:color w:val="auto"/>
              </w:rPr>
            </w:pPr>
            <w:r>
              <w:rPr>
                <w:rFonts w:ascii="Arial" w:cs="Arial" w:eastAsia="Arial" w:hAnsi="Arial"/>
                <w:sz w:val="18"/>
                <w:szCs w:val="18"/>
                <w:color w:val="auto"/>
              </w:rPr>
              <w:t>1.4048</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FY11</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1.4714</w:t>
            </w:r>
          </w:p>
        </w:tc>
        <w:tc>
          <w:tcPr>
            <w:tcW w:w="160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1.6531</w:t>
            </w:r>
          </w:p>
        </w:tc>
        <w:tc>
          <w:tcPr>
            <w:tcW w:w="160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(14.5%)</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1.6321</w:t>
            </w:r>
          </w:p>
        </w:tc>
        <w:tc>
          <w:tcPr>
            <w:tcW w:w="160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(14.7%)</w:t>
            </w:r>
          </w:p>
        </w:tc>
        <w:tc>
          <w:tcPr>
            <w:tcW w:w="10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1.5859</w:t>
            </w:r>
          </w:p>
        </w:tc>
        <w:tc>
          <w:tcPr>
            <w:tcW w:w="13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FY12</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1.5001</w:t>
            </w:r>
          </w:p>
        </w:tc>
        <w:tc>
          <w:tcPr>
            <w:tcW w:w="1600" w:type="dxa"/>
            <w:vAlign w:val="bottom"/>
          </w:tcPr>
          <w:p>
            <w:pPr>
              <w:jc w:val="right"/>
              <w:ind w:right="335"/>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880" w:type="dxa"/>
            <w:vAlign w:val="bottom"/>
          </w:tcPr>
          <w:p>
            <w:pPr>
              <w:jc w:val="right"/>
              <w:ind w:right="114"/>
              <w:spacing w:after="0"/>
              <w:rPr>
                <w:sz w:val="20"/>
                <w:szCs w:val="20"/>
                <w:color w:val="auto"/>
              </w:rPr>
            </w:pPr>
            <w:r>
              <w:rPr>
                <w:rFonts w:ascii="Arial" w:cs="Arial" w:eastAsia="Arial" w:hAnsi="Arial"/>
                <w:sz w:val="18"/>
                <w:szCs w:val="18"/>
                <w:color w:val="auto"/>
              </w:rPr>
              <w:t>1.5399</w:t>
            </w:r>
          </w:p>
        </w:tc>
        <w:tc>
          <w:tcPr>
            <w:tcW w:w="1600" w:type="dxa"/>
            <w:vAlign w:val="bottom"/>
          </w:tcPr>
          <w:p>
            <w:pPr>
              <w:jc w:val="right"/>
              <w:ind w:right="375"/>
              <w:spacing w:after="0"/>
              <w:rPr>
                <w:sz w:val="20"/>
                <w:szCs w:val="20"/>
                <w:color w:val="auto"/>
              </w:rPr>
            </w:pPr>
            <w:r>
              <w:rPr>
                <w:rFonts w:ascii="Arial" w:cs="Arial" w:eastAsia="Arial" w:hAnsi="Arial"/>
                <w:sz w:val="18"/>
                <w:szCs w:val="18"/>
                <w:color w:val="auto"/>
              </w:rPr>
              <w:t>6.8%</w:t>
            </w: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1.57</w:t>
            </w:r>
          </w:p>
        </w:tc>
        <w:tc>
          <w:tcPr>
            <w:tcW w:w="1600" w:type="dxa"/>
            <w:vAlign w:val="bottom"/>
          </w:tcPr>
          <w:p>
            <w:pPr>
              <w:jc w:val="right"/>
              <w:ind w:right="375"/>
              <w:spacing w:after="0"/>
              <w:rPr>
                <w:sz w:val="20"/>
                <w:szCs w:val="20"/>
                <w:color w:val="auto"/>
              </w:rPr>
            </w:pPr>
            <w:r>
              <w:rPr>
                <w:rFonts w:ascii="Arial" w:cs="Arial" w:eastAsia="Arial" w:hAnsi="Arial"/>
                <w:sz w:val="18"/>
                <w:szCs w:val="18"/>
                <w:color w:val="auto"/>
              </w:rPr>
              <w:t>3.6%</w:t>
            </w:r>
          </w:p>
        </w:tc>
        <w:tc>
          <w:tcPr>
            <w:tcW w:w="1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80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9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7"/>
              </w:rPr>
              <w:t>Swiss Franc — Hedge Spot Rate (US$ per CHF)</w:t>
            </w:r>
          </w:p>
        </w:tc>
        <w:tc>
          <w:tcPr>
            <w:tcW w:w="8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FY11</w:t>
            </w: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14"/>
              <w:spacing w:after="0"/>
              <w:rPr>
                <w:sz w:val="20"/>
                <w:szCs w:val="20"/>
                <w:color w:val="auto"/>
              </w:rPr>
            </w:pPr>
            <w:r>
              <w:rPr>
                <w:rFonts w:ascii="Arial" w:cs="Arial" w:eastAsia="Arial" w:hAnsi="Arial"/>
                <w:sz w:val="18"/>
                <w:szCs w:val="18"/>
                <w:color w:val="auto"/>
              </w:rPr>
              <w:t>1.0481</w:t>
            </w:r>
          </w:p>
        </w:tc>
        <w:tc>
          <w:tcPr>
            <w:tcW w:w="1600" w:type="dxa"/>
            <w:vAlign w:val="bottom"/>
          </w:tcPr>
          <w:p>
            <w:pPr>
              <w:spacing w:after="0"/>
              <w:rPr>
                <w:sz w:val="18"/>
                <w:szCs w:val="18"/>
                <w:color w:val="auto"/>
              </w:rPr>
            </w:pP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1.0394</w:t>
            </w:r>
          </w:p>
        </w:tc>
        <w:tc>
          <w:tcPr>
            <w:tcW w:w="1600" w:type="dxa"/>
            <w:vAlign w:val="bottom"/>
          </w:tcPr>
          <w:p>
            <w:pPr>
              <w:spacing w:after="0"/>
              <w:rPr>
                <w:sz w:val="18"/>
                <w:szCs w:val="18"/>
                <w:color w:val="auto"/>
              </w:rPr>
            </w:pPr>
          </w:p>
        </w:tc>
        <w:tc>
          <w:tcPr>
            <w:tcW w:w="1000" w:type="dxa"/>
            <w:vAlign w:val="bottom"/>
          </w:tcPr>
          <w:p>
            <w:pPr>
              <w:jc w:val="right"/>
              <w:ind w:right="115"/>
              <w:spacing w:after="0"/>
              <w:rPr>
                <w:sz w:val="20"/>
                <w:szCs w:val="20"/>
                <w:color w:val="auto"/>
              </w:rPr>
            </w:pPr>
            <w:r>
              <w:rPr>
                <w:rFonts w:ascii="Arial" w:cs="Arial" w:eastAsia="Arial" w:hAnsi="Arial"/>
                <w:sz w:val="18"/>
                <w:szCs w:val="18"/>
                <w:color w:val="auto"/>
              </w:rPr>
              <w:t>1.0474</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FY12</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1.0539</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1.0108</w:t>
            </w:r>
          </w:p>
        </w:tc>
        <w:tc>
          <w:tcPr>
            <w:tcW w:w="160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3.6%</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0.96</w:t>
            </w:r>
          </w:p>
        </w:tc>
        <w:tc>
          <w:tcPr>
            <w:tcW w:w="160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7.9%</w:t>
            </w:r>
          </w:p>
        </w:tc>
        <w:tc>
          <w:tcPr>
            <w:tcW w:w="10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185420</wp:posOffset>
            </wp:positionV>
            <wp:extent cx="13049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39" w:lineRule="exact"/>
        <w:rPr>
          <w:sz w:val="20"/>
          <w:szCs w:val="20"/>
          <w:color w:val="auto"/>
        </w:rPr>
      </w:pPr>
    </w:p>
    <w:p>
      <w:pPr>
        <w:ind w:left="480" w:right="220" w:hanging="474"/>
        <w:spacing w:after="0" w:line="265"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generally place our cash flow hedge contracts on a rolling twelve month basis. Accordingly, the only hedge contracts placed for fiscal year 2012 are for the first, second, and third quarters.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7"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auto"/>
        </w:rPr>
        <w:t xml:space="preserve">In October 2009, the FASB issued Accounting Standards Update No. 2009-13, </w:t>
      </w:r>
      <w:r>
        <w:rPr>
          <w:rFonts w:ascii="Arial" w:cs="Arial" w:eastAsia="Arial" w:hAnsi="Arial"/>
          <w:sz w:val="15"/>
          <w:szCs w:val="15"/>
          <w:i w:val="1"/>
          <w:iCs w:val="1"/>
          <w:color w:val="auto"/>
        </w:rPr>
        <w:t>Multiple-Deliverable Revenue Arrangements</w:t>
      </w:r>
      <w:r>
        <w:rPr>
          <w:rFonts w:ascii="Arial" w:cs="Arial" w:eastAsia="Arial" w:hAnsi="Arial"/>
          <w:sz w:val="15"/>
          <w:szCs w:val="15"/>
          <w:color w:val="auto"/>
        </w:rPr>
        <w:t xml:space="preserve">, an amendment to FASB ASC topic 605, </w:t>
      </w:r>
      <w:r>
        <w:rPr>
          <w:rFonts w:ascii="Arial" w:cs="Arial" w:eastAsia="Arial" w:hAnsi="Arial"/>
          <w:sz w:val="15"/>
          <w:szCs w:val="15"/>
          <w:i w:val="1"/>
          <w:iCs w:val="1"/>
          <w:color w:val="auto"/>
        </w:rPr>
        <w:t>Revenue Recognition</w:t>
      </w:r>
      <w:r>
        <w:rPr>
          <w:rFonts w:ascii="Arial" w:cs="Arial" w:eastAsia="Arial" w:hAnsi="Arial"/>
          <w:sz w:val="15"/>
          <w:szCs w:val="15"/>
          <w:color w:val="auto"/>
        </w:rPr>
        <w:t xml:space="preserve">, and Update No. 2009-14, </w:t>
      </w:r>
      <w:r>
        <w:rPr>
          <w:rFonts w:ascii="Arial" w:cs="Arial" w:eastAsia="Arial" w:hAnsi="Arial"/>
          <w:sz w:val="15"/>
          <w:szCs w:val="15"/>
          <w:i w:val="1"/>
          <w:iCs w:val="1"/>
          <w:color w:val="auto"/>
        </w:rPr>
        <w:t>Certain Revenue Arrangements That Include Software Elements</w:t>
      </w:r>
      <w:r>
        <w:rPr>
          <w:rFonts w:ascii="Arial" w:cs="Arial" w:eastAsia="Arial" w:hAnsi="Arial"/>
          <w:sz w:val="15"/>
          <w:szCs w:val="15"/>
          <w:color w:val="auto"/>
        </w:rPr>
        <w:t xml:space="preserve">, an amendment to FASB ASC subtopic 985-605, </w:t>
      </w:r>
      <w:r>
        <w:rPr>
          <w:rFonts w:ascii="Arial" w:cs="Arial" w:eastAsia="Arial" w:hAnsi="Arial"/>
          <w:sz w:val="15"/>
          <w:szCs w:val="15"/>
          <w:i w:val="1"/>
          <w:iCs w:val="1"/>
          <w:color w:val="auto"/>
        </w:rPr>
        <w:t>Software — Revenue Recognition</w:t>
      </w:r>
      <w:r>
        <w:rPr>
          <w:rFonts w:ascii="Arial" w:cs="Arial" w:eastAsia="Arial" w:hAnsi="Arial"/>
          <w:sz w:val="15"/>
          <w:szCs w:val="15"/>
          <w:color w:val="auto"/>
        </w:rPr>
        <w:t xml:space="preserve"> (the “Updates”). The Updates provide guidance on arrangements that include software elements, including tangible products that have software components that are essential to the functionality of the tangible product and will no longer be within the scope of the software revenue recognition guidance, and software-enabled products that will now be subject to other relevant revenue recognition guidance. The Updates provide authoritative guidance on revenue arrangements with multiple deliverables that are outside the scope of the software revenue recognition guidance. Under the new guidance, when vendor specific objective evidence or third party evidence of fair value for deliverables in an arrangement cannot be determined, a best estimate of the selling price is required to separate deliverables and allocate arrangement consideration using the relative selling price method. The Updates also include new disclosure requirements on how the application of the relative selling price method affects the timing and amount of revenue recognition. The Updates must be adopted in the same period using the same transition method and are effective prospectively, with retrospective adoption permitted, for revenue arrangements entered into or materially modified in fiscal years beginning on or after June 15, 2010. Early adoption is also permitted; however, early adoption during an interim period requires retrospective application from the beginning of the fiscal year. The Company will adopt the guidance on April 3, 2011, the first day of fiscal year 2012, and is currently assessing the possible impact of this guidance on its financial position and results of operations.</w:t>
      </w:r>
    </w:p>
    <w:p>
      <w:pPr>
        <w:spacing w:after="0" w:line="52"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 xml:space="preserve">In December 2009, the FASB issued Accounting Standards Update No. 2009-17, </w:t>
      </w:r>
      <w:r>
        <w:rPr>
          <w:rFonts w:ascii="Arial" w:cs="Arial" w:eastAsia="Arial" w:hAnsi="Arial"/>
          <w:sz w:val="17"/>
          <w:szCs w:val="17"/>
          <w:i w:val="1"/>
          <w:iCs w:val="1"/>
          <w:color w:val="auto"/>
        </w:rPr>
        <w:t>Improvements to Financial Reporting by Enterprises Involved with Variable</w:t>
      </w:r>
      <w:r>
        <w:rPr>
          <w:rFonts w:ascii="Arial" w:cs="Arial" w:eastAsia="Arial" w:hAnsi="Arial"/>
          <w:sz w:val="17"/>
          <w:szCs w:val="17"/>
          <w:color w:val="auto"/>
        </w:rPr>
        <w:t xml:space="preserve"> </w:t>
      </w:r>
      <w:r>
        <w:rPr>
          <w:rFonts w:ascii="Arial" w:cs="Arial" w:eastAsia="Arial" w:hAnsi="Arial"/>
          <w:sz w:val="17"/>
          <w:szCs w:val="17"/>
          <w:i w:val="1"/>
          <w:iCs w:val="1"/>
          <w:color w:val="auto"/>
        </w:rPr>
        <w:t>Interest Entities</w:t>
      </w:r>
      <w:r>
        <w:rPr>
          <w:rFonts w:ascii="Arial" w:cs="Arial" w:eastAsia="Arial" w:hAnsi="Arial"/>
          <w:sz w:val="17"/>
          <w:szCs w:val="17"/>
          <w:color w:val="auto"/>
        </w:rPr>
        <w:t>, an amendment to FASB ASC Topic 810,</w:t>
      </w:r>
      <w:r>
        <w:rPr>
          <w:rFonts w:ascii="Arial" w:cs="Arial" w:eastAsia="Arial" w:hAnsi="Arial"/>
          <w:sz w:val="17"/>
          <w:szCs w:val="17"/>
          <w:i w:val="1"/>
          <w:iCs w:val="1"/>
          <w:color w:val="auto"/>
        </w:rPr>
        <w:t xml:space="preserve"> Consolidations</w:t>
      </w:r>
      <w:r>
        <w:rPr>
          <w:rFonts w:ascii="Arial" w:cs="Arial" w:eastAsia="Arial" w:hAnsi="Arial"/>
          <w:sz w:val="17"/>
          <w:szCs w:val="17"/>
          <w:color w:val="auto"/>
        </w:rPr>
        <w:t>. ASU No. 2009-17 requires an enterprise to perform an analysis to determine whether</w:t>
      </w:r>
      <w:r>
        <w:rPr>
          <w:rFonts w:ascii="Arial" w:cs="Arial" w:eastAsia="Arial" w:hAnsi="Arial"/>
          <w:sz w:val="17"/>
          <w:szCs w:val="17"/>
          <w:i w:val="1"/>
          <w:iCs w:val="1"/>
          <w:color w:val="auto"/>
        </w:rPr>
        <w:t xml:space="preserve"> </w:t>
      </w:r>
      <w:r>
        <w:rPr>
          <w:rFonts w:ascii="Arial" w:cs="Arial" w:eastAsia="Arial" w:hAnsi="Arial"/>
          <w:sz w:val="17"/>
          <w:szCs w:val="17"/>
          <w:color w:val="auto"/>
        </w:rPr>
        <w:t>the enterprise’s variable interest or interests give it a controlling financial interest in a variable interest entity. Additionally, an enterprise is required to assess whether it has an implicit financial responsibility to ensure that a variable interest entity operates as designed when determining whether it has the power to direct the activities of the variable interest entity that most significantly impact the entity’s economic</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performance. The update became effective for our fiscal year 2011 and did not have an impact on our consolidated financial statements for the first nine months ended January 1, 2011.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Such risks and uncertainties include technological advances in the medical field and our standards for transfusion medicine and our ability to successfully implement products that incorporate such advances and standards, product demand and market acceptance of our products, regulatory uncertainties, the effect of economic and political conditions, the impact of competitive products and pricing, the impact of industry consolidation, foreign currency exchange rates, changes in customers’ ordering patterns, the effect of industry consolidation as seen in the plasma market, the effect of communicable diseases and the effect of uncertainties in markets outside the U.S. (including Europe and Asia) in which we operate. The foregoing list should not be construed as exhaustive.</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w:t>
      </w:r>
      <w:r>
        <w:rPr>
          <w:rFonts w:ascii="Arial" w:cs="Arial" w:eastAsia="Arial" w:hAnsi="Arial"/>
          <w:sz w:val="11"/>
          <w:szCs w:val="11"/>
          <w:b w:val="1"/>
          <w:bCs w:val="1"/>
          <w:color w:val="auto"/>
        </w:rPr>
        <w:t>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exposures relative to market risk are due to foreign exchange risk and interest rate risk.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w:t>
      </w:r>
      <w:r>
        <w:rPr>
          <w:rFonts w:ascii="Arial" w:cs="Arial" w:eastAsia="Arial" w:hAnsi="Arial"/>
          <w:sz w:val="11"/>
          <w:szCs w:val="11"/>
          <w:b w:val="1"/>
          <w:bCs w:val="1"/>
          <w:i w:val="1"/>
          <w:iCs w:val="1"/>
          <w:color w:val="auto"/>
        </w:rPr>
        <w:t>OREIGN EXCHANGE RISK</w:t>
      </w:r>
    </w:p>
    <w:p>
      <w:pPr>
        <w:spacing w:after="0" w:line="111"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We do not use the financial instruments for speculative or trading activities. At January 1, 2011, we had the following significant foreign exchange contracts to hedge the anticipated cash flows from forecasted foreign currency denominated sales outstanding. The contracts have been organized into maturity groups and the related quarter that we expect the hedge contract to affect our earnings.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9"/>
              </w:rPr>
              <w:t>(BUY) / SELL</w:t>
            </w:r>
          </w:p>
        </w:tc>
        <w:tc>
          <w:tcPr>
            <w:tcW w:w="1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gridSpan w:val="2"/>
          </w:tcPr>
          <w:p>
            <w:pPr>
              <w:jc w:val="center"/>
              <w:ind w:left="9"/>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Hedged</w:t>
            </w:r>
          </w:p>
        </w:tc>
        <w:tc>
          <w:tcPr>
            <w:tcW w:w="3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rPr>
              <w:t>Weighted Spot</w:t>
            </w:r>
          </w:p>
        </w:tc>
        <w:tc>
          <w:tcPr>
            <w:tcW w:w="22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Weighted Forward</w:t>
            </w:r>
          </w:p>
        </w:tc>
        <w:tc>
          <w:tcPr>
            <w:tcW w:w="10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gridSpan w:val="2"/>
          </w:tcPr>
          <w:p>
            <w:pPr>
              <w:jc w:val="center"/>
              <w:ind w:right="500"/>
              <w:spacing w:after="0" w:line="146" w:lineRule="exact"/>
              <w:rPr>
                <w:sz w:val="20"/>
                <w:szCs w:val="20"/>
                <w:color w:val="auto"/>
              </w:rPr>
            </w:pPr>
            <w:r>
              <w:rPr>
                <w:rFonts w:ascii="Arial" w:cs="Arial" w:eastAsia="Arial" w:hAnsi="Arial"/>
                <w:sz w:val="14"/>
                <w:szCs w:val="14"/>
                <w:b w:val="1"/>
                <w:bCs w:val="1"/>
                <w:color w:val="auto"/>
                <w:w w:val="92"/>
              </w:rPr>
              <w:t>Local</w:t>
            </w:r>
          </w:p>
        </w:tc>
        <w:tc>
          <w:tcPr>
            <w:tcW w:w="1540" w:type="dxa"/>
            <w:vAlign w:val="bottom"/>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Maturity</w:t>
            </w:r>
          </w:p>
        </w:tc>
        <w:tc>
          <w:tcPr>
            <w:tcW w:w="90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w w:val="91"/>
              </w:rPr>
              <w:t>to Affect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3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Currency</w:t>
            </w:r>
          </w:p>
        </w:tc>
        <w:tc>
          <w:tcPr>
            <w:tcW w:w="48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Arial" w:cs="Arial" w:eastAsia="Arial" w:hAnsi="Arial"/>
                <w:sz w:val="14"/>
                <w:szCs w:val="14"/>
                <w:b w:val="1"/>
                <w:bCs w:val="1"/>
                <w:color w:val="auto"/>
              </w:rPr>
              <w:t>Contract Rate</w:t>
            </w:r>
          </w:p>
        </w:tc>
        <w:tc>
          <w:tcPr>
            <w:tcW w:w="1340" w:type="dxa"/>
            <w:vAlign w:val="bottom"/>
          </w:tcPr>
          <w:p>
            <w:pPr>
              <w:ind w:left="340"/>
              <w:spacing w:after="0"/>
              <w:rPr>
                <w:sz w:val="20"/>
                <w:szCs w:val="20"/>
                <w:color w:val="auto"/>
              </w:rPr>
            </w:pPr>
            <w:r>
              <w:rPr>
                <w:rFonts w:ascii="Arial" w:cs="Arial" w:eastAsia="Arial" w:hAnsi="Arial"/>
                <w:sz w:val="14"/>
                <w:szCs w:val="14"/>
                <w:b w:val="1"/>
                <w:bCs w:val="1"/>
                <w:color w:val="auto"/>
              </w:rPr>
              <w:t>Contract Rate</w:t>
            </w:r>
          </w:p>
        </w:tc>
        <w:tc>
          <w:tcPr>
            <w:tcW w:w="86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Gain / (Loss)</w:t>
            </w:r>
          </w:p>
        </w:tc>
        <w:tc>
          <w:tcPr>
            <w:tcW w:w="2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224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Euro</w:t>
            </w: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10,141,456</w:t>
            </w:r>
          </w:p>
        </w:tc>
        <w:tc>
          <w:tcPr>
            <w:tcW w:w="480" w:type="dxa"/>
            <w:vAlign w:val="bottom"/>
            <w:shd w:val="clear" w:color="auto" w:fill="CCEEFF"/>
          </w:tcPr>
          <w:p>
            <w:pPr>
              <w:spacing w:after="0"/>
              <w:rPr>
                <w:sz w:val="12"/>
                <w:szCs w:val="12"/>
                <w:color w:val="auto"/>
              </w:rPr>
            </w:pPr>
          </w:p>
        </w:tc>
        <w:tc>
          <w:tcPr>
            <w:tcW w:w="1540" w:type="dxa"/>
            <w:vAlign w:val="bottom"/>
            <w:shd w:val="clear" w:color="auto" w:fill="CCEEFF"/>
          </w:tcPr>
          <w:p>
            <w:pPr>
              <w:ind w:left="560"/>
              <w:spacing w:after="0" w:line="139" w:lineRule="exact"/>
              <w:rPr>
                <w:sz w:val="20"/>
                <w:szCs w:val="20"/>
                <w:color w:val="auto"/>
              </w:rPr>
            </w:pPr>
            <w:r>
              <w:rPr>
                <w:rFonts w:ascii="Arial" w:cs="Arial" w:eastAsia="Arial" w:hAnsi="Arial"/>
                <w:sz w:val="14"/>
                <w:szCs w:val="14"/>
                <w:color w:val="auto"/>
              </w:rPr>
              <w:t>1.344</w:t>
            </w:r>
          </w:p>
        </w:tc>
        <w:tc>
          <w:tcPr>
            <w:tcW w:w="1340" w:type="dxa"/>
            <w:vAlign w:val="bottom"/>
            <w:shd w:val="clear" w:color="auto" w:fill="CCEEFF"/>
          </w:tcPr>
          <w:p>
            <w:pPr>
              <w:ind w:left="1020"/>
              <w:spacing w:after="0" w:line="139" w:lineRule="exact"/>
              <w:rPr>
                <w:sz w:val="20"/>
                <w:szCs w:val="20"/>
                <w:color w:val="auto"/>
              </w:rPr>
            </w:pPr>
            <w:r>
              <w:rPr>
                <w:rFonts w:ascii="Arial" w:cs="Arial" w:eastAsia="Arial" w:hAnsi="Arial"/>
                <w:sz w:val="14"/>
                <w:szCs w:val="14"/>
                <w:color w:val="auto"/>
                <w:w w:val="85"/>
              </w:rPr>
              <w:t>1.343</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60"/>
              <w:spacing w:after="0" w:line="139" w:lineRule="exact"/>
              <w:rPr>
                <w:sz w:val="20"/>
                <w:szCs w:val="20"/>
                <w:color w:val="auto"/>
              </w:rPr>
            </w:pPr>
            <w:r>
              <w:rPr>
                <w:rFonts w:ascii="Arial" w:cs="Arial" w:eastAsia="Arial" w:hAnsi="Arial"/>
                <w:sz w:val="14"/>
                <w:szCs w:val="14"/>
                <w:color w:val="auto"/>
              </w:rPr>
              <w:t>223,065</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center"/>
              <w:ind w:right="149"/>
              <w:spacing w:after="0" w:line="139" w:lineRule="exact"/>
              <w:rPr>
                <w:sz w:val="20"/>
                <w:szCs w:val="20"/>
                <w:color w:val="auto"/>
              </w:rPr>
            </w:pPr>
            <w:r>
              <w:rPr>
                <w:rFonts w:ascii="Arial" w:cs="Arial" w:eastAsia="Arial" w:hAnsi="Arial"/>
                <w:sz w:val="14"/>
                <w:szCs w:val="14"/>
                <w:color w:val="auto"/>
                <w:w w:val="91"/>
              </w:rPr>
              <w:t>Dec 2010 - Feb 2011</w:t>
            </w:r>
          </w:p>
        </w:tc>
        <w:tc>
          <w:tcPr>
            <w:tcW w:w="900" w:type="dxa"/>
            <w:vAlign w:val="bottom"/>
            <w:gridSpan w:val="2"/>
            <w:shd w:val="clear" w:color="auto" w:fill="CCEEFF"/>
          </w:tcPr>
          <w:p>
            <w:pPr>
              <w:ind w:left="260"/>
              <w:spacing w:after="0" w:line="139" w:lineRule="exact"/>
              <w:rPr>
                <w:sz w:val="20"/>
                <w:szCs w:val="20"/>
                <w:color w:val="auto"/>
              </w:rPr>
            </w:pPr>
            <w:r>
              <w:rPr>
                <w:rFonts w:ascii="Arial" w:cs="Arial" w:eastAsia="Arial" w:hAnsi="Arial"/>
                <w:sz w:val="14"/>
                <w:szCs w:val="14"/>
                <w:color w:val="auto"/>
              </w:rPr>
              <w:t>Q4 FY11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tcPr>
          <w:p>
            <w:pPr>
              <w:spacing w:after="0" w:line="146" w:lineRule="exact"/>
              <w:rPr>
                <w:sz w:val="20"/>
                <w:szCs w:val="20"/>
                <w:color w:val="auto"/>
              </w:rPr>
            </w:pPr>
            <w:r>
              <w:rPr>
                <w:rFonts w:ascii="Arial" w:cs="Arial" w:eastAsia="Arial" w:hAnsi="Arial"/>
                <w:sz w:val="14"/>
                <w:szCs w:val="14"/>
                <w:color w:val="auto"/>
              </w:rPr>
              <w:t>Euro</w:t>
            </w:r>
          </w:p>
        </w:tc>
        <w:tc>
          <w:tcPr>
            <w:tcW w:w="1820" w:type="dxa"/>
            <w:vAlign w:val="bottom"/>
            <w:gridSpan w:val="3"/>
          </w:tcPr>
          <w:p>
            <w:pPr>
              <w:jc w:val="right"/>
              <w:ind w:right="480"/>
              <w:spacing w:after="0" w:line="146" w:lineRule="exact"/>
              <w:rPr>
                <w:sz w:val="20"/>
                <w:szCs w:val="20"/>
                <w:color w:val="auto"/>
              </w:rPr>
            </w:pPr>
            <w:r>
              <w:rPr>
                <w:rFonts w:ascii="Arial" w:cs="Arial" w:eastAsia="Arial" w:hAnsi="Arial"/>
                <w:sz w:val="14"/>
                <w:szCs w:val="14"/>
                <w:color w:val="auto"/>
              </w:rPr>
              <w:t>11,080,452</w:t>
            </w:r>
          </w:p>
        </w:tc>
        <w:tc>
          <w:tcPr>
            <w:tcW w:w="1540" w:type="dxa"/>
            <w:vAlign w:val="bottom"/>
          </w:tcPr>
          <w:p>
            <w:pPr>
              <w:ind w:left="560"/>
              <w:spacing w:after="0" w:line="146" w:lineRule="exact"/>
              <w:rPr>
                <w:sz w:val="20"/>
                <w:szCs w:val="20"/>
                <w:color w:val="auto"/>
              </w:rPr>
            </w:pPr>
            <w:r>
              <w:rPr>
                <w:rFonts w:ascii="Arial" w:cs="Arial" w:eastAsia="Arial" w:hAnsi="Arial"/>
                <w:sz w:val="14"/>
                <w:szCs w:val="14"/>
                <w:color w:val="auto"/>
              </w:rPr>
              <w:t>1.243</w:t>
            </w:r>
          </w:p>
        </w:tc>
        <w:tc>
          <w:tcPr>
            <w:tcW w:w="2200" w:type="dxa"/>
            <w:vAlign w:val="bottom"/>
            <w:gridSpan w:val="2"/>
          </w:tcPr>
          <w:p>
            <w:pPr>
              <w:ind w:left="1020"/>
              <w:spacing w:after="0" w:line="146" w:lineRule="exact"/>
              <w:rPr>
                <w:sz w:val="20"/>
                <w:szCs w:val="20"/>
                <w:color w:val="auto"/>
              </w:rPr>
            </w:pPr>
            <w:r>
              <w:rPr>
                <w:rFonts w:ascii="Arial" w:cs="Arial" w:eastAsia="Arial" w:hAnsi="Arial"/>
                <w:sz w:val="14"/>
                <w:szCs w:val="14"/>
                <w:color w:val="auto"/>
              </w:rPr>
              <w:t>1.246</w:t>
            </w:r>
          </w:p>
        </w:tc>
        <w:tc>
          <w:tcPr>
            <w:tcW w:w="100" w:type="dxa"/>
            <w:vAlign w:val="bottom"/>
          </w:tcPr>
          <w:p>
            <w:pPr>
              <w:spacing w:after="0" w:line="146"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00"/>
              <w:spacing w:after="0" w:line="146" w:lineRule="exact"/>
              <w:rPr>
                <w:sz w:val="20"/>
                <w:szCs w:val="20"/>
                <w:color w:val="auto"/>
              </w:rPr>
            </w:pPr>
            <w:r>
              <w:rPr>
                <w:rFonts w:ascii="Arial" w:cs="Arial" w:eastAsia="Arial" w:hAnsi="Arial"/>
                <w:sz w:val="14"/>
                <w:szCs w:val="14"/>
                <w:color w:val="auto"/>
              </w:rPr>
              <w:t>(805,602)</w:t>
            </w:r>
          </w:p>
        </w:tc>
        <w:tc>
          <w:tcPr>
            <w:tcW w:w="1680" w:type="dxa"/>
            <w:vAlign w:val="bottom"/>
            <w:gridSpan w:val="2"/>
          </w:tcPr>
          <w:p>
            <w:pPr>
              <w:jc w:val="center"/>
              <w:spacing w:after="0" w:line="146" w:lineRule="exact"/>
              <w:rPr>
                <w:sz w:val="20"/>
                <w:szCs w:val="20"/>
                <w:color w:val="auto"/>
              </w:rPr>
            </w:pPr>
            <w:r>
              <w:rPr>
                <w:rFonts w:ascii="Arial" w:cs="Arial" w:eastAsia="Arial" w:hAnsi="Arial"/>
                <w:sz w:val="14"/>
                <w:szCs w:val="14"/>
                <w:color w:val="auto"/>
                <w:w w:val="93"/>
              </w:rPr>
              <w:t>Mar 2011 - May 2011</w:t>
            </w:r>
          </w:p>
        </w:tc>
        <w:tc>
          <w:tcPr>
            <w:tcW w:w="900" w:type="dxa"/>
            <w:vAlign w:val="bottom"/>
            <w:gridSpan w:val="2"/>
          </w:tcPr>
          <w:p>
            <w:pPr>
              <w:ind w:left="260"/>
              <w:spacing w:after="0" w:line="146" w:lineRule="exact"/>
              <w:rPr>
                <w:sz w:val="20"/>
                <w:szCs w:val="20"/>
                <w:color w:val="auto"/>
              </w:rPr>
            </w:pPr>
            <w:r>
              <w:rPr>
                <w:rFonts w:ascii="Arial" w:cs="Arial" w:eastAsia="Arial" w:hAnsi="Arial"/>
                <w:sz w:val="14"/>
                <w:szCs w:val="14"/>
                <w:color w:val="auto"/>
              </w:rPr>
              <w:t>Q1 FY12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Euro</w:t>
            </w:r>
          </w:p>
        </w:tc>
        <w:tc>
          <w:tcPr>
            <w:tcW w:w="1820" w:type="dxa"/>
            <w:vAlign w:val="bottom"/>
            <w:gridSpan w:val="3"/>
            <w:shd w:val="clear" w:color="auto" w:fill="CCEEFF"/>
          </w:tcPr>
          <w:p>
            <w:pPr>
              <w:jc w:val="right"/>
              <w:ind w:right="480"/>
              <w:spacing w:after="0" w:line="146" w:lineRule="exact"/>
              <w:rPr>
                <w:sz w:val="20"/>
                <w:szCs w:val="20"/>
                <w:color w:val="auto"/>
              </w:rPr>
            </w:pPr>
            <w:r>
              <w:rPr>
                <w:rFonts w:ascii="Arial" w:cs="Arial" w:eastAsia="Arial" w:hAnsi="Arial"/>
                <w:sz w:val="14"/>
                <w:szCs w:val="14"/>
                <w:color w:val="auto"/>
              </w:rPr>
              <w:t>11,612,400</w:t>
            </w:r>
          </w:p>
        </w:tc>
        <w:tc>
          <w:tcPr>
            <w:tcW w:w="1540" w:type="dxa"/>
            <w:vAlign w:val="bottom"/>
            <w:shd w:val="clear" w:color="auto" w:fill="CCEEFF"/>
          </w:tcPr>
          <w:p>
            <w:pPr>
              <w:ind w:left="560"/>
              <w:spacing w:after="0" w:line="146" w:lineRule="exact"/>
              <w:rPr>
                <w:sz w:val="20"/>
                <w:szCs w:val="20"/>
                <w:color w:val="auto"/>
              </w:rPr>
            </w:pPr>
            <w:r>
              <w:rPr>
                <w:rFonts w:ascii="Arial" w:cs="Arial" w:eastAsia="Arial" w:hAnsi="Arial"/>
                <w:sz w:val="14"/>
                <w:szCs w:val="14"/>
                <w:color w:val="auto"/>
              </w:rPr>
              <w:t>1.301</w:t>
            </w:r>
          </w:p>
        </w:tc>
        <w:tc>
          <w:tcPr>
            <w:tcW w:w="2200" w:type="dxa"/>
            <w:vAlign w:val="bottom"/>
            <w:gridSpan w:val="2"/>
            <w:shd w:val="clear" w:color="auto" w:fill="CCEEFF"/>
          </w:tcPr>
          <w:p>
            <w:pPr>
              <w:ind w:left="1020"/>
              <w:spacing w:after="0" w:line="146" w:lineRule="exact"/>
              <w:rPr>
                <w:sz w:val="20"/>
                <w:szCs w:val="20"/>
                <w:color w:val="auto"/>
              </w:rPr>
            </w:pPr>
            <w:r>
              <w:rPr>
                <w:rFonts w:ascii="Arial" w:cs="Arial" w:eastAsia="Arial" w:hAnsi="Arial"/>
                <w:sz w:val="14"/>
                <w:szCs w:val="14"/>
                <w:color w:val="auto"/>
              </w:rPr>
              <w:t>1.300</w:t>
            </w:r>
          </w:p>
        </w:tc>
        <w:tc>
          <w:tcPr>
            <w:tcW w:w="1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(220,105)</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center"/>
              <w:ind w:right="169"/>
              <w:spacing w:after="0" w:line="146" w:lineRule="exact"/>
              <w:rPr>
                <w:sz w:val="20"/>
                <w:szCs w:val="20"/>
                <w:color w:val="auto"/>
              </w:rPr>
            </w:pPr>
            <w:r>
              <w:rPr>
                <w:rFonts w:ascii="Arial" w:cs="Arial" w:eastAsia="Arial" w:hAnsi="Arial"/>
                <w:sz w:val="14"/>
                <w:szCs w:val="14"/>
                <w:color w:val="auto"/>
                <w:w w:val="90"/>
              </w:rPr>
              <w:t>Jun 2011 - Aug 2011</w:t>
            </w:r>
          </w:p>
        </w:tc>
        <w:tc>
          <w:tcPr>
            <w:tcW w:w="900" w:type="dxa"/>
            <w:vAlign w:val="bottom"/>
            <w:gridSpan w:val="2"/>
            <w:shd w:val="clear" w:color="auto" w:fill="CCEEFF"/>
          </w:tcPr>
          <w:p>
            <w:pPr>
              <w:ind w:left="260"/>
              <w:spacing w:after="0" w:line="146" w:lineRule="exact"/>
              <w:rPr>
                <w:sz w:val="20"/>
                <w:szCs w:val="20"/>
                <w:color w:val="auto"/>
              </w:rPr>
            </w:pPr>
            <w:r>
              <w:rPr>
                <w:rFonts w:ascii="Arial" w:cs="Arial" w:eastAsia="Arial" w:hAnsi="Arial"/>
                <w:sz w:val="14"/>
                <w:szCs w:val="14"/>
                <w:color w:val="auto"/>
              </w:rPr>
              <w:t>Q2 FY12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tcPr>
          <w:p>
            <w:pPr>
              <w:spacing w:after="0" w:line="146" w:lineRule="exact"/>
              <w:rPr>
                <w:sz w:val="20"/>
                <w:szCs w:val="20"/>
                <w:color w:val="auto"/>
              </w:rPr>
            </w:pPr>
            <w:r>
              <w:rPr>
                <w:rFonts w:ascii="Arial" w:cs="Arial" w:eastAsia="Arial" w:hAnsi="Arial"/>
                <w:sz w:val="14"/>
                <w:szCs w:val="14"/>
                <w:color w:val="auto"/>
              </w:rPr>
              <w:t>Euro</w:t>
            </w:r>
          </w:p>
        </w:tc>
        <w:tc>
          <w:tcPr>
            <w:tcW w:w="1340" w:type="dxa"/>
            <w:vAlign w:val="bottom"/>
            <w:gridSpan w:val="2"/>
          </w:tcPr>
          <w:p>
            <w:pPr>
              <w:jc w:val="right"/>
              <w:spacing w:after="0" w:line="146" w:lineRule="exact"/>
              <w:rPr>
                <w:sz w:val="20"/>
                <w:szCs w:val="20"/>
                <w:color w:val="auto"/>
              </w:rPr>
            </w:pPr>
            <w:r>
              <w:rPr>
                <w:rFonts w:ascii="Arial" w:cs="Arial" w:eastAsia="Arial" w:hAnsi="Arial"/>
                <w:sz w:val="14"/>
                <w:szCs w:val="14"/>
                <w:color w:val="auto"/>
              </w:rPr>
              <w:t>10,267,000</w:t>
            </w:r>
          </w:p>
        </w:tc>
        <w:tc>
          <w:tcPr>
            <w:tcW w:w="480" w:type="dxa"/>
            <w:vAlign w:val="bottom"/>
          </w:tcPr>
          <w:p>
            <w:pPr>
              <w:spacing w:after="0"/>
              <w:rPr>
                <w:sz w:val="12"/>
                <w:szCs w:val="12"/>
                <w:color w:val="auto"/>
              </w:rPr>
            </w:pPr>
          </w:p>
        </w:tc>
        <w:tc>
          <w:tcPr>
            <w:tcW w:w="1540" w:type="dxa"/>
            <w:vAlign w:val="bottom"/>
          </w:tcPr>
          <w:p>
            <w:pPr>
              <w:ind w:left="560"/>
              <w:spacing w:after="0" w:line="146" w:lineRule="exact"/>
              <w:rPr>
                <w:sz w:val="20"/>
                <w:szCs w:val="20"/>
                <w:color w:val="auto"/>
              </w:rPr>
            </w:pPr>
            <w:r>
              <w:rPr>
                <w:rFonts w:ascii="Arial" w:cs="Arial" w:eastAsia="Arial" w:hAnsi="Arial"/>
                <w:sz w:val="14"/>
                <w:szCs w:val="14"/>
                <w:color w:val="auto"/>
              </w:rPr>
              <w:t>1.362</w:t>
            </w:r>
          </w:p>
        </w:tc>
        <w:tc>
          <w:tcPr>
            <w:tcW w:w="2200" w:type="dxa"/>
            <w:vAlign w:val="bottom"/>
            <w:gridSpan w:val="2"/>
          </w:tcPr>
          <w:p>
            <w:pPr>
              <w:ind w:left="1020"/>
              <w:spacing w:after="0" w:line="146" w:lineRule="exact"/>
              <w:rPr>
                <w:sz w:val="20"/>
                <w:szCs w:val="20"/>
                <w:color w:val="auto"/>
              </w:rPr>
            </w:pPr>
            <w:r>
              <w:rPr>
                <w:rFonts w:ascii="Arial" w:cs="Arial" w:eastAsia="Arial" w:hAnsi="Arial"/>
                <w:sz w:val="14"/>
                <w:szCs w:val="14"/>
                <w:color w:val="auto"/>
              </w:rPr>
              <w:t>1.356</w:t>
            </w:r>
          </w:p>
        </w:tc>
        <w:tc>
          <w:tcPr>
            <w:tcW w:w="100" w:type="dxa"/>
            <w:vAlign w:val="bottom"/>
          </w:tcPr>
          <w:p>
            <w:pPr>
              <w:spacing w:after="0" w:line="146"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60"/>
              <w:spacing w:after="0" w:line="146" w:lineRule="exact"/>
              <w:rPr>
                <w:sz w:val="20"/>
                <w:szCs w:val="20"/>
                <w:color w:val="auto"/>
              </w:rPr>
            </w:pPr>
            <w:r>
              <w:rPr>
                <w:rFonts w:ascii="Arial" w:cs="Arial" w:eastAsia="Arial" w:hAnsi="Arial"/>
                <w:sz w:val="14"/>
                <w:szCs w:val="14"/>
                <w:color w:val="auto"/>
              </w:rPr>
              <w:t>364,316</w:t>
            </w:r>
          </w:p>
        </w:tc>
        <w:tc>
          <w:tcPr>
            <w:tcW w:w="220" w:type="dxa"/>
            <w:vAlign w:val="bottom"/>
          </w:tcPr>
          <w:p>
            <w:pPr>
              <w:spacing w:after="0"/>
              <w:rPr>
                <w:sz w:val="12"/>
                <w:szCs w:val="12"/>
                <w:color w:val="auto"/>
              </w:rPr>
            </w:pPr>
          </w:p>
        </w:tc>
        <w:tc>
          <w:tcPr>
            <w:tcW w:w="1460" w:type="dxa"/>
            <w:vAlign w:val="bottom"/>
          </w:tcPr>
          <w:p>
            <w:pPr>
              <w:jc w:val="center"/>
              <w:ind w:right="149"/>
              <w:spacing w:after="0" w:line="146" w:lineRule="exact"/>
              <w:rPr>
                <w:sz w:val="20"/>
                <w:szCs w:val="20"/>
                <w:color w:val="auto"/>
              </w:rPr>
            </w:pPr>
            <w:r>
              <w:rPr>
                <w:rFonts w:ascii="Arial" w:cs="Arial" w:eastAsia="Arial" w:hAnsi="Arial"/>
                <w:sz w:val="14"/>
                <w:szCs w:val="14"/>
                <w:color w:val="auto"/>
                <w:w w:val="90"/>
              </w:rPr>
              <w:t>Sep 2011 - Nov 2011</w:t>
            </w:r>
          </w:p>
        </w:tc>
        <w:tc>
          <w:tcPr>
            <w:tcW w:w="900" w:type="dxa"/>
            <w:vAlign w:val="bottom"/>
            <w:gridSpan w:val="2"/>
          </w:tcPr>
          <w:p>
            <w:pPr>
              <w:ind w:left="260"/>
              <w:spacing w:after="0" w:line="146" w:lineRule="exact"/>
              <w:rPr>
                <w:sz w:val="20"/>
                <w:szCs w:val="20"/>
                <w:color w:val="auto"/>
              </w:rPr>
            </w:pPr>
            <w:r>
              <w:rPr>
                <w:rFonts w:ascii="Arial" w:cs="Arial" w:eastAsia="Arial" w:hAnsi="Arial"/>
                <w:sz w:val="14"/>
                <w:szCs w:val="14"/>
                <w:color w:val="auto"/>
              </w:rPr>
              <w:t>Q3 FY12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Japanese Yen</w:t>
            </w:r>
          </w:p>
        </w:tc>
        <w:tc>
          <w:tcPr>
            <w:tcW w:w="1820" w:type="dxa"/>
            <w:vAlign w:val="bottom"/>
            <w:gridSpan w:val="3"/>
            <w:shd w:val="clear" w:color="auto" w:fill="CCEEFF"/>
          </w:tcPr>
          <w:p>
            <w:pPr>
              <w:jc w:val="right"/>
              <w:ind w:right="480"/>
              <w:spacing w:after="0" w:line="146" w:lineRule="exact"/>
              <w:rPr>
                <w:sz w:val="20"/>
                <w:szCs w:val="20"/>
                <w:color w:val="auto"/>
              </w:rPr>
            </w:pPr>
            <w:r>
              <w:rPr>
                <w:rFonts w:ascii="Arial" w:cs="Arial" w:eastAsia="Arial" w:hAnsi="Arial"/>
                <w:sz w:val="14"/>
                <w:szCs w:val="14"/>
                <w:color w:val="auto"/>
              </w:rPr>
              <w:t>1,029,939,231</w:t>
            </w:r>
          </w:p>
        </w:tc>
        <w:tc>
          <w:tcPr>
            <w:tcW w:w="1540" w:type="dxa"/>
            <w:vAlign w:val="bottom"/>
            <w:shd w:val="clear" w:color="auto" w:fill="CCEEFF"/>
          </w:tcPr>
          <w:p>
            <w:pPr>
              <w:ind w:left="560"/>
              <w:spacing w:after="0" w:line="146" w:lineRule="exact"/>
              <w:rPr>
                <w:sz w:val="20"/>
                <w:szCs w:val="20"/>
                <w:color w:val="auto"/>
              </w:rPr>
            </w:pPr>
            <w:r>
              <w:rPr>
                <w:rFonts w:ascii="Arial" w:cs="Arial" w:eastAsia="Arial" w:hAnsi="Arial"/>
                <w:sz w:val="14"/>
                <w:szCs w:val="14"/>
                <w:color w:val="auto"/>
              </w:rPr>
              <w:t>89.96per US$</w:t>
            </w:r>
          </w:p>
        </w:tc>
        <w:tc>
          <w:tcPr>
            <w:tcW w:w="2200" w:type="dxa"/>
            <w:vAlign w:val="bottom"/>
            <w:gridSpan w:val="2"/>
            <w:shd w:val="clear" w:color="auto" w:fill="CCEEFF"/>
          </w:tcPr>
          <w:p>
            <w:pPr>
              <w:ind w:left="1020"/>
              <w:spacing w:after="0" w:line="146" w:lineRule="exact"/>
              <w:rPr>
                <w:sz w:val="20"/>
                <w:szCs w:val="20"/>
                <w:color w:val="auto"/>
              </w:rPr>
            </w:pPr>
            <w:r>
              <w:rPr>
                <w:rFonts w:ascii="Arial" w:cs="Arial" w:eastAsia="Arial" w:hAnsi="Arial"/>
                <w:sz w:val="14"/>
                <w:szCs w:val="14"/>
                <w:color w:val="auto"/>
              </w:rPr>
              <w:t>89.58per US$</w:t>
            </w:r>
          </w:p>
        </w:tc>
        <w:tc>
          <w:tcPr>
            <w:tcW w:w="1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w w:val="97"/>
              </w:rPr>
              <w:t>(1,063,498)</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center"/>
              <w:ind w:right="149"/>
              <w:spacing w:after="0" w:line="146" w:lineRule="exact"/>
              <w:rPr>
                <w:sz w:val="20"/>
                <w:szCs w:val="20"/>
                <w:color w:val="auto"/>
              </w:rPr>
            </w:pPr>
            <w:r>
              <w:rPr>
                <w:rFonts w:ascii="Arial" w:cs="Arial" w:eastAsia="Arial" w:hAnsi="Arial"/>
                <w:sz w:val="14"/>
                <w:szCs w:val="14"/>
                <w:color w:val="auto"/>
                <w:w w:val="91"/>
              </w:rPr>
              <w:t>Dec 2010 - Feb 2011</w:t>
            </w:r>
          </w:p>
        </w:tc>
        <w:tc>
          <w:tcPr>
            <w:tcW w:w="900" w:type="dxa"/>
            <w:vAlign w:val="bottom"/>
            <w:gridSpan w:val="2"/>
            <w:shd w:val="clear" w:color="auto" w:fill="CCEEFF"/>
          </w:tcPr>
          <w:p>
            <w:pPr>
              <w:ind w:left="260"/>
              <w:spacing w:after="0" w:line="146" w:lineRule="exact"/>
              <w:rPr>
                <w:sz w:val="20"/>
                <w:szCs w:val="20"/>
                <w:color w:val="auto"/>
              </w:rPr>
            </w:pPr>
            <w:r>
              <w:rPr>
                <w:rFonts w:ascii="Arial" w:cs="Arial" w:eastAsia="Arial" w:hAnsi="Arial"/>
                <w:sz w:val="14"/>
                <w:szCs w:val="14"/>
                <w:color w:val="auto"/>
              </w:rPr>
              <w:t>Q4 FY11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tcPr>
          <w:p>
            <w:pPr>
              <w:spacing w:after="0" w:line="146" w:lineRule="exact"/>
              <w:rPr>
                <w:sz w:val="20"/>
                <w:szCs w:val="20"/>
                <w:color w:val="auto"/>
              </w:rPr>
            </w:pPr>
            <w:r>
              <w:rPr>
                <w:rFonts w:ascii="Arial" w:cs="Arial" w:eastAsia="Arial" w:hAnsi="Arial"/>
                <w:sz w:val="14"/>
                <w:szCs w:val="14"/>
                <w:color w:val="auto"/>
              </w:rPr>
              <w:t>Japanese Yen</w:t>
            </w:r>
          </w:p>
        </w:tc>
        <w:tc>
          <w:tcPr>
            <w:tcW w:w="1820" w:type="dxa"/>
            <w:vAlign w:val="bottom"/>
            <w:gridSpan w:val="3"/>
          </w:tcPr>
          <w:p>
            <w:pPr>
              <w:jc w:val="right"/>
              <w:ind w:right="480"/>
              <w:spacing w:after="0" w:line="146" w:lineRule="exact"/>
              <w:rPr>
                <w:sz w:val="20"/>
                <w:szCs w:val="20"/>
                <w:color w:val="auto"/>
              </w:rPr>
            </w:pPr>
            <w:r>
              <w:rPr>
                <w:rFonts w:ascii="Arial" w:cs="Arial" w:eastAsia="Arial" w:hAnsi="Arial"/>
                <w:sz w:val="14"/>
                <w:szCs w:val="14"/>
                <w:color w:val="auto"/>
              </w:rPr>
              <w:t>1,386,826,057</w:t>
            </w:r>
          </w:p>
        </w:tc>
        <w:tc>
          <w:tcPr>
            <w:tcW w:w="1540" w:type="dxa"/>
            <w:vAlign w:val="bottom"/>
          </w:tcPr>
          <w:p>
            <w:pPr>
              <w:ind w:left="560"/>
              <w:spacing w:after="0" w:line="146" w:lineRule="exact"/>
              <w:rPr>
                <w:sz w:val="20"/>
                <w:szCs w:val="20"/>
                <w:color w:val="auto"/>
              </w:rPr>
            </w:pPr>
            <w:r>
              <w:rPr>
                <w:rFonts w:ascii="Arial" w:cs="Arial" w:eastAsia="Arial" w:hAnsi="Arial"/>
                <w:sz w:val="14"/>
                <w:szCs w:val="14"/>
                <w:color w:val="auto"/>
              </w:rPr>
              <w:t>88.99per US$</w:t>
            </w:r>
          </w:p>
        </w:tc>
        <w:tc>
          <w:tcPr>
            <w:tcW w:w="2200" w:type="dxa"/>
            <w:vAlign w:val="bottom"/>
            <w:gridSpan w:val="2"/>
          </w:tcPr>
          <w:p>
            <w:pPr>
              <w:ind w:left="1020"/>
              <w:spacing w:after="0" w:line="146" w:lineRule="exact"/>
              <w:rPr>
                <w:sz w:val="20"/>
                <w:szCs w:val="20"/>
                <w:color w:val="auto"/>
              </w:rPr>
            </w:pPr>
            <w:r>
              <w:rPr>
                <w:rFonts w:ascii="Arial" w:cs="Arial" w:eastAsia="Arial" w:hAnsi="Arial"/>
                <w:sz w:val="14"/>
                <w:szCs w:val="14"/>
                <w:color w:val="auto"/>
              </w:rPr>
              <w:t>88.43per US$</w:t>
            </w:r>
          </w:p>
        </w:tc>
        <w:tc>
          <w:tcPr>
            <w:tcW w:w="100" w:type="dxa"/>
            <w:vAlign w:val="bottom"/>
          </w:tcPr>
          <w:p>
            <w:pPr>
              <w:spacing w:after="0" w:line="146"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00"/>
              <w:spacing w:after="0" w:line="146" w:lineRule="exact"/>
              <w:rPr>
                <w:sz w:val="20"/>
                <w:szCs w:val="20"/>
                <w:color w:val="auto"/>
              </w:rPr>
            </w:pPr>
            <w:r>
              <w:rPr>
                <w:rFonts w:ascii="Arial" w:cs="Arial" w:eastAsia="Arial" w:hAnsi="Arial"/>
                <w:sz w:val="14"/>
                <w:szCs w:val="14"/>
                <w:color w:val="auto"/>
                <w:w w:val="97"/>
              </w:rPr>
              <w:t>(1,231,074)</w:t>
            </w:r>
          </w:p>
        </w:tc>
        <w:tc>
          <w:tcPr>
            <w:tcW w:w="1680" w:type="dxa"/>
            <w:vAlign w:val="bottom"/>
            <w:gridSpan w:val="2"/>
          </w:tcPr>
          <w:p>
            <w:pPr>
              <w:jc w:val="center"/>
              <w:spacing w:after="0" w:line="146" w:lineRule="exact"/>
              <w:rPr>
                <w:sz w:val="20"/>
                <w:szCs w:val="20"/>
                <w:color w:val="auto"/>
              </w:rPr>
            </w:pPr>
            <w:r>
              <w:rPr>
                <w:rFonts w:ascii="Arial" w:cs="Arial" w:eastAsia="Arial" w:hAnsi="Arial"/>
                <w:sz w:val="14"/>
                <w:szCs w:val="14"/>
                <w:color w:val="auto"/>
                <w:w w:val="93"/>
              </w:rPr>
              <w:t>Mar 2011 - May 2011</w:t>
            </w:r>
          </w:p>
        </w:tc>
        <w:tc>
          <w:tcPr>
            <w:tcW w:w="900" w:type="dxa"/>
            <w:vAlign w:val="bottom"/>
            <w:gridSpan w:val="2"/>
          </w:tcPr>
          <w:p>
            <w:pPr>
              <w:ind w:left="260"/>
              <w:spacing w:after="0" w:line="146" w:lineRule="exact"/>
              <w:rPr>
                <w:sz w:val="20"/>
                <w:szCs w:val="20"/>
                <w:color w:val="auto"/>
              </w:rPr>
            </w:pPr>
            <w:r>
              <w:rPr>
                <w:rFonts w:ascii="Arial" w:cs="Arial" w:eastAsia="Arial" w:hAnsi="Arial"/>
                <w:sz w:val="14"/>
                <w:szCs w:val="14"/>
                <w:color w:val="auto"/>
              </w:rPr>
              <w:t>Q1 FY12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Japanese Yen</w:t>
            </w:r>
          </w:p>
        </w:tc>
        <w:tc>
          <w:tcPr>
            <w:tcW w:w="1820" w:type="dxa"/>
            <w:vAlign w:val="bottom"/>
            <w:gridSpan w:val="3"/>
            <w:shd w:val="clear" w:color="auto" w:fill="CCEEFF"/>
          </w:tcPr>
          <w:p>
            <w:pPr>
              <w:jc w:val="right"/>
              <w:ind w:right="480"/>
              <w:spacing w:after="0" w:line="146" w:lineRule="exact"/>
              <w:rPr>
                <w:sz w:val="20"/>
                <w:szCs w:val="20"/>
                <w:color w:val="auto"/>
              </w:rPr>
            </w:pPr>
            <w:r>
              <w:rPr>
                <w:rFonts w:ascii="Arial" w:cs="Arial" w:eastAsia="Arial" w:hAnsi="Arial"/>
                <w:sz w:val="14"/>
                <w:szCs w:val="14"/>
                <w:color w:val="auto"/>
              </w:rPr>
              <w:t>1,531,130,000</w:t>
            </w:r>
          </w:p>
        </w:tc>
        <w:tc>
          <w:tcPr>
            <w:tcW w:w="1540" w:type="dxa"/>
            <w:vAlign w:val="bottom"/>
            <w:shd w:val="clear" w:color="auto" w:fill="CCEEFF"/>
          </w:tcPr>
          <w:p>
            <w:pPr>
              <w:ind w:left="560"/>
              <w:spacing w:after="0" w:line="146" w:lineRule="exact"/>
              <w:rPr>
                <w:sz w:val="20"/>
                <w:szCs w:val="20"/>
                <w:color w:val="auto"/>
              </w:rPr>
            </w:pPr>
            <w:r>
              <w:rPr>
                <w:rFonts w:ascii="Arial" w:cs="Arial" w:eastAsia="Arial" w:hAnsi="Arial"/>
                <w:sz w:val="14"/>
                <w:szCs w:val="14"/>
                <w:color w:val="auto"/>
              </w:rPr>
              <w:t>85.65per US$</w:t>
            </w:r>
          </w:p>
        </w:tc>
        <w:tc>
          <w:tcPr>
            <w:tcW w:w="2200" w:type="dxa"/>
            <w:vAlign w:val="bottom"/>
            <w:gridSpan w:val="2"/>
            <w:shd w:val="clear" w:color="auto" w:fill="CCEEFF"/>
          </w:tcPr>
          <w:p>
            <w:pPr>
              <w:ind w:left="1020"/>
              <w:spacing w:after="0" w:line="146" w:lineRule="exact"/>
              <w:rPr>
                <w:sz w:val="20"/>
                <w:szCs w:val="20"/>
                <w:color w:val="auto"/>
              </w:rPr>
            </w:pPr>
            <w:r>
              <w:rPr>
                <w:rFonts w:ascii="Arial" w:cs="Arial" w:eastAsia="Arial" w:hAnsi="Arial"/>
                <w:sz w:val="14"/>
                <w:szCs w:val="14"/>
                <w:color w:val="auto"/>
              </w:rPr>
              <w:t>85.21per US$</w:t>
            </w:r>
          </w:p>
        </w:tc>
        <w:tc>
          <w:tcPr>
            <w:tcW w:w="1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(730,357)</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center"/>
              <w:ind w:right="169"/>
              <w:spacing w:after="0" w:line="146" w:lineRule="exact"/>
              <w:rPr>
                <w:sz w:val="20"/>
                <w:szCs w:val="20"/>
                <w:color w:val="auto"/>
              </w:rPr>
            </w:pPr>
            <w:r>
              <w:rPr>
                <w:rFonts w:ascii="Arial" w:cs="Arial" w:eastAsia="Arial" w:hAnsi="Arial"/>
                <w:sz w:val="14"/>
                <w:szCs w:val="14"/>
                <w:color w:val="auto"/>
                <w:w w:val="90"/>
              </w:rPr>
              <w:t>Jun 2011 - Aug 2011</w:t>
            </w:r>
          </w:p>
        </w:tc>
        <w:tc>
          <w:tcPr>
            <w:tcW w:w="900" w:type="dxa"/>
            <w:vAlign w:val="bottom"/>
            <w:gridSpan w:val="2"/>
            <w:shd w:val="clear" w:color="auto" w:fill="CCEEFF"/>
          </w:tcPr>
          <w:p>
            <w:pPr>
              <w:ind w:left="260"/>
              <w:spacing w:after="0" w:line="146" w:lineRule="exact"/>
              <w:rPr>
                <w:sz w:val="20"/>
                <w:szCs w:val="20"/>
                <w:color w:val="auto"/>
              </w:rPr>
            </w:pPr>
            <w:r>
              <w:rPr>
                <w:rFonts w:ascii="Arial" w:cs="Arial" w:eastAsia="Arial" w:hAnsi="Arial"/>
                <w:sz w:val="14"/>
                <w:szCs w:val="14"/>
                <w:color w:val="auto"/>
              </w:rPr>
              <w:t>Q2 FY12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tcPr>
          <w:p>
            <w:pPr>
              <w:spacing w:after="0" w:line="146" w:lineRule="exact"/>
              <w:rPr>
                <w:sz w:val="20"/>
                <w:szCs w:val="20"/>
                <w:color w:val="auto"/>
              </w:rPr>
            </w:pPr>
            <w:r>
              <w:rPr>
                <w:rFonts w:ascii="Arial" w:cs="Arial" w:eastAsia="Arial" w:hAnsi="Arial"/>
                <w:sz w:val="14"/>
                <w:szCs w:val="14"/>
                <w:color w:val="auto"/>
              </w:rPr>
              <w:t>Japanese Yen</w:t>
            </w:r>
          </w:p>
        </w:tc>
        <w:tc>
          <w:tcPr>
            <w:tcW w:w="1820" w:type="dxa"/>
            <w:vAlign w:val="bottom"/>
            <w:gridSpan w:val="3"/>
          </w:tcPr>
          <w:p>
            <w:pPr>
              <w:jc w:val="right"/>
              <w:ind w:right="480"/>
              <w:spacing w:after="0" w:line="146" w:lineRule="exact"/>
              <w:rPr>
                <w:sz w:val="20"/>
                <w:szCs w:val="20"/>
                <w:color w:val="auto"/>
              </w:rPr>
            </w:pPr>
            <w:r>
              <w:rPr>
                <w:rFonts w:ascii="Arial" w:cs="Arial" w:eastAsia="Arial" w:hAnsi="Arial"/>
                <w:sz w:val="14"/>
                <w:szCs w:val="14"/>
                <w:color w:val="auto"/>
              </w:rPr>
              <w:t>1,490,748,302</w:t>
            </w:r>
          </w:p>
        </w:tc>
        <w:tc>
          <w:tcPr>
            <w:tcW w:w="1540" w:type="dxa"/>
            <w:vAlign w:val="bottom"/>
          </w:tcPr>
          <w:p>
            <w:pPr>
              <w:ind w:left="560"/>
              <w:spacing w:after="0" w:line="146" w:lineRule="exact"/>
              <w:rPr>
                <w:sz w:val="20"/>
                <w:szCs w:val="20"/>
                <w:color w:val="auto"/>
              </w:rPr>
            </w:pPr>
            <w:r>
              <w:rPr>
                <w:rFonts w:ascii="Arial" w:cs="Arial" w:eastAsia="Arial" w:hAnsi="Arial"/>
                <w:sz w:val="14"/>
                <w:szCs w:val="14"/>
                <w:color w:val="auto"/>
              </w:rPr>
              <w:t>81.73per US$</w:t>
            </w:r>
          </w:p>
        </w:tc>
        <w:tc>
          <w:tcPr>
            <w:tcW w:w="2200" w:type="dxa"/>
            <w:vAlign w:val="bottom"/>
            <w:gridSpan w:val="2"/>
          </w:tcPr>
          <w:p>
            <w:pPr>
              <w:ind w:left="1020"/>
              <w:spacing w:after="0" w:line="146" w:lineRule="exact"/>
              <w:rPr>
                <w:sz w:val="20"/>
                <w:szCs w:val="20"/>
                <w:color w:val="auto"/>
              </w:rPr>
            </w:pPr>
            <w:r>
              <w:rPr>
                <w:rFonts w:ascii="Arial" w:cs="Arial" w:eastAsia="Arial" w:hAnsi="Arial"/>
                <w:sz w:val="14"/>
                <w:szCs w:val="14"/>
                <w:color w:val="auto"/>
              </w:rPr>
              <w:t>81.30per US$</w:t>
            </w:r>
          </w:p>
        </w:tc>
        <w:tc>
          <w:tcPr>
            <w:tcW w:w="100" w:type="dxa"/>
            <w:vAlign w:val="bottom"/>
          </w:tcPr>
          <w:p>
            <w:pPr>
              <w:spacing w:after="0" w:line="146"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60"/>
              <w:spacing w:after="0" w:line="146" w:lineRule="exact"/>
              <w:rPr>
                <w:sz w:val="20"/>
                <w:szCs w:val="20"/>
                <w:color w:val="auto"/>
              </w:rPr>
            </w:pPr>
            <w:r>
              <w:rPr>
                <w:rFonts w:ascii="Arial" w:cs="Arial" w:eastAsia="Arial" w:hAnsi="Arial"/>
                <w:sz w:val="14"/>
                <w:szCs w:val="14"/>
                <w:color w:val="auto"/>
              </w:rPr>
              <w:t>68,243</w:t>
            </w:r>
          </w:p>
        </w:tc>
        <w:tc>
          <w:tcPr>
            <w:tcW w:w="220" w:type="dxa"/>
            <w:vAlign w:val="bottom"/>
          </w:tcPr>
          <w:p>
            <w:pPr>
              <w:spacing w:after="0"/>
              <w:rPr>
                <w:sz w:val="12"/>
                <w:szCs w:val="12"/>
                <w:color w:val="auto"/>
              </w:rPr>
            </w:pPr>
          </w:p>
        </w:tc>
        <w:tc>
          <w:tcPr>
            <w:tcW w:w="1460" w:type="dxa"/>
            <w:vAlign w:val="bottom"/>
          </w:tcPr>
          <w:p>
            <w:pPr>
              <w:jc w:val="center"/>
              <w:ind w:right="149"/>
              <w:spacing w:after="0" w:line="146" w:lineRule="exact"/>
              <w:rPr>
                <w:sz w:val="20"/>
                <w:szCs w:val="20"/>
                <w:color w:val="auto"/>
              </w:rPr>
            </w:pPr>
            <w:r>
              <w:rPr>
                <w:rFonts w:ascii="Arial" w:cs="Arial" w:eastAsia="Arial" w:hAnsi="Arial"/>
                <w:sz w:val="14"/>
                <w:szCs w:val="14"/>
                <w:color w:val="auto"/>
                <w:w w:val="90"/>
              </w:rPr>
              <w:t>Sep 2011 - Nov 2011</w:t>
            </w:r>
          </w:p>
        </w:tc>
        <w:tc>
          <w:tcPr>
            <w:tcW w:w="900" w:type="dxa"/>
            <w:vAlign w:val="bottom"/>
            <w:gridSpan w:val="2"/>
          </w:tcPr>
          <w:p>
            <w:pPr>
              <w:ind w:left="260"/>
              <w:spacing w:after="0" w:line="146" w:lineRule="exact"/>
              <w:rPr>
                <w:sz w:val="20"/>
                <w:szCs w:val="20"/>
                <w:color w:val="auto"/>
              </w:rPr>
            </w:pPr>
            <w:r>
              <w:rPr>
                <w:rFonts w:ascii="Arial" w:cs="Arial" w:eastAsia="Arial" w:hAnsi="Arial"/>
                <w:sz w:val="14"/>
                <w:szCs w:val="14"/>
                <w:color w:val="auto"/>
              </w:rPr>
              <w:t>Q3 FY12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GBP</w:t>
            </w:r>
          </w:p>
        </w:tc>
        <w:tc>
          <w:tcPr>
            <w:tcW w:w="1820" w:type="dxa"/>
            <w:vAlign w:val="bottom"/>
            <w:gridSpan w:val="3"/>
            <w:shd w:val="clear" w:color="auto" w:fill="CCEEFF"/>
          </w:tcPr>
          <w:p>
            <w:pPr>
              <w:jc w:val="right"/>
              <w:ind w:right="440"/>
              <w:spacing w:after="0" w:line="146" w:lineRule="exact"/>
              <w:rPr>
                <w:sz w:val="20"/>
                <w:szCs w:val="20"/>
                <w:color w:val="auto"/>
              </w:rPr>
            </w:pPr>
            <w:r>
              <w:rPr>
                <w:rFonts w:ascii="Arial" w:cs="Arial" w:eastAsia="Arial" w:hAnsi="Arial"/>
                <w:sz w:val="14"/>
                <w:szCs w:val="14"/>
                <w:color w:val="auto"/>
              </w:rPr>
              <w:t>(796,222)</w:t>
            </w:r>
          </w:p>
        </w:tc>
        <w:tc>
          <w:tcPr>
            <w:tcW w:w="1540" w:type="dxa"/>
            <w:vAlign w:val="bottom"/>
            <w:shd w:val="clear" w:color="auto" w:fill="CCEEFF"/>
          </w:tcPr>
          <w:p>
            <w:pPr>
              <w:ind w:left="560"/>
              <w:spacing w:after="0" w:line="146" w:lineRule="exact"/>
              <w:rPr>
                <w:sz w:val="20"/>
                <w:szCs w:val="20"/>
                <w:color w:val="auto"/>
              </w:rPr>
            </w:pPr>
            <w:r>
              <w:rPr>
                <w:rFonts w:ascii="Arial" w:cs="Arial" w:eastAsia="Arial" w:hAnsi="Arial"/>
                <w:sz w:val="14"/>
                <w:szCs w:val="14"/>
                <w:color w:val="auto"/>
              </w:rPr>
              <w:t>1.560</w:t>
            </w:r>
          </w:p>
        </w:tc>
        <w:tc>
          <w:tcPr>
            <w:tcW w:w="2200" w:type="dxa"/>
            <w:vAlign w:val="bottom"/>
            <w:gridSpan w:val="2"/>
            <w:shd w:val="clear" w:color="auto" w:fill="CCEEFF"/>
          </w:tcPr>
          <w:p>
            <w:pPr>
              <w:ind w:left="1020"/>
              <w:spacing w:after="0" w:line="146" w:lineRule="exact"/>
              <w:rPr>
                <w:sz w:val="20"/>
                <w:szCs w:val="20"/>
                <w:color w:val="auto"/>
              </w:rPr>
            </w:pPr>
            <w:r>
              <w:rPr>
                <w:rFonts w:ascii="Arial" w:cs="Arial" w:eastAsia="Arial" w:hAnsi="Arial"/>
                <w:sz w:val="14"/>
                <w:szCs w:val="14"/>
                <w:color w:val="auto"/>
              </w:rPr>
              <w:t>1.556</w:t>
            </w:r>
          </w:p>
        </w:tc>
        <w:tc>
          <w:tcPr>
            <w:tcW w:w="1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00"/>
              <w:spacing w:after="0" w:line="146" w:lineRule="exact"/>
              <w:rPr>
                <w:sz w:val="20"/>
                <w:szCs w:val="20"/>
                <w:color w:val="auto"/>
              </w:rPr>
            </w:pPr>
            <w:r>
              <w:rPr>
                <w:rFonts w:ascii="Arial" w:cs="Arial" w:eastAsia="Arial" w:hAnsi="Arial"/>
                <w:sz w:val="14"/>
                <w:szCs w:val="14"/>
                <w:color w:val="auto"/>
              </w:rPr>
              <w:t>(6,437)</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center"/>
              <w:ind w:right="169"/>
              <w:spacing w:after="0" w:line="146" w:lineRule="exact"/>
              <w:rPr>
                <w:sz w:val="20"/>
                <w:szCs w:val="20"/>
                <w:color w:val="auto"/>
              </w:rPr>
            </w:pPr>
            <w:r>
              <w:rPr>
                <w:rFonts w:ascii="Arial" w:cs="Arial" w:eastAsia="Arial" w:hAnsi="Arial"/>
                <w:sz w:val="14"/>
                <w:szCs w:val="14"/>
                <w:color w:val="auto"/>
                <w:w w:val="90"/>
              </w:rPr>
              <w:t>Nov 2010 - Jan 2011</w:t>
            </w:r>
          </w:p>
        </w:tc>
        <w:tc>
          <w:tcPr>
            <w:tcW w:w="900" w:type="dxa"/>
            <w:vAlign w:val="bottom"/>
            <w:gridSpan w:val="2"/>
            <w:shd w:val="clear" w:color="auto" w:fill="CCEEFF"/>
          </w:tcPr>
          <w:p>
            <w:pPr>
              <w:ind w:left="260"/>
              <w:spacing w:after="0" w:line="146" w:lineRule="exact"/>
              <w:rPr>
                <w:sz w:val="20"/>
                <w:szCs w:val="20"/>
                <w:color w:val="auto"/>
              </w:rPr>
            </w:pPr>
            <w:r>
              <w:rPr>
                <w:rFonts w:ascii="Arial" w:cs="Arial" w:eastAsia="Arial" w:hAnsi="Arial"/>
                <w:sz w:val="14"/>
                <w:szCs w:val="14"/>
                <w:color w:val="auto"/>
              </w:rPr>
              <w:t>Q4 FY11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tcPr>
          <w:p>
            <w:pPr>
              <w:spacing w:after="0" w:line="146" w:lineRule="exact"/>
              <w:rPr>
                <w:sz w:val="20"/>
                <w:szCs w:val="20"/>
                <w:color w:val="auto"/>
              </w:rPr>
            </w:pPr>
            <w:r>
              <w:rPr>
                <w:rFonts w:ascii="Arial" w:cs="Arial" w:eastAsia="Arial" w:hAnsi="Arial"/>
                <w:sz w:val="14"/>
                <w:szCs w:val="14"/>
                <w:color w:val="auto"/>
              </w:rPr>
              <w:t>GBP</w:t>
            </w:r>
          </w:p>
        </w:tc>
        <w:tc>
          <w:tcPr>
            <w:tcW w:w="1820" w:type="dxa"/>
            <w:vAlign w:val="bottom"/>
            <w:gridSpan w:val="3"/>
          </w:tcPr>
          <w:p>
            <w:pPr>
              <w:jc w:val="right"/>
              <w:ind w:right="440"/>
              <w:spacing w:after="0" w:line="146" w:lineRule="exact"/>
              <w:rPr>
                <w:sz w:val="20"/>
                <w:szCs w:val="20"/>
                <w:color w:val="auto"/>
              </w:rPr>
            </w:pPr>
            <w:r>
              <w:rPr>
                <w:rFonts w:ascii="Arial" w:cs="Arial" w:eastAsia="Arial" w:hAnsi="Arial"/>
                <w:sz w:val="14"/>
                <w:szCs w:val="14"/>
                <w:color w:val="auto"/>
              </w:rPr>
              <w:t>(2,616,001)</w:t>
            </w:r>
          </w:p>
        </w:tc>
        <w:tc>
          <w:tcPr>
            <w:tcW w:w="1540" w:type="dxa"/>
            <w:vAlign w:val="bottom"/>
          </w:tcPr>
          <w:p>
            <w:pPr>
              <w:ind w:left="560"/>
              <w:spacing w:after="0" w:line="146" w:lineRule="exact"/>
              <w:rPr>
                <w:sz w:val="20"/>
                <w:szCs w:val="20"/>
                <w:color w:val="auto"/>
              </w:rPr>
            </w:pPr>
            <w:r>
              <w:rPr>
                <w:rFonts w:ascii="Arial" w:cs="Arial" w:eastAsia="Arial" w:hAnsi="Arial"/>
                <w:sz w:val="14"/>
                <w:szCs w:val="14"/>
                <w:color w:val="auto"/>
              </w:rPr>
              <w:t>1.500</w:t>
            </w:r>
          </w:p>
        </w:tc>
        <w:tc>
          <w:tcPr>
            <w:tcW w:w="2200" w:type="dxa"/>
            <w:vAlign w:val="bottom"/>
            <w:gridSpan w:val="2"/>
          </w:tcPr>
          <w:p>
            <w:pPr>
              <w:ind w:left="1020"/>
              <w:spacing w:after="0" w:line="146" w:lineRule="exact"/>
              <w:rPr>
                <w:sz w:val="20"/>
                <w:szCs w:val="20"/>
                <w:color w:val="auto"/>
              </w:rPr>
            </w:pPr>
            <w:r>
              <w:rPr>
                <w:rFonts w:ascii="Arial" w:cs="Arial" w:eastAsia="Arial" w:hAnsi="Arial"/>
                <w:sz w:val="14"/>
                <w:szCs w:val="14"/>
                <w:color w:val="auto"/>
              </w:rPr>
              <w:t>1.499</w:t>
            </w:r>
          </w:p>
        </w:tc>
        <w:tc>
          <w:tcPr>
            <w:tcW w:w="100" w:type="dxa"/>
            <w:vAlign w:val="bottom"/>
          </w:tcPr>
          <w:p>
            <w:pPr>
              <w:spacing w:after="0" w:line="146"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60"/>
              <w:spacing w:after="0" w:line="146" w:lineRule="exact"/>
              <w:rPr>
                <w:sz w:val="20"/>
                <w:szCs w:val="20"/>
                <w:color w:val="auto"/>
              </w:rPr>
            </w:pPr>
            <w:r>
              <w:rPr>
                <w:rFonts w:ascii="Arial" w:cs="Arial" w:eastAsia="Arial" w:hAnsi="Arial"/>
                <w:sz w:val="14"/>
                <w:szCs w:val="14"/>
                <w:color w:val="auto"/>
              </w:rPr>
              <w:t>123,692</w:t>
            </w:r>
          </w:p>
        </w:tc>
        <w:tc>
          <w:tcPr>
            <w:tcW w:w="220" w:type="dxa"/>
            <w:vAlign w:val="bottom"/>
          </w:tcPr>
          <w:p>
            <w:pPr>
              <w:spacing w:after="0"/>
              <w:rPr>
                <w:sz w:val="12"/>
                <w:szCs w:val="12"/>
                <w:color w:val="auto"/>
              </w:rPr>
            </w:pPr>
          </w:p>
        </w:tc>
        <w:tc>
          <w:tcPr>
            <w:tcW w:w="1460" w:type="dxa"/>
            <w:vAlign w:val="bottom"/>
          </w:tcPr>
          <w:p>
            <w:pPr>
              <w:jc w:val="center"/>
              <w:ind w:right="149"/>
              <w:spacing w:after="0" w:line="146" w:lineRule="exact"/>
              <w:rPr>
                <w:sz w:val="20"/>
                <w:szCs w:val="20"/>
                <w:color w:val="auto"/>
              </w:rPr>
            </w:pPr>
            <w:r>
              <w:rPr>
                <w:rFonts w:ascii="Arial" w:cs="Arial" w:eastAsia="Arial" w:hAnsi="Arial"/>
                <w:sz w:val="14"/>
                <w:szCs w:val="14"/>
                <w:color w:val="auto"/>
                <w:w w:val="90"/>
              </w:rPr>
              <w:t>Feb 2011 - Apr 2011</w:t>
            </w:r>
          </w:p>
        </w:tc>
        <w:tc>
          <w:tcPr>
            <w:tcW w:w="900" w:type="dxa"/>
            <w:vAlign w:val="bottom"/>
            <w:gridSpan w:val="2"/>
          </w:tcPr>
          <w:p>
            <w:pPr>
              <w:ind w:left="260"/>
              <w:spacing w:after="0" w:line="146" w:lineRule="exact"/>
              <w:rPr>
                <w:sz w:val="20"/>
                <w:szCs w:val="20"/>
                <w:color w:val="auto"/>
              </w:rPr>
            </w:pPr>
            <w:r>
              <w:rPr>
                <w:rFonts w:ascii="Arial" w:cs="Arial" w:eastAsia="Arial" w:hAnsi="Arial"/>
                <w:sz w:val="14"/>
                <w:szCs w:val="14"/>
                <w:color w:val="auto"/>
              </w:rPr>
              <w:t>Q1 FY12</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jc w:val="center"/>
              <w:ind w:right="149"/>
              <w:spacing w:after="0" w:line="127" w:lineRule="exact"/>
              <w:rPr>
                <w:sz w:val="20"/>
                <w:szCs w:val="20"/>
                <w:color w:val="auto"/>
              </w:rPr>
            </w:pPr>
            <w:r>
              <w:rPr>
                <w:rFonts w:ascii="Arial" w:cs="Arial" w:eastAsia="Arial" w:hAnsi="Arial"/>
                <w:sz w:val="14"/>
                <w:szCs w:val="14"/>
                <w:color w:val="auto"/>
                <w:w w:val="93"/>
              </w:rPr>
              <w:t>May 2011 - July</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GBP</w:t>
            </w:r>
          </w:p>
        </w:tc>
        <w:tc>
          <w:tcPr>
            <w:tcW w:w="182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(2,679,632)</w:t>
            </w:r>
          </w:p>
        </w:tc>
        <w:tc>
          <w:tcPr>
            <w:tcW w:w="15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1.540</w:t>
            </w:r>
          </w:p>
        </w:tc>
        <w:tc>
          <w:tcPr>
            <w:tcW w:w="220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1.538</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19,047</w:t>
            </w:r>
          </w:p>
        </w:tc>
        <w:tc>
          <w:tcPr>
            <w:tcW w:w="16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9"/>
              </w:rPr>
              <w:t>2011</w:t>
            </w: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Q2 FY12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tcPr>
          <w:p>
            <w:pPr>
              <w:spacing w:after="0" w:line="146" w:lineRule="exact"/>
              <w:rPr>
                <w:sz w:val="20"/>
                <w:szCs w:val="20"/>
                <w:color w:val="auto"/>
              </w:rPr>
            </w:pPr>
            <w:r>
              <w:rPr>
                <w:rFonts w:ascii="Arial" w:cs="Arial" w:eastAsia="Arial" w:hAnsi="Arial"/>
                <w:sz w:val="14"/>
                <w:szCs w:val="14"/>
                <w:color w:val="auto"/>
              </w:rPr>
              <w:t>GBP</w:t>
            </w:r>
          </w:p>
        </w:tc>
        <w:tc>
          <w:tcPr>
            <w:tcW w:w="1820" w:type="dxa"/>
            <w:vAlign w:val="bottom"/>
            <w:gridSpan w:val="3"/>
          </w:tcPr>
          <w:p>
            <w:pPr>
              <w:jc w:val="right"/>
              <w:ind w:right="440"/>
              <w:spacing w:after="0" w:line="146" w:lineRule="exact"/>
              <w:rPr>
                <w:sz w:val="20"/>
                <w:szCs w:val="20"/>
                <w:color w:val="auto"/>
              </w:rPr>
            </w:pPr>
            <w:r>
              <w:rPr>
                <w:rFonts w:ascii="Arial" w:cs="Arial" w:eastAsia="Arial" w:hAnsi="Arial"/>
                <w:sz w:val="14"/>
                <w:szCs w:val="14"/>
                <w:color w:val="auto"/>
              </w:rPr>
              <w:t>(2,679,632)</w:t>
            </w:r>
          </w:p>
        </w:tc>
        <w:tc>
          <w:tcPr>
            <w:tcW w:w="1540" w:type="dxa"/>
            <w:vAlign w:val="bottom"/>
          </w:tcPr>
          <w:p>
            <w:pPr>
              <w:ind w:left="560"/>
              <w:spacing w:after="0" w:line="146" w:lineRule="exact"/>
              <w:rPr>
                <w:sz w:val="20"/>
                <w:szCs w:val="20"/>
                <w:color w:val="auto"/>
              </w:rPr>
            </w:pPr>
            <w:r>
              <w:rPr>
                <w:rFonts w:ascii="Arial" w:cs="Arial" w:eastAsia="Arial" w:hAnsi="Arial"/>
                <w:sz w:val="14"/>
                <w:szCs w:val="14"/>
                <w:color w:val="auto"/>
              </w:rPr>
              <w:t>1.574</w:t>
            </w:r>
          </w:p>
        </w:tc>
        <w:tc>
          <w:tcPr>
            <w:tcW w:w="2200" w:type="dxa"/>
            <w:vAlign w:val="bottom"/>
            <w:gridSpan w:val="2"/>
          </w:tcPr>
          <w:p>
            <w:pPr>
              <w:ind w:left="1020"/>
              <w:spacing w:after="0" w:line="146" w:lineRule="exact"/>
              <w:rPr>
                <w:sz w:val="20"/>
                <w:szCs w:val="20"/>
                <w:color w:val="auto"/>
              </w:rPr>
            </w:pPr>
            <w:r>
              <w:rPr>
                <w:rFonts w:ascii="Arial" w:cs="Arial" w:eastAsia="Arial" w:hAnsi="Arial"/>
                <w:sz w:val="14"/>
                <w:szCs w:val="14"/>
                <w:color w:val="auto"/>
              </w:rPr>
              <w:t>1.569</w:t>
            </w:r>
          </w:p>
        </w:tc>
        <w:tc>
          <w:tcPr>
            <w:tcW w:w="100" w:type="dxa"/>
            <w:vAlign w:val="bottom"/>
          </w:tcPr>
          <w:p>
            <w:pPr>
              <w:spacing w:after="0" w:line="146"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00"/>
              <w:spacing w:after="0" w:line="146" w:lineRule="exact"/>
              <w:rPr>
                <w:sz w:val="20"/>
                <w:szCs w:val="20"/>
                <w:color w:val="auto"/>
              </w:rPr>
            </w:pPr>
            <w:r>
              <w:rPr>
                <w:rFonts w:ascii="Arial" w:cs="Arial" w:eastAsia="Arial" w:hAnsi="Arial"/>
                <w:sz w:val="14"/>
                <w:szCs w:val="14"/>
                <w:color w:val="auto"/>
              </w:rPr>
              <w:t>(63,516)</w:t>
            </w:r>
          </w:p>
        </w:tc>
        <w:tc>
          <w:tcPr>
            <w:tcW w:w="220" w:type="dxa"/>
            <w:vAlign w:val="bottom"/>
          </w:tcPr>
          <w:p>
            <w:pPr>
              <w:spacing w:after="0"/>
              <w:rPr>
                <w:sz w:val="12"/>
                <w:szCs w:val="12"/>
                <w:color w:val="auto"/>
              </w:rPr>
            </w:pPr>
          </w:p>
        </w:tc>
        <w:tc>
          <w:tcPr>
            <w:tcW w:w="1460" w:type="dxa"/>
            <w:vAlign w:val="bottom"/>
          </w:tcPr>
          <w:p>
            <w:pPr>
              <w:jc w:val="center"/>
              <w:ind w:right="149"/>
              <w:spacing w:after="0" w:line="146" w:lineRule="exact"/>
              <w:rPr>
                <w:sz w:val="20"/>
                <w:szCs w:val="20"/>
                <w:color w:val="auto"/>
              </w:rPr>
            </w:pPr>
            <w:r>
              <w:rPr>
                <w:rFonts w:ascii="Arial" w:cs="Arial" w:eastAsia="Arial" w:hAnsi="Arial"/>
                <w:sz w:val="14"/>
                <w:szCs w:val="14"/>
                <w:color w:val="auto"/>
                <w:w w:val="92"/>
              </w:rPr>
              <w:t>Aug 2011 - Oct 2011</w:t>
            </w:r>
          </w:p>
        </w:tc>
        <w:tc>
          <w:tcPr>
            <w:tcW w:w="900" w:type="dxa"/>
            <w:vAlign w:val="bottom"/>
            <w:gridSpan w:val="2"/>
          </w:tcPr>
          <w:p>
            <w:pPr>
              <w:ind w:left="260"/>
              <w:spacing w:after="0" w:line="146" w:lineRule="exact"/>
              <w:rPr>
                <w:sz w:val="20"/>
                <w:szCs w:val="20"/>
                <w:color w:val="auto"/>
              </w:rPr>
            </w:pPr>
            <w:r>
              <w:rPr>
                <w:rFonts w:ascii="Arial" w:cs="Arial" w:eastAsia="Arial" w:hAnsi="Arial"/>
                <w:sz w:val="14"/>
                <w:szCs w:val="14"/>
                <w:color w:val="auto"/>
              </w:rPr>
              <w:t>Q3 FY12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GBP</w:t>
            </w:r>
          </w:p>
        </w:tc>
        <w:tc>
          <w:tcPr>
            <w:tcW w:w="1820" w:type="dxa"/>
            <w:vAlign w:val="bottom"/>
            <w:gridSpan w:val="3"/>
            <w:shd w:val="clear" w:color="auto" w:fill="CCEEFF"/>
          </w:tcPr>
          <w:p>
            <w:pPr>
              <w:jc w:val="right"/>
              <w:ind w:right="440"/>
              <w:spacing w:after="0" w:line="146" w:lineRule="exact"/>
              <w:rPr>
                <w:sz w:val="20"/>
                <w:szCs w:val="20"/>
                <w:color w:val="auto"/>
              </w:rPr>
            </w:pPr>
            <w:r>
              <w:rPr>
                <w:rFonts w:ascii="Arial" w:cs="Arial" w:eastAsia="Arial" w:hAnsi="Arial"/>
                <w:sz w:val="14"/>
                <w:szCs w:val="14"/>
                <w:color w:val="auto"/>
              </w:rPr>
              <w:t>(824,502)</w:t>
            </w:r>
          </w:p>
        </w:tc>
        <w:tc>
          <w:tcPr>
            <w:tcW w:w="1540" w:type="dxa"/>
            <w:vAlign w:val="bottom"/>
            <w:shd w:val="clear" w:color="auto" w:fill="CCEEFF"/>
          </w:tcPr>
          <w:p>
            <w:pPr>
              <w:ind w:left="560"/>
              <w:spacing w:after="0" w:line="146" w:lineRule="exact"/>
              <w:rPr>
                <w:sz w:val="20"/>
                <w:szCs w:val="20"/>
                <w:color w:val="auto"/>
              </w:rPr>
            </w:pPr>
            <w:r>
              <w:rPr>
                <w:rFonts w:ascii="Arial" w:cs="Arial" w:eastAsia="Arial" w:hAnsi="Arial"/>
                <w:sz w:val="14"/>
                <w:szCs w:val="14"/>
                <w:color w:val="auto"/>
              </w:rPr>
              <w:t>1.536</w:t>
            </w:r>
          </w:p>
        </w:tc>
        <w:tc>
          <w:tcPr>
            <w:tcW w:w="2200" w:type="dxa"/>
            <w:vAlign w:val="bottom"/>
            <w:gridSpan w:val="2"/>
            <w:shd w:val="clear" w:color="auto" w:fill="CCEEFF"/>
          </w:tcPr>
          <w:p>
            <w:pPr>
              <w:ind w:left="1020"/>
              <w:spacing w:after="0" w:line="146" w:lineRule="exact"/>
              <w:rPr>
                <w:sz w:val="20"/>
                <w:szCs w:val="20"/>
                <w:color w:val="auto"/>
              </w:rPr>
            </w:pPr>
            <w:r>
              <w:rPr>
                <w:rFonts w:ascii="Arial" w:cs="Arial" w:eastAsia="Arial" w:hAnsi="Arial"/>
                <w:sz w:val="14"/>
                <w:szCs w:val="14"/>
                <w:color w:val="auto"/>
              </w:rPr>
              <w:t>1.530</w:t>
            </w:r>
          </w:p>
        </w:tc>
        <w:tc>
          <w:tcPr>
            <w:tcW w:w="1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60"/>
              <w:spacing w:after="0" w:line="146" w:lineRule="exact"/>
              <w:rPr>
                <w:sz w:val="20"/>
                <w:szCs w:val="20"/>
                <w:color w:val="auto"/>
              </w:rPr>
            </w:pPr>
            <w:r>
              <w:rPr>
                <w:rFonts w:ascii="Arial" w:cs="Arial" w:eastAsia="Arial" w:hAnsi="Arial"/>
                <w:sz w:val="14"/>
                <w:szCs w:val="14"/>
                <w:color w:val="auto"/>
              </w:rPr>
              <w:t>9,636</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center"/>
              <w:ind w:right="169"/>
              <w:spacing w:after="0" w:line="146" w:lineRule="exact"/>
              <w:rPr>
                <w:sz w:val="20"/>
                <w:szCs w:val="20"/>
                <w:color w:val="auto"/>
              </w:rPr>
            </w:pPr>
            <w:r>
              <w:rPr>
                <w:rFonts w:ascii="Arial" w:cs="Arial" w:eastAsia="Arial" w:hAnsi="Arial"/>
                <w:sz w:val="14"/>
                <w:szCs w:val="14"/>
                <w:color w:val="auto"/>
                <w:w w:val="90"/>
              </w:rPr>
              <w:t>Nov 2011 - Jan 2012</w:t>
            </w:r>
          </w:p>
        </w:tc>
        <w:tc>
          <w:tcPr>
            <w:tcW w:w="900" w:type="dxa"/>
            <w:vAlign w:val="bottom"/>
            <w:gridSpan w:val="2"/>
            <w:shd w:val="clear" w:color="auto" w:fill="CCEEFF"/>
          </w:tcPr>
          <w:p>
            <w:pPr>
              <w:ind w:left="260"/>
              <w:spacing w:after="0" w:line="146" w:lineRule="exact"/>
              <w:rPr>
                <w:sz w:val="20"/>
                <w:szCs w:val="20"/>
                <w:color w:val="auto"/>
              </w:rPr>
            </w:pPr>
            <w:r>
              <w:rPr>
                <w:rFonts w:ascii="Arial" w:cs="Arial" w:eastAsia="Arial" w:hAnsi="Arial"/>
                <w:sz w:val="14"/>
                <w:szCs w:val="14"/>
                <w:color w:val="auto"/>
              </w:rPr>
              <w:t>Q4 FY12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tcPr>
          <w:p>
            <w:pPr>
              <w:spacing w:after="0" w:line="146" w:lineRule="exact"/>
              <w:rPr>
                <w:sz w:val="20"/>
                <w:szCs w:val="20"/>
                <w:color w:val="auto"/>
              </w:rPr>
            </w:pPr>
            <w:r>
              <w:rPr>
                <w:rFonts w:ascii="Arial" w:cs="Arial" w:eastAsia="Arial" w:hAnsi="Arial"/>
                <w:sz w:val="14"/>
                <w:szCs w:val="14"/>
                <w:color w:val="auto"/>
              </w:rPr>
              <w:t>CAD</w:t>
            </w:r>
          </w:p>
        </w:tc>
        <w:tc>
          <w:tcPr>
            <w:tcW w:w="1820" w:type="dxa"/>
            <w:vAlign w:val="bottom"/>
            <w:gridSpan w:val="3"/>
          </w:tcPr>
          <w:p>
            <w:pPr>
              <w:jc w:val="right"/>
              <w:ind w:right="440"/>
              <w:spacing w:after="0" w:line="146" w:lineRule="exact"/>
              <w:rPr>
                <w:sz w:val="20"/>
                <w:szCs w:val="20"/>
                <w:color w:val="auto"/>
              </w:rPr>
            </w:pPr>
            <w:r>
              <w:rPr>
                <w:rFonts w:ascii="Arial" w:cs="Arial" w:eastAsia="Arial" w:hAnsi="Arial"/>
                <w:sz w:val="14"/>
                <w:szCs w:val="14"/>
                <w:color w:val="auto"/>
              </w:rPr>
              <w:t>(3,426,211)</w:t>
            </w:r>
          </w:p>
        </w:tc>
        <w:tc>
          <w:tcPr>
            <w:tcW w:w="1540" w:type="dxa"/>
            <w:vAlign w:val="bottom"/>
          </w:tcPr>
          <w:p>
            <w:pPr>
              <w:ind w:left="560"/>
              <w:spacing w:after="0" w:line="146" w:lineRule="exact"/>
              <w:rPr>
                <w:sz w:val="20"/>
                <w:szCs w:val="20"/>
                <w:color w:val="auto"/>
              </w:rPr>
            </w:pPr>
            <w:r>
              <w:rPr>
                <w:rFonts w:ascii="Arial" w:cs="Arial" w:eastAsia="Arial" w:hAnsi="Arial"/>
                <w:sz w:val="14"/>
                <w:szCs w:val="14"/>
                <w:color w:val="auto"/>
              </w:rPr>
              <w:t>1.028per US$</w:t>
            </w:r>
          </w:p>
        </w:tc>
        <w:tc>
          <w:tcPr>
            <w:tcW w:w="2200" w:type="dxa"/>
            <w:vAlign w:val="bottom"/>
            <w:gridSpan w:val="2"/>
          </w:tcPr>
          <w:p>
            <w:pPr>
              <w:ind w:left="1020"/>
              <w:spacing w:after="0" w:line="146" w:lineRule="exact"/>
              <w:rPr>
                <w:sz w:val="20"/>
                <w:szCs w:val="20"/>
                <w:color w:val="auto"/>
              </w:rPr>
            </w:pPr>
            <w:r>
              <w:rPr>
                <w:rFonts w:ascii="Arial" w:cs="Arial" w:eastAsia="Arial" w:hAnsi="Arial"/>
                <w:sz w:val="14"/>
                <w:szCs w:val="14"/>
                <w:color w:val="auto"/>
              </w:rPr>
              <w:t>1.032per US$</w:t>
            </w:r>
          </w:p>
        </w:tc>
        <w:tc>
          <w:tcPr>
            <w:tcW w:w="100" w:type="dxa"/>
            <w:vAlign w:val="bottom"/>
          </w:tcPr>
          <w:p>
            <w:pPr>
              <w:spacing w:after="0" w:line="146"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60"/>
              <w:spacing w:after="0" w:line="146" w:lineRule="exact"/>
              <w:rPr>
                <w:sz w:val="20"/>
                <w:szCs w:val="20"/>
                <w:color w:val="auto"/>
              </w:rPr>
            </w:pPr>
            <w:r>
              <w:rPr>
                <w:rFonts w:ascii="Arial" w:cs="Arial" w:eastAsia="Arial" w:hAnsi="Arial"/>
                <w:sz w:val="14"/>
                <w:szCs w:val="14"/>
                <w:color w:val="auto"/>
              </w:rPr>
              <w:t>102,991</w:t>
            </w:r>
          </w:p>
        </w:tc>
        <w:tc>
          <w:tcPr>
            <w:tcW w:w="220" w:type="dxa"/>
            <w:vAlign w:val="bottom"/>
          </w:tcPr>
          <w:p>
            <w:pPr>
              <w:spacing w:after="0"/>
              <w:rPr>
                <w:sz w:val="12"/>
                <w:szCs w:val="12"/>
                <w:color w:val="auto"/>
              </w:rPr>
            </w:pPr>
          </w:p>
        </w:tc>
        <w:tc>
          <w:tcPr>
            <w:tcW w:w="1460" w:type="dxa"/>
            <w:vAlign w:val="bottom"/>
          </w:tcPr>
          <w:p>
            <w:pPr>
              <w:jc w:val="center"/>
              <w:ind w:right="149"/>
              <w:spacing w:after="0" w:line="146" w:lineRule="exact"/>
              <w:rPr>
                <w:sz w:val="20"/>
                <w:szCs w:val="20"/>
                <w:color w:val="auto"/>
              </w:rPr>
            </w:pPr>
            <w:r>
              <w:rPr>
                <w:rFonts w:ascii="Arial" w:cs="Arial" w:eastAsia="Arial" w:hAnsi="Arial"/>
                <w:sz w:val="14"/>
                <w:szCs w:val="14"/>
                <w:color w:val="auto"/>
                <w:w w:val="89"/>
              </w:rPr>
              <w:t>Jan 2011 - Mar 2011</w:t>
            </w:r>
          </w:p>
        </w:tc>
        <w:tc>
          <w:tcPr>
            <w:tcW w:w="900" w:type="dxa"/>
            <w:vAlign w:val="bottom"/>
            <w:gridSpan w:val="2"/>
          </w:tcPr>
          <w:p>
            <w:pPr>
              <w:ind w:left="260"/>
              <w:spacing w:after="0" w:line="146" w:lineRule="exact"/>
              <w:rPr>
                <w:sz w:val="20"/>
                <w:szCs w:val="20"/>
                <w:color w:val="auto"/>
              </w:rPr>
            </w:pPr>
            <w:r>
              <w:rPr>
                <w:rFonts w:ascii="Arial" w:cs="Arial" w:eastAsia="Arial" w:hAnsi="Arial"/>
                <w:sz w:val="14"/>
                <w:szCs w:val="14"/>
                <w:color w:val="auto"/>
              </w:rPr>
              <w:t>Q4 FY11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CAD</w:t>
            </w:r>
          </w:p>
        </w:tc>
        <w:tc>
          <w:tcPr>
            <w:tcW w:w="1820" w:type="dxa"/>
            <w:vAlign w:val="bottom"/>
            <w:gridSpan w:val="3"/>
            <w:shd w:val="clear" w:color="auto" w:fill="CCEEFF"/>
          </w:tcPr>
          <w:p>
            <w:pPr>
              <w:jc w:val="right"/>
              <w:ind w:right="440"/>
              <w:spacing w:after="0" w:line="146" w:lineRule="exact"/>
              <w:rPr>
                <w:sz w:val="20"/>
                <w:szCs w:val="20"/>
                <w:color w:val="auto"/>
              </w:rPr>
            </w:pPr>
            <w:r>
              <w:rPr>
                <w:rFonts w:ascii="Arial" w:cs="Arial" w:eastAsia="Arial" w:hAnsi="Arial"/>
                <w:sz w:val="14"/>
                <w:szCs w:val="14"/>
                <w:color w:val="auto"/>
              </w:rPr>
              <w:t>(4,039,754)</w:t>
            </w:r>
          </w:p>
        </w:tc>
        <w:tc>
          <w:tcPr>
            <w:tcW w:w="1540" w:type="dxa"/>
            <w:vAlign w:val="bottom"/>
            <w:shd w:val="clear" w:color="auto" w:fill="CCEEFF"/>
          </w:tcPr>
          <w:p>
            <w:pPr>
              <w:ind w:left="560"/>
              <w:spacing w:after="0" w:line="146" w:lineRule="exact"/>
              <w:rPr>
                <w:sz w:val="20"/>
                <w:szCs w:val="20"/>
                <w:color w:val="auto"/>
              </w:rPr>
            </w:pPr>
            <w:r>
              <w:rPr>
                <w:rFonts w:ascii="Arial" w:cs="Arial" w:eastAsia="Arial" w:hAnsi="Arial"/>
                <w:sz w:val="14"/>
                <w:szCs w:val="14"/>
                <w:color w:val="auto"/>
              </w:rPr>
              <w:t>1.050per US$</w:t>
            </w:r>
          </w:p>
        </w:tc>
        <w:tc>
          <w:tcPr>
            <w:tcW w:w="2200" w:type="dxa"/>
            <w:vAlign w:val="bottom"/>
            <w:gridSpan w:val="2"/>
            <w:shd w:val="clear" w:color="auto" w:fill="CCEEFF"/>
          </w:tcPr>
          <w:p>
            <w:pPr>
              <w:ind w:left="1020"/>
              <w:spacing w:after="0" w:line="146" w:lineRule="exact"/>
              <w:rPr>
                <w:sz w:val="20"/>
                <w:szCs w:val="20"/>
                <w:color w:val="auto"/>
              </w:rPr>
            </w:pPr>
            <w:r>
              <w:rPr>
                <w:rFonts w:ascii="Arial" w:cs="Arial" w:eastAsia="Arial" w:hAnsi="Arial"/>
                <w:sz w:val="14"/>
                <w:szCs w:val="14"/>
                <w:color w:val="auto"/>
              </w:rPr>
              <w:t>1.054per US$</w:t>
            </w:r>
          </w:p>
        </w:tc>
        <w:tc>
          <w:tcPr>
            <w:tcW w:w="1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60"/>
              <w:spacing w:after="0" w:line="146" w:lineRule="exact"/>
              <w:rPr>
                <w:sz w:val="20"/>
                <w:szCs w:val="20"/>
                <w:color w:val="auto"/>
              </w:rPr>
            </w:pPr>
            <w:r>
              <w:rPr>
                <w:rFonts w:ascii="Arial" w:cs="Arial" w:eastAsia="Arial" w:hAnsi="Arial"/>
                <w:sz w:val="14"/>
                <w:szCs w:val="14"/>
                <w:color w:val="auto"/>
              </w:rPr>
              <w:t>189,010</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center"/>
              <w:ind w:right="149"/>
              <w:spacing w:after="0" w:line="146" w:lineRule="exact"/>
              <w:rPr>
                <w:sz w:val="20"/>
                <w:szCs w:val="20"/>
                <w:color w:val="auto"/>
              </w:rPr>
            </w:pPr>
            <w:r>
              <w:rPr>
                <w:rFonts w:ascii="Arial" w:cs="Arial" w:eastAsia="Arial" w:hAnsi="Arial"/>
                <w:sz w:val="14"/>
                <w:szCs w:val="14"/>
                <w:color w:val="auto"/>
                <w:w w:val="91"/>
              </w:rPr>
              <w:t>Apr 2011 - Jun 2011</w:t>
            </w:r>
          </w:p>
        </w:tc>
        <w:tc>
          <w:tcPr>
            <w:tcW w:w="900" w:type="dxa"/>
            <w:vAlign w:val="bottom"/>
            <w:gridSpan w:val="2"/>
            <w:shd w:val="clear" w:color="auto" w:fill="CCEEFF"/>
          </w:tcPr>
          <w:p>
            <w:pPr>
              <w:ind w:left="260"/>
              <w:spacing w:after="0" w:line="146" w:lineRule="exact"/>
              <w:rPr>
                <w:sz w:val="20"/>
                <w:szCs w:val="20"/>
                <w:color w:val="auto"/>
              </w:rPr>
            </w:pPr>
            <w:r>
              <w:rPr>
                <w:rFonts w:ascii="Arial" w:cs="Arial" w:eastAsia="Arial" w:hAnsi="Arial"/>
                <w:sz w:val="14"/>
                <w:szCs w:val="14"/>
                <w:color w:val="auto"/>
              </w:rPr>
              <w:t>Q1 FY12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tcPr>
          <w:p>
            <w:pPr>
              <w:spacing w:after="0" w:line="146" w:lineRule="exact"/>
              <w:rPr>
                <w:sz w:val="20"/>
                <w:szCs w:val="20"/>
                <w:color w:val="auto"/>
              </w:rPr>
            </w:pPr>
            <w:r>
              <w:rPr>
                <w:rFonts w:ascii="Arial" w:cs="Arial" w:eastAsia="Arial" w:hAnsi="Arial"/>
                <w:sz w:val="14"/>
                <w:szCs w:val="14"/>
                <w:color w:val="auto"/>
              </w:rPr>
              <w:t>CAD</w:t>
            </w:r>
          </w:p>
        </w:tc>
        <w:tc>
          <w:tcPr>
            <w:tcW w:w="1820" w:type="dxa"/>
            <w:vAlign w:val="bottom"/>
            <w:gridSpan w:val="3"/>
          </w:tcPr>
          <w:p>
            <w:pPr>
              <w:jc w:val="right"/>
              <w:ind w:right="440"/>
              <w:spacing w:after="0" w:line="146" w:lineRule="exact"/>
              <w:rPr>
                <w:sz w:val="20"/>
                <w:szCs w:val="20"/>
                <w:color w:val="auto"/>
              </w:rPr>
            </w:pPr>
            <w:r>
              <w:rPr>
                <w:rFonts w:ascii="Arial" w:cs="Arial" w:eastAsia="Arial" w:hAnsi="Arial"/>
                <w:sz w:val="14"/>
                <w:szCs w:val="14"/>
                <w:color w:val="auto"/>
              </w:rPr>
              <w:t>(4,148,622)</w:t>
            </w:r>
          </w:p>
        </w:tc>
        <w:tc>
          <w:tcPr>
            <w:tcW w:w="1540" w:type="dxa"/>
            <w:vAlign w:val="bottom"/>
          </w:tcPr>
          <w:p>
            <w:pPr>
              <w:ind w:left="560"/>
              <w:spacing w:after="0" w:line="146" w:lineRule="exact"/>
              <w:rPr>
                <w:sz w:val="20"/>
                <w:szCs w:val="20"/>
                <w:color w:val="auto"/>
              </w:rPr>
            </w:pPr>
            <w:r>
              <w:rPr>
                <w:rFonts w:ascii="Arial" w:cs="Arial" w:eastAsia="Arial" w:hAnsi="Arial"/>
                <w:sz w:val="14"/>
                <w:szCs w:val="14"/>
                <w:color w:val="auto"/>
              </w:rPr>
              <w:t>1.032per US$</w:t>
            </w:r>
          </w:p>
        </w:tc>
        <w:tc>
          <w:tcPr>
            <w:tcW w:w="2200" w:type="dxa"/>
            <w:vAlign w:val="bottom"/>
            <w:gridSpan w:val="2"/>
          </w:tcPr>
          <w:p>
            <w:pPr>
              <w:ind w:left="1020"/>
              <w:spacing w:after="0" w:line="146" w:lineRule="exact"/>
              <w:rPr>
                <w:sz w:val="20"/>
                <w:szCs w:val="20"/>
                <w:color w:val="auto"/>
              </w:rPr>
            </w:pPr>
            <w:r>
              <w:rPr>
                <w:rFonts w:ascii="Arial" w:cs="Arial" w:eastAsia="Arial" w:hAnsi="Arial"/>
                <w:sz w:val="14"/>
                <w:szCs w:val="14"/>
                <w:color w:val="auto"/>
              </w:rPr>
              <w:t>1.040per US$</w:t>
            </w:r>
          </w:p>
        </w:tc>
        <w:tc>
          <w:tcPr>
            <w:tcW w:w="100" w:type="dxa"/>
            <w:vAlign w:val="bottom"/>
          </w:tcPr>
          <w:p>
            <w:pPr>
              <w:spacing w:after="0" w:line="146"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60"/>
              <w:spacing w:after="0" w:line="146" w:lineRule="exact"/>
              <w:rPr>
                <w:sz w:val="20"/>
                <w:szCs w:val="20"/>
                <w:color w:val="auto"/>
              </w:rPr>
            </w:pPr>
            <w:r>
              <w:rPr>
                <w:rFonts w:ascii="Arial" w:cs="Arial" w:eastAsia="Arial" w:hAnsi="Arial"/>
                <w:sz w:val="14"/>
                <w:szCs w:val="14"/>
                <w:color w:val="auto"/>
              </w:rPr>
              <w:t>128,754</w:t>
            </w:r>
          </w:p>
        </w:tc>
        <w:tc>
          <w:tcPr>
            <w:tcW w:w="220" w:type="dxa"/>
            <w:vAlign w:val="bottom"/>
          </w:tcPr>
          <w:p>
            <w:pPr>
              <w:spacing w:after="0"/>
              <w:rPr>
                <w:sz w:val="12"/>
                <w:szCs w:val="12"/>
                <w:color w:val="auto"/>
              </w:rPr>
            </w:pPr>
          </w:p>
        </w:tc>
        <w:tc>
          <w:tcPr>
            <w:tcW w:w="1460" w:type="dxa"/>
            <w:vAlign w:val="bottom"/>
          </w:tcPr>
          <w:p>
            <w:pPr>
              <w:jc w:val="center"/>
              <w:ind w:right="149"/>
              <w:spacing w:after="0" w:line="146" w:lineRule="exact"/>
              <w:rPr>
                <w:sz w:val="20"/>
                <w:szCs w:val="20"/>
                <w:color w:val="auto"/>
              </w:rPr>
            </w:pPr>
            <w:r>
              <w:rPr>
                <w:rFonts w:ascii="Arial" w:cs="Arial" w:eastAsia="Arial" w:hAnsi="Arial"/>
                <w:sz w:val="14"/>
                <w:szCs w:val="14"/>
                <w:color w:val="auto"/>
                <w:w w:val="89"/>
              </w:rPr>
              <w:t>Jul 2011 - Sep 2011</w:t>
            </w:r>
          </w:p>
        </w:tc>
        <w:tc>
          <w:tcPr>
            <w:tcW w:w="900" w:type="dxa"/>
            <w:vAlign w:val="bottom"/>
            <w:gridSpan w:val="2"/>
          </w:tcPr>
          <w:p>
            <w:pPr>
              <w:ind w:left="260"/>
              <w:spacing w:after="0" w:line="146" w:lineRule="exact"/>
              <w:rPr>
                <w:sz w:val="20"/>
                <w:szCs w:val="20"/>
                <w:color w:val="auto"/>
              </w:rPr>
            </w:pPr>
            <w:r>
              <w:rPr>
                <w:rFonts w:ascii="Arial" w:cs="Arial" w:eastAsia="Arial" w:hAnsi="Arial"/>
                <w:sz w:val="14"/>
                <w:szCs w:val="14"/>
                <w:color w:val="auto"/>
              </w:rPr>
              <w:t>Q2 FY12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CAD</w:t>
            </w:r>
          </w:p>
        </w:tc>
        <w:tc>
          <w:tcPr>
            <w:tcW w:w="1820" w:type="dxa"/>
            <w:vAlign w:val="bottom"/>
            <w:gridSpan w:val="3"/>
            <w:shd w:val="clear" w:color="auto" w:fill="CCEEFF"/>
          </w:tcPr>
          <w:p>
            <w:pPr>
              <w:jc w:val="right"/>
              <w:ind w:right="440"/>
              <w:spacing w:after="0" w:line="146" w:lineRule="exact"/>
              <w:rPr>
                <w:sz w:val="20"/>
                <w:szCs w:val="20"/>
                <w:color w:val="auto"/>
              </w:rPr>
            </w:pPr>
            <w:r>
              <w:rPr>
                <w:rFonts w:ascii="Arial" w:cs="Arial" w:eastAsia="Arial" w:hAnsi="Arial"/>
                <w:sz w:val="14"/>
                <w:szCs w:val="14"/>
                <w:color w:val="auto"/>
              </w:rPr>
              <w:t>(2,680,000)</w:t>
            </w:r>
          </w:p>
        </w:tc>
        <w:tc>
          <w:tcPr>
            <w:tcW w:w="1540" w:type="dxa"/>
            <w:vAlign w:val="bottom"/>
            <w:shd w:val="clear" w:color="auto" w:fill="CCEEFF"/>
          </w:tcPr>
          <w:p>
            <w:pPr>
              <w:ind w:left="560"/>
              <w:spacing w:after="0" w:line="146" w:lineRule="exact"/>
              <w:rPr>
                <w:sz w:val="20"/>
                <w:szCs w:val="20"/>
                <w:color w:val="auto"/>
              </w:rPr>
            </w:pPr>
            <w:r>
              <w:rPr>
                <w:rFonts w:ascii="Arial" w:cs="Arial" w:eastAsia="Arial" w:hAnsi="Arial"/>
                <w:sz w:val="14"/>
                <w:szCs w:val="14"/>
                <w:color w:val="auto"/>
              </w:rPr>
              <w:t>1.003per US$</w:t>
            </w:r>
          </w:p>
        </w:tc>
        <w:tc>
          <w:tcPr>
            <w:tcW w:w="2200" w:type="dxa"/>
            <w:vAlign w:val="bottom"/>
            <w:gridSpan w:val="2"/>
            <w:shd w:val="clear" w:color="auto" w:fill="CCEEFF"/>
          </w:tcPr>
          <w:p>
            <w:pPr>
              <w:ind w:left="1020"/>
              <w:spacing w:after="0" w:line="146" w:lineRule="exact"/>
              <w:rPr>
                <w:sz w:val="20"/>
                <w:szCs w:val="20"/>
                <w:color w:val="auto"/>
              </w:rPr>
            </w:pPr>
            <w:r>
              <w:rPr>
                <w:rFonts w:ascii="Arial" w:cs="Arial" w:eastAsia="Arial" w:hAnsi="Arial"/>
                <w:sz w:val="14"/>
                <w:szCs w:val="14"/>
                <w:color w:val="auto"/>
              </w:rPr>
              <w:t>1.012per US$</w:t>
            </w:r>
          </w:p>
        </w:tc>
        <w:tc>
          <w:tcPr>
            <w:tcW w:w="1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60"/>
              <w:spacing w:after="0" w:line="146" w:lineRule="exact"/>
              <w:rPr>
                <w:sz w:val="20"/>
                <w:szCs w:val="20"/>
                <w:color w:val="auto"/>
              </w:rPr>
            </w:pPr>
            <w:r>
              <w:rPr>
                <w:rFonts w:ascii="Arial" w:cs="Arial" w:eastAsia="Arial" w:hAnsi="Arial"/>
                <w:sz w:val="14"/>
                <w:szCs w:val="14"/>
                <w:color w:val="auto"/>
              </w:rPr>
              <w:t>8,643</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center"/>
              <w:ind w:right="149"/>
              <w:spacing w:after="0" w:line="146" w:lineRule="exact"/>
              <w:rPr>
                <w:sz w:val="20"/>
                <w:szCs w:val="20"/>
                <w:color w:val="auto"/>
              </w:rPr>
            </w:pPr>
            <w:r>
              <w:rPr>
                <w:rFonts w:ascii="Arial" w:cs="Arial" w:eastAsia="Arial" w:hAnsi="Arial"/>
                <w:sz w:val="14"/>
                <w:szCs w:val="14"/>
                <w:color w:val="auto"/>
                <w:w w:val="89"/>
              </w:rPr>
              <w:t>Oct 2011 - Dec 2011</w:t>
            </w:r>
          </w:p>
        </w:tc>
        <w:tc>
          <w:tcPr>
            <w:tcW w:w="900" w:type="dxa"/>
            <w:vAlign w:val="bottom"/>
            <w:gridSpan w:val="2"/>
            <w:shd w:val="clear" w:color="auto" w:fill="CCEEFF"/>
          </w:tcPr>
          <w:p>
            <w:pPr>
              <w:ind w:left="260"/>
              <w:spacing w:after="0" w:line="146" w:lineRule="exact"/>
              <w:rPr>
                <w:sz w:val="20"/>
                <w:szCs w:val="20"/>
                <w:color w:val="auto"/>
              </w:rPr>
            </w:pPr>
            <w:r>
              <w:rPr>
                <w:rFonts w:ascii="Arial" w:cs="Arial" w:eastAsia="Arial" w:hAnsi="Arial"/>
                <w:sz w:val="14"/>
                <w:szCs w:val="14"/>
                <w:color w:val="auto"/>
              </w:rPr>
              <w:t>Q3 FY12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tcPr>
          <w:p>
            <w:pPr>
              <w:spacing w:after="0" w:line="146" w:lineRule="exact"/>
              <w:rPr>
                <w:sz w:val="20"/>
                <w:szCs w:val="20"/>
                <w:color w:val="auto"/>
              </w:rPr>
            </w:pPr>
            <w:r>
              <w:rPr>
                <w:rFonts w:ascii="Arial" w:cs="Arial" w:eastAsia="Arial" w:hAnsi="Arial"/>
                <w:sz w:val="14"/>
                <w:szCs w:val="14"/>
                <w:color w:val="auto"/>
              </w:rPr>
              <w:t>CHF</w:t>
            </w:r>
          </w:p>
        </w:tc>
        <w:tc>
          <w:tcPr>
            <w:tcW w:w="1820" w:type="dxa"/>
            <w:vAlign w:val="bottom"/>
            <w:gridSpan w:val="3"/>
          </w:tcPr>
          <w:p>
            <w:pPr>
              <w:jc w:val="right"/>
              <w:ind w:right="440"/>
              <w:spacing w:after="0" w:line="146" w:lineRule="exact"/>
              <w:rPr>
                <w:sz w:val="20"/>
                <w:szCs w:val="20"/>
                <w:color w:val="auto"/>
              </w:rPr>
            </w:pPr>
            <w:r>
              <w:rPr>
                <w:rFonts w:ascii="Arial" w:cs="Arial" w:eastAsia="Arial" w:hAnsi="Arial"/>
                <w:sz w:val="14"/>
                <w:szCs w:val="14"/>
                <w:color w:val="auto"/>
              </w:rPr>
              <w:t>(3,818,399)</w:t>
            </w:r>
          </w:p>
        </w:tc>
        <w:tc>
          <w:tcPr>
            <w:tcW w:w="1540" w:type="dxa"/>
            <w:vAlign w:val="bottom"/>
          </w:tcPr>
          <w:p>
            <w:pPr>
              <w:ind w:left="560"/>
              <w:spacing w:after="0" w:line="146" w:lineRule="exact"/>
              <w:rPr>
                <w:sz w:val="20"/>
                <w:szCs w:val="20"/>
                <w:color w:val="auto"/>
              </w:rPr>
            </w:pPr>
            <w:r>
              <w:rPr>
                <w:rFonts w:ascii="Arial" w:cs="Arial" w:eastAsia="Arial" w:hAnsi="Arial"/>
                <w:sz w:val="14"/>
                <w:szCs w:val="14"/>
                <w:color w:val="auto"/>
              </w:rPr>
              <w:t>1.047</w:t>
            </w:r>
          </w:p>
        </w:tc>
        <w:tc>
          <w:tcPr>
            <w:tcW w:w="2200" w:type="dxa"/>
            <w:vAlign w:val="bottom"/>
            <w:gridSpan w:val="2"/>
          </w:tcPr>
          <w:p>
            <w:pPr>
              <w:ind w:left="1020"/>
              <w:spacing w:after="0" w:line="146" w:lineRule="exact"/>
              <w:rPr>
                <w:sz w:val="20"/>
                <w:szCs w:val="20"/>
                <w:color w:val="auto"/>
              </w:rPr>
            </w:pPr>
            <w:r>
              <w:rPr>
                <w:rFonts w:ascii="Arial" w:cs="Arial" w:eastAsia="Arial" w:hAnsi="Arial"/>
                <w:sz w:val="14"/>
                <w:szCs w:val="14"/>
                <w:color w:val="auto"/>
              </w:rPr>
              <w:t>1.045</w:t>
            </w:r>
          </w:p>
        </w:tc>
        <w:tc>
          <w:tcPr>
            <w:tcW w:w="100" w:type="dxa"/>
            <w:vAlign w:val="bottom"/>
          </w:tcPr>
          <w:p>
            <w:pPr>
              <w:spacing w:after="0" w:line="146"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60"/>
              <w:spacing w:after="0" w:line="146" w:lineRule="exact"/>
              <w:rPr>
                <w:sz w:val="20"/>
                <w:szCs w:val="20"/>
                <w:color w:val="auto"/>
              </w:rPr>
            </w:pPr>
            <w:r>
              <w:rPr>
                <w:rFonts w:ascii="Arial" w:cs="Arial" w:eastAsia="Arial" w:hAnsi="Arial"/>
                <w:sz w:val="14"/>
                <w:szCs w:val="14"/>
                <w:color w:val="auto"/>
              </w:rPr>
              <w:t>356,828</w:t>
            </w:r>
          </w:p>
        </w:tc>
        <w:tc>
          <w:tcPr>
            <w:tcW w:w="220" w:type="dxa"/>
            <w:vAlign w:val="bottom"/>
          </w:tcPr>
          <w:p>
            <w:pPr>
              <w:spacing w:after="0"/>
              <w:rPr>
                <w:sz w:val="12"/>
                <w:szCs w:val="12"/>
                <w:color w:val="auto"/>
              </w:rPr>
            </w:pPr>
          </w:p>
        </w:tc>
        <w:tc>
          <w:tcPr>
            <w:tcW w:w="1460" w:type="dxa"/>
            <w:vAlign w:val="bottom"/>
          </w:tcPr>
          <w:p>
            <w:pPr>
              <w:jc w:val="center"/>
              <w:ind w:right="149"/>
              <w:spacing w:after="0" w:line="146" w:lineRule="exact"/>
              <w:rPr>
                <w:sz w:val="20"/>
                <w:szCs w:val="20"/>
                <w:color w:val="auto"/>
              </w:rPr>
            </w:pPr>
            <w:r>
              <w:rPr>
                <w:rFonts w:ascii="Arial" w:cs="Arial" w:eastAsia="Arial" w:hAnsi="Arial"/>
                <w:sz w:val="14"/>
                <w:szCs w:val="14"/>
                <w:color w:val="auto"/>
                <w:w w:val="89"/>
              </w:rPr>
              <w:t>Jan 2011 - Mar 2011</w:t>
            </w:r>
          </w:p>
        </w:tc>
        <w:tc>
          <w:tcPr>
            <w:tcW w:w="900" w:type="dxa"/>
            <w:vAlign w:val="bottom"/>
            <w:gridSpan w:val="2"/>
          </w:tcPr>
          <w:p>
            <w:pPr>
              <w:ind w:left="260"/>
              <w:spacing w:after="0" w:line="146" w:lineRule="exact"/>
              <w:rPr>
                <w:sz w:val="20"/>
                <w:szCs w:val="20"/>
                <w:color w:val="auto"/>
              </w:rPr>
            </w:pPr>
            <w:r>
              <w:rPr>
                <w:rFonts w:ascii="Arial" w:cs="Arial" w:eastAsia="Arial" w:hAnsi="Arial"/>
                <w:sz w:val="14"/>
                <w:szCs w:val="14"/>
                <w:color w:val="auto"/>
              </w:rPr>
              <w:t>Q4 FY11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CHF</w:t>
            </w:r>
          </w:p>
        </w:tc>
        <w:tc>
          <w:tcPr>
            <w:tcW w:w="1820" w:type="dxa"/>
            <w:vAlign w:val="bottom"/>
            <w:gridSpan w:val="3"/>
            <w:shd w:val="clear" w:color="auto" w:fill="CCEEFF"/>
          </w:tcPr>
          <w:p>
            <w:pPr>
              <w:jc w:val="right"/>
              <w:ind w:right="440"/>
              <w:spacing w:after="0" w:line="146" w:lineRule="exact"/>
              <w:rPr>
                <w:sz w:val="20"/>
                <w:szCs w:val="20"/>
                <w:color w:val="auto"/>
              </w:rPr>
            </w:pPr>
            <w:r>
              <w:rPr>
                <w:rFonts w:ascii="Arial" w:cs="Arial" w:eastAsia="Arial" w:hAnsi="Arial"/>
                <w:sz w:val="14"/>
                <w:szCs w:val="14"/>
                <w:color w:val="auto"/>
              </w:rPr>
              <w:t>(4,023,000)</w:t>
            </w:r>
          </w:p>
        </w:tc>
        <w:tc>
          <w:tcPr>
            <w:tcW w:w="1540" w:type="dxa"/>
            <w:vAlign w:val="bottom"/>
            <w:shd w:val="clear" w:color="auto" w:fill="CCEEFF"/>
          </w:tcPr>
          <w:p>
            <w:pPr>
              <w:ind w:left="560"/>
              <w:spacing w:after="0" w:line="146" w:lineRule="exact"/>
              <w:rPr>
                <w:sz w:val="20"/>
                <w:szCs w:val="20"/>
                <w:color w:val="auto"/>
              </w:rPr>
            </w:pPr>
            <w:r>
              <w:rPr>
                <w:rFonts w:ascii="Arial" w:cs="Arial" w:eastAsia="Arial" w:hAnsi="Arial"/>
                <w:sz w:val="14"/>
                <w:szCs w:val="14"/>
                <w:color w:val="auto"/>
              </w:rPr>
              <w:t>1.054</w:t>
            </w:r>
          </w:p>
        </w:tc>
        <w:tc>
          <w:tcPr>
            <w:tcW w:w="2200" w:type="dxa"/>
            <w:vAlign w:val="bottom"/>
            <w:gridSpan w:val="2"/>
            <w:shd w:val="clear" w:color="auto" w:fill="CCEEFF"/>
          </w:tcPr>
          <w:p>
            <w:pPr>
              <w:ind w:left="1020"/>
              <w:spacing w:after="0" w:line="146" w:lineRule="exact"/>
              <w:rPr>
                <w:sz w:val="20"/>
                <w:szCs w:val="20"/>
                <w:color w:val="auto"/>
              </w:rPr>
            </w:pPr>
            <w:r>
              <w:rPr>
                <w:rFonts w:ascii="Arial" w:cs="Arial" w:eastAsia="Arial" w:hAnsi="Arial"/>
                <w:sz w:val="14"/>
                <w:szCs w:val="14"/>
                <w:color w:val="auto"/>
              </w:rPr>
              <w:t>1.050</w:t>
            </w:r>
          </w:p>
        </w:tc>
        <w:tc>
          <w:tcPr>
            <w:tcW w:w="1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60"/>
              <w:spacing w:after="0" w:line="146" w:lineRule="exact"/>
              <w:rPr>
                <w:sz w:val="20"/>
                <w:szCs w:val="20"/>
                <w:color w:val="auto"/>
              </w:rPr>
            </w:pPr>
            <w:r>
              <w:rPr>
                <w:rFonts w:ascii="Arial" w:cs="Arial" w:eastAsia="Arial" w:hAnsi="Arial"/>
                <w:sz w:val="14"/>
                <w:szCs w:val="14"/>
                <w:color w:val="auto"/>
              </w:rPr>
              <w:t>391,348</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center"/>
              <w:ind w:right="149"/>
              <w:spacing w:after="0" w:line="146" w:lineRule="exact"/>
              <w:rPr>
                <w:sz w:val="20"/>
                <w:szCs w:val="20"/>
                <w:color w:val="auto"/>
              </w:rPr>
            </w:pPr>
            <w:r>
              <w:rPr>
                <w:rFonts w:ascii="Arial" w:cs="Arial" w:eastAsia="Arial" w:hAnsi="Arial"/>
                <w:sz w:val="14"/>
                <w:szCs w:val="14"/>
                <w:color w:val="auto"/>
                <w:w w:val="91"/>
              </w:rPr>
              <w:t>Apr 2011 - Jun 2011</w:t>
            </w:r>
          </w:p>
        </w:tc>
        <w:tc>
          <w:tcPr>
            <w:tcW w:w="900" w:type="dxa"/>
            <w:vAlign w:val="bottom"/>
            <w:gridSpan w:val="2"/>
            <w:shd w:val="clear" w:color="auto" w:fill="CCEEFF"/>
          </w:tcPr>
          <w:p>
            <w:pPr>
              <w:ind w:left="260"/>
              <w:spacing w:after="0" w:line="146" w:lineRule="exact"/>
              <w:rPr>
                <w:sz w:val="20"/>
                <w:szCs w:val="20"/>
                <w:color w:val="auto"/>
              </w:rPr>
            </w:pPr>
            <w:r>
              <w:rPr>
                <w:rFonts w:ascii="Arial" w:cs="Arial" w:eastAsia="Arial" w:hAnsi="Arial"/>
                <w:sz w:val="14"/>
                <w:szCs w:val="14"/>
                <w:color w:val="auto"/>
              </w:rPr>
              <w:t>Q1 FY12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tcPr>
          <w:p>
            <w:pPr>
              <w:spacing w:after="0" w:line="146" w:lineRule="exact"/>
              <w:rPr>
                <w:sz w:val="20"/>
                <w:szCs w:val="20"/>
                <w:color w:val="auto"/>
              </w:rPr>
            </w:pPr>
            <w:r>
              <w:rPr>
                <w:rFonts w:ascii="Arial" w:cs="Arial" w:eastAsia="Arial" w:hAnsi="Arial"/>
                <w:sz w:val="14"/>
                <w:szCs w:val="14"/>
                <w:color w:val="auto"/>
              </w:rPr>
              <w:t>CHF</w:t>
            </w:r>
          </w:p>
        </w:tc>
        <w:tc>
          <w:tcPr>
            <w:tcW w:w="1820" w:type="dxa"/>
            <w:vAlign w:val="bottom"/>
            <w:gridSpan w:val="3"/>
          </w:tcPr>
          <w:p>
            <w:pPr>
              <w:jc w:val="right"/>
              <w:ind w:right="440"/>
              <w:spacing w:after="0" w:line="146" w:lineRule="exact"/>
              <w:rPr>
                <w:sz w:val="20"/>
                <w:szCs w:val="20"/>
                <w:color w:val="auto"/>
              </w:rPr>
            </w:pPr>
            <w:r>
              <w:rPr>
                <w:rFonts w:ascii="Arial" w:cs="Arial" w:eastAsia="Arial" w:hAnsi="Arial"/>
                <w:sz w:val="14"/>
                <w:szCs w:val="14"/>
                <w:color w:val="auto"/>
              </w:rPr>
              <w:t>(3,924,000)</w:t>
            </w:r>
          </w:p>
        </w:tc>
        <w:tc>
          <w:tcPr>
            <w:tcW w:w="1540" w:type="dxa"/>
            <w:vAlign w:val="bottom"/>
          </w:tcPr>
          <w:p>
            <w:pPr>
              <w:ind w:left="560"/>
              <w:spacing w:after="0" w:line="146" w:lineRule="exact"/>
              <w:rPr>
                <w:sz w:val="20"/>
                <w:szCs w:val="20"/>
                <w:color w:val="auto"/>
              </w:rPr>
            </w:pPr>
            <w:r>
              <w:rPr>
                <w:rFonts w:ascii="Arial" w:cs="Arial" w:eastAsia="Arial" w:hAnsi="Arial"/>
                <w:sz w:val="14"/>
                <w:szCs w:val="14"/>
                <w:color w:val="auto"/>
              </w:rPr>
              <w:t>1.011</w:t>
            </w:r>
          </w:p>
        </w:tc>
        <w:tc>
          <w:tcPr>
            <w:tcW w:w="2200" w:type="dxa"/>
            <w:vAlign w:val="bottom"/>
            <w:gridSpan w:val="2"/>
          </w:tcPr>
          <w:p>
            <w:pPr>
              <w:ind w:left="1020"/>
              <w:spacing w:after="0" w:line="146" w:lineRule="exact"/>
              <w:rPr>
                <w:sz w:val="20"/>
                <w:szCs w:val="20"/>
                <w:color w:val="auto"/>
              </w:rPr>
            </w:pPr>
            <w:r>
              <w:rPr>
                <w:rFonts w:ascii="Arial" w:cs="Arial" w:eastAsia="Arial" w:hAnsi="Arial"/>
                <w:sz w:val="14"/>
                <w:szCs w:val="14"/>
                <w:color w:val="auto"/>
              </w:rPr>
              <w:t>1.007</w:t>
            </w:r>
          </w:p>
        </w:tc>
        <w:tc>
          <w:tcPr>
            <w:tcW w:w="100" w:type="dxa"/>
            <w:vAlign w:val="bottom"/>
          </w:tcPr>
          <w:p>
            <w:pPr>
              <w:spacing w:after="0" w:line="146"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60"/>
              <w:spacing w:after="0" w:line="146" w:lineRule="exact"/>
              <w:rPr>
                <w:sz w:val="20"/>
                <w:szCs w:val="20"/>
                <w:color w:val="auto"/>
              </w:rPr>
            </w:pPr>
            <w:r>
              <w:rPr>
                <w:rFonts w:ascii="Arial" w:cs="Arial" w:eastAsia="Arial" w:hAnsi="Arial"/>
                <w:sz w:val="14"/>
                <w:szCs w:val="14"/>
                <w:color w:val="auto"/>
              </w:rPr>
              <w:t>228,779</w:t>
            </w:r>
          </w:p>
        </w:tc>
        <w:tc>
          <w:tcPr>
            <w:tcW w:w="220" w:type="dxa"/>
            <w:vAlign w:val="bottom"/>
          </w:tcPr>
          <w:p>
            <w:pPr>
              <w:spacing w:after="0"/>
              <w:rPr>
                <w:sz w:val="12"/>
                <w:szCs w:val="12"/>
                <w:color w:val="auto"/>
              </w:rPr>
            </w:pPr>
          </w:p>
        </w:tc>
        <w:tc>
          <w:tcPr>
            <w:tcW w:w="1460" w:type="dxa"/>
            <w:vAlign w:val="bottom"/>
          </w:tcPr>
          <w:p>
            <w:pPr>
              <w:jc w:val="center"/>
              <w:ind w:right="149"/>
              <w:spacing w:after="0" w:line="146" w:lineRule="exact"/>
              <w:rPr>
                <w:sz w:val="20"/>
                <w:szCs w:val="20"/>
                <w:color w:val="auto"/>
              </w:rPr>
            </w:pPr>
            <w:r>
              <w:rPr>
                <w:rFonts w:ascii="Arial" w:cs="Arial" w:eastAsia="Arial" w:hAnsi="Arial"/>
                <w:sz w:val="14"/>
                <w:szCs w:val="14"/>
                <w:color w:val="auto"/>
                <w:w w:val="89"/>
              </w:rPr>
              <w:t>Jul 2011 - Sep 2011</w:t>
            </w:r>
          </w:p>
        </w:tc>
        <w:tc>
          <w:tcPr>
            <w:tcW w:w="900" w:type="dxa"/>
            <w:vAlign w:val="bottom"/>
            <w:gridSpan w:val="2"/>
          </w:tcPr>
          <w:p>
            <w:pPr>
              <w:ind w:left="260"/>
              <w:spacing w:after="0" w:line="146" w:lineRule="exact"/>
              <w:rPr>
                <w:sz w:val="20"/>
                <w:szCs w:val="20"/>
                <w:color w:val="auto"/>
              </w:rPr>
            </w:pPr>
            <w:r>
              <w:rPr>
                <w:rFonts w:ascii="Arial" w:cs="Arial" w:eastAsia="Arial" w:hAnsi="Arial"/>
                <w:sz w:val="14"/>
                <w:szCs w:val="14"/>
                <w:color w:val="auto"/>
              </w:rPr>
              <w:t>Q2 FY12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CHF</w:t>
            </w:r>
          </w:p>
        </w:tc>
        <w:tc>
          <w:tcPr>
            <w:tcW w:w="1820" w:type="dxa"/>
            <w:vAlign w:val="bottom"/>
            <w:gridSpan w:val="3"/>
            <w:shd w:val="clear" w:color="auto" w:fill="CCEEFF"/>
          </w:tcPr>
          <w:p>
            <w:pPr>
              <w:jc w:val="right"/>
              <w:ind w:right="440"/>
              <w:spacing w:after="0" w:line="146" w:lineRule="exact"/>
              <w:rPr>
                <w:sz w:val="20"/>
                <w:szCs w:val="20"/>
                <w:color w:val="auto"/>
              </w:rPr>
            </w:pPr>
            <w:r>
              <w:rPr>
                <w:rFonts w:ascii="Arial" w:cs="Arial" w:eastAsia="Arial" w:hAnsi="Arial"/>
                <w:sz w:val="14"/>
                <w:szCs w:val="14"/>
                <w:color w:val="auto"/>
              </w:rPr>
              <w:t>(2,346,831)</w:t>
            </w:r>
          </w:p>
        </w:tc>
        <w:tc>
          <w:tcPr>
            <w:tcW w:w="1540" w:type="dxa"/>
            <w:vAlign w:val="bottom"/>
            <w:shd w:val="clear" w:color="auto" w:fill="CCEEFF"/>
          </w:tcPr>
          <w:p>
            <w:pPr>
              <w:ind w:left="560"/>
              <w:spacing w:after="0" w:line="146" w:lineRule="exact"/>
              <w:rPr>
                <w:sz w:val="20"/>
                <w:szCs w:val="20"/>
                <w:color w:val="auto"/>
              </w:rPr>
            </w:pPr>
            <w:r>
              <w:rPr>
                <w:rFonts w:ascii="Arial" w:cs="Arial" w:eastAsia="Arial" w:hAnsi="Arial"/>
                <w:sz w:val="14"/>
                <w:szCs w:val="14"/>
                <w:color w:val="auto"/>
              </w:rPr>
              <w:t>0.958</w:t>
            </w:r>
          </w:p>
        </w:tc>
        <w:tc>
          <w:tcPr>
            <w:tcW w:w="2200" w:type="dxa"/>
            <w:vAlign w:val="bottom"/>
            <w:gridSpan w:val="2"/>
            <w:shd w:val="clear" w:color="auto" w:fill="CCEEFF"/>
          </w:tcPr>
          <w:p>
            <w:pPr>
              <w:ind w:left="1020"/>
              <w:spacing w:after="0" w:line="146" w:lineRule="exact"/>
              <w:rPr>
                <w:sz w:val="20"/>
                <w:szCs w:val="20"/>
                <w:color w:val="auto"/>
              </w:rPr>
            </w:pPr>
            <w:r>
              <w:rPr>
                <w:rFonts w:ascii="Arial" w:cs="Arial" w:eastAsia="Arial" w:hAnsi="Arial"/>
                <w:sz w:val="14"/>
                <w:szCs w:val="14"/>
                <w:color w:val="auto"/>
              </w:rPr>
              <w:t>0.953</w:t>
            </w:r>
          </w:p>
        </w:tc>
        <w:tc>
          <w:tcPr>
            <w:tcW w:w="10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60"/>
              <w:spacing w:after="0" w:line="146" w:lineRule="exact"/>
              <w:rPr>
                <w:sz w:val="20"/>
                <w:szCs w:val="20"/>
                <w:color w:val="auto"/>
              </w:rPr>
            </w:pPr>
            <w:r>
              <w:rPr>
                <w:rFonts w:ascii="Arial" w:cs="Arial" w:eastAsia="Arial" w:hAnsi="Arial"/>
                <w:sz w:val="14"/>
                <w:szCs w:val="14"/>
                <w:color w:val="auto"/>
              </w:rPr>
              <w:t>13,035</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center"/>
              <w:ind w:right="149"/>
              <w:spacing w:after="0" w:line="146" w:lineRule="exact"/>
              <w:rPr>
                <w:sz w:val="20"/>
                <w:szCs w:val="20"/>
                <w:color w:val="auto"/>
              </w:rPr>
            </w:pPr>
            <w:r>
              <w:rPr>
                <w:rFonts w:ascii="Arial" w:cs="Arial" w:eastAsia="Arial" w:hAnsi="Arial"/>
                <w:sz w:val="14"/>
                <w:szCs w:val="14"/>
                <w:color w:val="auto"/>
                <w:w w:val="89"/>
              </w:rPr>
              <w:t>Oct 2011 - Dec 2011</w:t>
            </w:r>
          </w:p>
        </w:tc>
        <w:tc>
          <w:tcPr>
            <w:tcW w:w="900" w:type="dxa"/>
            <w:vAlign w:val="bottom"/>
            <w:gridSpan w:val="2"/>
            <w:shd w:val="clear" w:color="auto" w:fill="CCEEFF"/>
          </w:tcPr>
          <w:p>
            <w:pPr>
              <w:ind w:left="260"/>
              <w:spacing w:after="0" w:line="146" w:lineRule="exact"/>
              <w:rPr>
                <w:sz w:val="20"/>
                <w:szCs w:val="20"/>
                <w:color w:val="auto"/>
              </w:rPr>
            </w:pPr>
            <w:r>
              <w:rPr>
                <w:rFonts w:ascii="Arial" w:cs="Arial" w:eastAsia="Arial" w:hAnsi="Arial"/>
                <w:sz w:val="14"/>
                <w:szCs w:val="14"/>
                <w:color w:val="auto"/>
              </w:rPr>
              <w:t>Q3 FY12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w w:val="95"/>
              </w:rPr>
              <w:t>(1,893,202</w:t>
            </w:r>
          </w:p>
        </w:tc>
        <w:tc>
          <w:tcPr>
            <w:tcW w:w="260" w:type="dxa"/>
            <w:vAlign w:val="bottom"/>
            <w:gridSpan w:val="2"/>
          </w:tcPr>
          <w:p>
            <w:pPr>
              <w:jc w:val="right"/>
              <w:ind w:right="200"/>
              <w:spacing w:after="0" w:line="153" w:lineRule="exact"/>
              <w:rPr>
                <w:sz w:val="20"/>
                <w:szCs w:val="20"/>
                <w:color w:val="auto"/>
              </w:rPr>
            </w:pPr>
            <w:r>
              <w:rPr>
                <w:rFonts w:ascii="Arial" w:cs="Arial" w:eastAsia="Arial" w:hAnsi="Arial"/>
                <w:sz w:val="14"/>
                <w:szCs w:val="14"/>
                <w:color w:val="auto"/>
                <w:w w:val="84"/>
              </w:rPr>
              <w:t>)</w:t>
            </w: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40"/>
        <w:spacing w:after="0" w:line="330" w:lineRule="auto"/>
        <w:rPr>
          <w:sz w:val="20"/>
          <w:szCs w:val="20"/>
          <w:color w:val="auto"/>
        </w:rPr>
      </w:pPr>
      <w:r>
        <w:rPr>
          <w:rFonts w:ascii="Arial" w:cs="Arial" w:eastAsia="Arial" w:hAnsi="Arial"/>
          <w:sz w:val="15"/>
          <w:szCs w:val="15"/>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$10.8 million increase in the fair value of the forward contracts; whereas a 10% weakening of the US dollar would result in a $12.5 million decrease in the fair value of the forward contracts.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w:t>
      </w:r>
      <w:r>
        <w:rPr>
          <w:rFonts w:ascii="Arial" w:cs="Arial" w:eastAsia="Arial" w:hAnsi="Arial"/>
          <w:sz w:val="11"/>
          <w:szCs w:val="11"/>
          <w:b w:val="1"/>
          <w:bCs w:val="1"/>
          <w:i w:val="1"/>
          <w:iCs w:val="1"/>
          <w:color w:val="auto"/>
        </w:rPr>
        <w:t>NTEREST</w:t>
      </w:r>
      <w:r>
        <w:rPr>
          <w:rFonts w:ascii="Arial" w:cs="Arial" w:eastAsia="Arial" w:hAnsi="Arial"/>
          <w:sz w:val="18"/>
          <w:szCs w:val="18"/>
          <w:b w:val="1"/>
          <w:bCs w:val="1"/>
          <w:i w:val="1"/>
          <w:iCs w:val="1"/>
          <w:color w:val="auto"/>
        </w:rPr>
        <w:t xml:space="preserve"> R</w:t>
      </w:r>
      <w:r>
        <w:rPr>
          <w:rFonts w:ascii="Arial" w:cs="Arial" w:eastAsia="Arial" w:hAnsi="Arial"/>
          <w:sz w:val="11"/>
          <w:szCs w:val="11"/>
          <w:b w:val="1"/>
          <w:bCs w:val="1"/>
          <w:i w:val="1"/>
          <w:iCs w:val="1"/>
          <w:color w:val="auto"/>
        </w:rPr>
        <w:t>ATE</w:t>
      </w:r>
      <w:r>
        <w:rPr>
          <w:rFonts w:ascii="Arial" w:cs="Arial" w:eastAsia="Arial" w:hAnsi="Arial"/>
          <w:sz w:val="18"/>
          <w:szCs w:val="18"/>
          <w:b w:val="1"/>
          <w:bCs w:val="1"/>
          <w:i w:val="1"/>
          <w:iCs w:val="1"/>
          <w:color w:val="auto"/>
        </w:rPr>
        <w:t xml:space="preserve"> R</w:t>
      </w:r>
      <w:r>
        <w:rPr>
          <w:rFonts w:ascii="Arial" w:cs="Arial" w:eastAsia="Arial" w:hAnsi="Arial"/>
          <w:sz w:val="11"/>
          <w:szCs w:val="11"/>
          <w:b w:val="1"/>
          <w:bCs w:val="1"/>
          <w:i w:val="1"/>
          <w:iCs w:val="1"/>
          <w:color w:val="auto"/>
        </w:rPr>
        <w:t>ISK</w:t>
      </w:r>
    </w:p>
    <w:p>
      <w:pPr>
        <w:spacing w:after="0" w:line="111"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All of our long-term debt is at fixed rates. Accordingly, a change in interest rates has an insignificant effect on our interest expense amounts. The fair value of our long-term debt, however, does change in response to interest rate movements due to its fixed rate nature. These changes reflect the premium (when market interest rates decline below the contract fixed interest rates) or discount (when market interest rates rise above the fixed interest rate) that an investor in these long-term obligations would pay in the market interest rate environment.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At January 1, 2011, the fair value of our long-term debt was approximately $0.4 million higher than the value of the debt reflected on our financial statements. This higher fair value is entirely related to the $4.2 million remaining principal balance of the original $10.0 million, 8.41% real estate mortgage due January, 2016.</w:t>
      </w:r>
    </w:p>
    <w:p>
      <w:pPr>
        <w:spacing w:after="0" w:line="83"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Using scenario analysis, if the interest rate on all long-term maturities changed by 10% from the rate levels that existed at January 1, 2011, the fair value of our long-term debt would change by less than $0.1 million.</w:t>
      </w:r>
    </w:p>
    <w:p>
      <w:pPr>
        <w:spacing w:after="0" w:line="15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60"/>
          </w:cols>
          <w:pgMar w:left="240" w:top="413" w:right="3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w:t>
      </w:r>
      <w:r>
        <w:rPr>
          <w:rFonts w:ascii="Arial" w:cs="Arial" w:eastAsia="Arial" w:hAnsi="Arial"/>
          <w:sz w:val="11"/>
          <w:szCs w:val="11"/>
          <w:b w:val="1"/>
          <w:bCs w:val="1"/>
          <w:color w:val="auto"/>
        </w:rPr>
        <w:t>ONTROLS AND</w:t>
      </w:r>
      <w:r>
        <w:rPr>
          <w:rFonts w:ascii="Arial" w:cs="Arial" w:eastAsia="Arial" w:hAnsi="Arial"/>
          <w:sz w:val="18"/>
          <w:szCs w:val="18"/>
          <w:b w:val="1"/>
          <w:bCs w:val="1"/>
          <w:color w:val="auto"/>
        </w:rPr>
        <w:t xml:space="preserve"> P</w:t>
      </w:r>
      <w:r>
        <w:rPr>
          <w:rFonts w:ascii="Arial" w:cs="Arial" w:eastAsia="Arial" w:hAnsi="Arial"/>
          <w:sz w:val="11"/>
          <w:szCs w:val="11"/>
          <w:b w:val="1"/>
          <w:bCs w:val="1"/>
          <w:color w:val="auto"/>
        </w:rPr>
        <w:t>ROCEDURES</w:t>
      </w:r>
    </w:p>
    <w:p>
      <w:pPr>
        <w:spacing w:after="0" w:line="117"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We conducted an evaluation, as of January 1, 2011, under the supervision and with the participation of our management, including our Chief Executive Officer and Chief Financial Officer (the Company’s principal executive officer and principal financial officer, respectively) regarding the effectiveness of the design and operation of our disclosure controls and procedures as defined in Rule 13a-15 under the Securities Exchange Act of 1934 (the “Exchange Act”). Based upon that evaluation, the Chief Executive Officer and Chief Financial Officer concluded that our disclosure controls and procedures are effective as of such date.</w:t>
      </w:r>
    </w:p>
    <w:p>
      <w:pPr>
        <w:spacing w:after="0" w:line="40" w:lineRule="exact"/>
        <w:rPr>
          <w:sz w:val="20"/>
          <w:szCs w:val="20"/>
          <w:color w:val="auto"/>
        </w:rPr>
      </w:pPr>
    </w:p>
    <w:p>
      <w:pPr>
        <w:ind w:right="420"/>
        <w:spacing w:after="0" w:line="265" w:lineRule="auto"/>
        <w:rPr>
          <w:sz w:val="20"/>
          <w:szCs w:val="20"/>
          <w:color w:val="auto"/>
        </w:rPr>
      </w:pPr>
      <w:r>
        <w:rPr>
          <w:rFonts w:ascii="Arial" w:cs="Arial" w:eastAsia="Arial" w:hAnsi="Arial"/>
          <w:sz w:val="18"/>
          <w:szCs w:val="18"/>
          <w:color w:val="auto"/>
        </w:rPr>
        <w:t>There were no changes in the Company’s internal control over financial reporting which occurred during the three months ended January 1, 2011 that have materially affected, or are reasonably likely to materially affect, the Company’s internal control over financial reporting.</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Legal Proceedings</w:t>
      </w:r>
    </w:p>
    <w:p>
      <w:pPr>
        <w:spacing w:after="0" w:line="11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believe our competitor Fenwal has produced, and continues to produce, a red cell consumable kit which infringes a Haemonetics patent. For the past five years, we have been pursuing a patent infringement lawsuit against Fenwal, the details of which are summarized below. After the Court of Appeals for the Federal Circuit reversed the trial court’s decision on claims construction, vacating the injunction and damages previously awarded to Haemonetics, the case was remanded to the trial court for further proceedings.</w:t>
      </w:r>
    </w:p>
    <w:p>
      <w:pPr>
        <w:spacing w:after="0" w:line="85"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In December 2005 we filed a lawsuit against Baxter Healthcare SA and Fenwal Inc. in Massachusetts federal district court, seeking an injunction and damages from Baxter’s infringement of a Haemonetics patent, through the sale of Baxter’s ALYX brand automated red cell collection system, a competitor of our automated red cell collection systems. In March 2007, Baxter sold the division which marketed the ALYX product to private investors, TPG, and Maverick Capital, Ltd. The new company which resulted from the sale was renamed Fenwal.</w:t>
      </w:r>
    </w:p>
    <w:p>
      <w:pPr>
        <w:spacing w:after="0" w:line="8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January 2009, a jury found that the Fenwal ALYX system infringed Haemonetics’ patent. Ultimately, the trial court awarded us a total of $18 million in damages and ordered Fenwal to stop selling the ALYX consumable by December 1, 2010 and pay Haemonetics a 10% royalty on ALYX consumable net sales from January 30, 2009 until December 1, 2010.</w:t>
      </w:r>
    </w:p>
    <w:p>
      <w:pPr>
        <w:spacing w:after="0" w:line="8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Fenwal took three actions in response to this judgment. First, Fenwal appealed these rulings to the United States Court of Appeals for the Federal Circuit. Second, Fenwal modified the ALYX disposable in an effort to avoid the injunction. And third Fenwal asked the Patent and Trademark Office to re-examine the validity of our patent.</w:t>
      </w:r>
    </w:p>
    <w:p>
      <w:pPr>
        <w:spacing w:after="0" w:line="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June 2, 2010, the Court of Appeals reversed the trial court’s claim construction and accordingly, vacated the original jury verdict finding of infringement and remanded the case to the trial court for further proceedings. We continue to believe the ALYX consumable kit infringes our patent even under the Court of Appeals’ claim construction.</w:t>
      </w:r>
    </w:p>
    <w:p>
      <w:pPr>
        <w:spacing w:after="0" w:line="83" w:lineRule="exact"/>
        <w:rPr>
          <w:sz w:val="20"/>
          <w:szCs w:val="20"/>
          <w:color w:val="auto"/>
        </w:rPr>
      </w:pPr>
    </w:p>
    <w:p>
      <w:pPr>
        <w:ind w:right="420"/>
        <w:spacing w:after="0" w:line="265" w:lineRule="auto"/>
        <w:rPr>
          <w:sz w:val="20"/>
          <w:szCs w:val="20"/>
          <w:color w:val="auto"/>
        </w:rPr>
      </w:pPr>
      <w:r>
        <w:rPr>
          <w:rFonts w:ascii="Arial" w:cs="Arial" w:eastAsia="Arial" w:hAnsi="Arial"/>
          <w:sz w:val="18"/>
          <w:szCs w:val="18"/>
          <w:color w:val="auto"/>
        </w:rPr>
        <w:t>In response to Fenwal’s modification of their disposable, we filed a second related patent infringement action in December 2009 in the same Massachusetts federal trial court as the first case described above.</w:t>
      </w:r>
    </w:p>
    <w:p>
      <w:pPr>
        <w:spacing w:after="0" w:line="73"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On May 28, 2010 the Patent and Trademark Office reexamined the patent which is the subject of the two cases described above, and determined that the patent is valid, contrary to Fenwal’s assertions.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September 20, 2010, Haemonetics filed a patent infringement action in Germany, against Fenwal and its German subsidiary, for Fenwal’s infringement of a Haemonetics patent related to the Haemonetics patent described above. On December 1, 2010, Fenwal filed an action to invalidate the Haemonetics patent which is the subject of this infringement action.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u w:val="single" w:color="auto"/>
          <w:color w:val="auto"/>
        </w:rPr>
        <w:t>Risk Factors</w:t>
      </w:r>
    </w:p>
    <w:p>
      <w:pPr>
        <w:spacing w:after="0" w:line="11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In addition to the other information set forth in this report, careful consideration should be given to the factors discussed in Part 1, “Item 1A. Risk Factors” in the Company’s Annual Report on Form 10-K for the year ended April 3, 2010, which could materially affect the Company’s business, financial condition or future results. The risks described in the Company’s Annual Report on Form 10-K are not the only risks facing the Company. Additional risks and uncertainties not currently known to the Company or that it currently deems to be immaterial also may materially adversely affect its business, financial condition and/or operating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Unregistered Sales of Equity Securities and Use of Proceeds</w:t>
      </w:r>
    </w:p>
    <w:p>
      <w:pPr>
        <w:spacing w:after="0" w:line="111" w:lineRule="exact"/>
        <w:rPr>
          <w:sz w:val="20"/>
          <w:szCs w:val="20"/>
          <w:color w:val="auto"/>
        </w:rPr>
      </w:pPr>
    </w:p>
    <w:p>
      <w:pPr>
        <w:ind w:right="160"/>
        <w:spacing w:after="0" w:line="303" w:lineRule="auto"/>
        <w:rPr>
          <w:sz w:val="20"/>
          <w:szCs w:val="20"/>
          <w:color w:val="auto"/>
        </w:rPr>
      </w:pPr>
      <w:r>
        <w:rPr>
          <w:rFonts w:ascii="Arial" w:cs="Arial" w:eastAsia="Arial" w:hAnsi="Arial"/>
          <w:sz w:val="15"/>
          <w:szCs w:val="15"/>
          <w:color w:val="auto"/>
        </w:rPr>
        <w:t>In an April 6, 2010 press release, the Company announced that its Board of Directors approved the repurchase of up to $50.0 million worth of Company shares during fiscal year 2011. Through January 1, 2011, the Company repurchased 907,310 shares of its common stock for an aggregate purchase price of</w:t>
      </w:r>
    </w:p>
    <w:p>
      <w:pPr>
        <w:ind w:right="400"/>
        <w:spacing w:after="0" w:line="251" w:lineRule="auto"/>
        <w:rPr>
          <w:sz w:val="20"/>
          <w:szCs w:val="20"/>
          <w:color w:val="auto"/>
        </w:rPr>
      </w:pPr>
      <w:r>
        <w:rPr>
          <w:rFonts w:ascii="Arial" w:cs="Arial" w:eastAsia="Arial" w:hAnsi="Arial"/>
          <w:sz w:val="18"/>
          <w:szCs w:val="18"/>
          <w:color w:val="auto"/>
        </w:rPr>
        <w:t>$50.0 million. We reflect stock repurchases in our financial statements on a “trade date” basis and as Authorized Unissued (Haemonetics is a Massachusetts company and under Massachusetts law repurchased shares are treated as authorized but unissued).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All of the purchases above were made under the publicly announced program. All purchases were made in the open market.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9"/>
              </w:rPr>
              <w:t>Average Price</w:t>
            </w:r>
          </w:p>
        </w:tc>
        <w:tc>
          <w:tcPr>
            <w:tcW w:w="280" w:type="dxa"/>
            <w:vAlign w:val="bottom"/>
          </w:tcPr>
          <w:p>
            <w:pPr>
              <w:spacing w:after="0"/>
              <w:rPr>
                <w:sz w:val="14"/>
                <w:szCs w:val="14"/>
                <w:color w:val="auto"/>
              </w:rPr>
            </w:pPr>
          </w:p>
        </w:tc>
        <w:tc>
          <w:tcPr>
            <w:tcW w:w="15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Total Dollar Value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Maximum Dollar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 Number</w:t>
            </w:r>
          </w:p>
        </w:tc>
        <w:tc>
          <w:tcPr>
            <w:tcW w:w="2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800" w:type="dxa"/>
            <w:vAlign w:val="bottom"/>
            <w:gridSpan w:val="4"/>
          </w:tcPr>
          <w:p>
            <w:pPr>
              <w:jc w:val="center"/>
              <w:ind w:right="20"/>
              <w:spacing w:after="0" w:line="146" w:lineRule="exact"/>
              <w:rPr>
                <w:sz w:val="20"/>
                <w:szCs w:val="20"/>
                <w:color w:val="auto"/>
              </w:rPr>
            </w:pPr>
            <w:r>
              <w:rPr>
                <w:rFonts w:ascii="Arial" w:cs="Arial" w:eastAsia="Arial" w:hAnsi="Arial"/>
                <w:sz w:val="14"/>
                <w:szCs w:val="14"/>
                <w:b w:val="1"/>
                <w:bCs w:val="1"/>
                <w:color w:val="auto"/>
                <w:w w:val="87"/>
              </w:rPr>
              <w:t>of Shares Purchased</w:t>
            </w:r>
          </w:p>
        </w:tc>
        <w:tc>
          <w:tcPr>
            <w:tcW w:w="280" w:type="dxa"/>
            <w:vAlign w:val="bottom"/>
          </w:tcPr>
          <w:p>
            <w:pPr>
              <w:spacing w:after="0"/>
              <w:rPr>
                <w:sz w:val="12"/>
                <w:szCs w:val="12"/>
                <w:color w:val="auto"/>
              </w:rPr>
            </w:pPr>
          </w:p>
        </w:tc>
        <w:tc>
          <w:tcPr>
            <w:tcW w:w="1380" w:type="dxa"/>
            <w:vAlign w:val="bottom"/>
            <w:gridSpan w:val="3"/>
          </w:tcPr>
          <w:p>
            <w:pPr>
              <w:jc w:val="center"/>
              <w:ind w:right="100"/>
              <w:spacing w:after="0" w:line="146" w:lineRule="exact"/>
              <w:rPr>
                <w:sz w:val="20"/>
                <w:szCs w:val="20"/>
                <w:color w:val="auto"/>
              </w:rPr>
            </w:pPr>
            <w:r>
              <w:rPr>
                <w:rFonts w:ascii="Arial" w:cs="Arial" w:eastAsia="Arial" w:hAnsi="Arial"/>
                <w:sz w:val="14"/>
                <w:szCs w:val="14"/>
                <w:b w:val="1"/>
                <w:bCs w:val="1"/>
                <w:color w:val="auto"/>
                <w:w w:val="89"/>
              </w:rPr>
              <w:t>Value of Shares that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80" w:type="dxa"/>
            <w:vAlign w:val="bottom"/>
            <w:gridSpan w:val="4"/>
          </w:tcPr>
          <w:p>
            <w:pPr>
              <w:jc w:val="center"/>
              <w:ind w:right="20"/>
              <w:spacing w:after="0" w:line="146" w:lineRule="exact"/>
              <w:rPr>
                <w:sz w:val="20"/>
                <w:szCs w:val="20"/>
                <w:color w:val="auto"/>
              </w:rPr>
            </w:pPr>
            <w:r>
              <w:rPr>
                <w:rFonts w:ascii="Arial" w:cs="Arial" w:eastAsia="Arial" w:hAnsi="Arial"/>
                <w:sz w:val="14"/>
                <w:szCs w:val="14"/>
                <w:b w:val="1"/>
                <w:bCs w:val="1"/>
                <w:color w:val="auto"/>
                <w:w w:val="91"/>
              </w:rPr>
              <w:t>Paid per Share</w:t>
            </w:r>
          </w:p>
        </w:tc>
        <w:tc>
          <w:tcPr>
            <w:tcW w:w="280" w:type="dxa"/>
            <w:vAlign w:val="bottom"/>
          </w:tcPr>
          <w:p>
            <w:pPr>
              <w:spacing w:after="0"/>
              <w:rPr>
                <w:sz w:val="12"/>
                <w:szCs w:val="12"/>
                <w:color w:val="auto"/>
              </w:rPr>
            </w:pPr>
          </w:p>
        </w:tc>
        <w:tc>
          <w:tcPr>
            <w:tcW w:w="1520" w:type="dxa"/>
            <w:vAlign w:val="bottom"/>
            <w:gridSpan w:val="3"/>
          </w:tcPr>
          <w:p>
            <w:pPr>
              <w:jc w:val="center"/>
              <w:ind w:right="300"/>
              <w:spacing w:after="0" w:line="146" w:lineRule="exact"/>
              <w:rPr>
                <w:sz w:val="20"/>
                <w:szCs w:val="20"/>
                <w:color w:val="auto"/>
              </w:rPr>
            </w:pPr>
            <w:r>
              <w:rPr>
                <w:rFonts w:ascii="Arial" w:cs="Arial" w:eastAsia="Arial" w:hAnsi="Arial"/>
                <w:sz w:val="14"/>
                <w:szCs w:val="14"/>
                <w:b w:val="1"/>
                <w:bCs w:val="1"/>
                <w:color w:val="auto"/>
                <w:w w:val="90"/>
              </w:rPr>
              <w:t>as Part of Publicly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w w:val="92"/>
              </w:rPr>
              <w:t>May Yet be</w:t>
            </w:r>
          </w:p>
        </w:tc>
        <w:tc>
          <w:tcPr>
            <w:tcW w:w="0" w:type="dxa"/>
            <w:vAlign w:val="bottom"/>
          </w:tcPr>
          <w:p>
            <w:pPr>
              <w:spacing w:after="0"/>
              <w:rPr>
                <w:sz w:val="1"/>
                <w:szCs w:val="1"/>
                <w:color w:val="auto"/>
              </w:rPr>
            </w:pPr>
          </w:p>
        </w:tc>
      </w:tr>
      <w:tr>
        <w:trPr>
          <w:trHeight w:val="146"/>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460" w:type="dxa"/>
            <w:vAlign w:val="bottom"/>
          </w:tcPr>
          <w:p>
            <w:pPr>
              <w:spacing w:after="0"/>
              <w:rPr>
                <w:sz w:val="12"/>
                <w:szCs w:val="12"/>
                <w:color w:val="auto"/>
              </w:rPr>
            </w:pPr>
          </w:p>
        </w:tc>
        <w:tc>
          <w:tcPr>
            <w:tcW w:w="114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color w:val="auto"/>
                <w:w w:val="87"/>
              </w:rPr>
              <w:t>of Shares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440"/>
              <w:spacing w:after="0" w:line="146" w:lineRule="exact"/>
              <w:rPr>
                <w:sz w:val="20"/>
                <w:szCs w:val="20"/>
                <w:color w:val="auto"/>
              </w:rPr>
            </w:pPr>
            <w:r>
              <w:rPr>
                <w:rFonts w:ascii="Arial" w:cs="Arial" w:eastAsia="Arial" w:hAnsi="Arial"/>
                <w:sz w:val="14"/>
                <w:szCs w:val="14"/>
                <w:b w:val="1"/>
                <w:bCs w:val="1"/>
                <w:color w:val="auto"/>
                <w:w w:val="93"/>
              </w:rPr>
              <w:t>including</w:t>
            </w:r>
          </w:p>
        </w:tc>
        <w:tc>
          <w:tcPr>
            <w:tcW w:w="280" w:type="dxa"/>
            <w:vAlign w:val="bottom"/>
          </w:tcPr>
          <w:p>
            <w:pPr>
              <w:spacing w:after="0"/>
              <w:rPr>
                <w:sz w:val="12"/>
                <w:szCs w:val="12"/>
                <w:color w:val="auto"/>
              </w:rPr>
            </w:pPr>
          </w:p>
        </w:tc>
        <w:tc>
          <w:tcPr>
            <w:tcW w:w="1520" w:type="dxa"/>
            <w:vAlign w:val="bottom"/>
            <w:gridSpan w:val="3"/>
          </w:tcPr>
          <w:p>
            <w:pPr>
              <w:jc w:val="center"/>
              <w:ind w:right="300"/>
              <w:spacing w:after="0" w:line="146" w:lineRule="exact"/>
              <w:rPr>
                <w:sz w:val="20"/>
                <w:szCs w:val="20"/>
                <w:color w:val="auto"/>
              </w:rPr>
            </w:pPr>
            <w:r>
              <w:rPr>
                <w:rFonts w:ascii="Arial" w:cs="Arial" w:eastAsia="Arial" w:hAnsi="Arial"/>
                <w:sz w:val="14"/>
                <w:szCs w:val="14"/>
                <w:b w:val="1"/>
                <w:bCs w:val="1"/>
                <w:color w:val="auto"/>
                <w:w w:val="89"/>
              </w:rPr>
              <w:t>Announced Plans</w:t>
            </w:r>
          </w:p>
        </w:tc>
        <w:tc>
          <w:tcPr>
            <w:tcW w:w="1660" w:type="dxa"/>
            <w:vAlign w:val="bottom"/>
            <w:gridSpan w:val="4"/>
          </w:tcPr>
          <w:p>
            <w:pPr>
              <w:jc w:val="center"/>
              <w:ind w:left="98"/>
              <w:spacing w:after="0" w:line="146" w:lineRule="exact"/>
              <w:rPr>
                <w:sz w:val="20"/>
                <w:szCs w:val="20"/>
                <w:color w:val="auto"/>
              </w:rPr>
            </w:pPr>
            <w:r>
              <w:rPr>
                <w:rFonts w:ascii="Arial" w:cs="Arial" w:eastAsia="Arial" w:hAnsi="Arial"/>
                <w:sz w:val="14"/>
                <w:szCs w:val="14"/>
                <w:b w:val="1"/>
                <w:bCs w:val="1"/>
                <w:color w:val="auto"/>
                <w:w w:val="90"/>
              </w:rPr>
              <w:t>Purchased Under the</w:t>
            </w:r>
          </w:p>
        </w:tc>
        <w:tc>
          <w:tcPr>
            <w:tcW w:w="0" w:type="dxa"/>
            <w:vAlign w:val="bottom"/>
          </w:tcPr>
          <w:p>
            <w:pPr>
              <w:spacing w:after="0"/>
              <w:rPr>
                <w:sz w:val="1"/>
                <w:szCs w:val="1"/>
                <w:color w:val="auto"/>
              </w:rPr>
            </w:pPr>
          </w:p>
        </w:tc>
      </w:tr>
      <w:tr>
        <w:trPr>
          <w:trHeight w:val="168"/>
        </w:trPr>
        <w:tc>
          <w:tcPr>
            <w:tcW w:w="488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Repurchased</w:t>
            </w:r>
          </w:p>
        </w:tc>
        <w:tc>
          <w:tcPr>
            <w:tcW w:w="28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Commissions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or Programs</w:t>
            </w:r>
          </w:p>
        </w:tc>
        <w:tc>
          <w:tcPr>
            <w:tcW w:w="28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Plans 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8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May 6, 2010 to May 31, 2010</w:t>
            </w:r>
          </w:p>
        </w:tc>
        <w:tc>
          <w:tcPr>
            <w:tcW w:w="4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line="206" w:lineRule="exact"/>
              <w:rPr>
                <w:sz w:val="20"/>
                <w:szCs w:val="20"/>
                <w:color w:val="auto"/>
              </w:rPr>
            </w:pPr>
            <w:r>
              <w:rPr>
                <w:rFonts w:ascii="Arial" w:cs="Arial" w:eastAsia="Arial" w:hAnsi="Arial"/>
                <w:sz w:val="18"/>
                <w:szCs w:val="18"/>
                <w:color w:val="auto"/>
              </w:rPr>
              <w:t>576,271</w:t>
            </w:r>
          </w:p>
        </w:tc>
        <w:tc>
          <w:tcPr>
            <w:tcW w:w="4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55.64</w:t>
            </w:r>
          </w:p>
        </w:tc>
        <w:tc>
          <w:tcPr>
            <w:tcW w:w="3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9"/>
              <w:spacing w:after="0" w:line="20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line="206" w:lineRule="exact"/>
              <w:rPr>
                <w:sz w:val="20"/>
                <w:szCs w:val="20"/>
                <w:color w:val="auto"/>
              </w:rPr>
            </w:pPr>
            <w:r>
              <w:rPr>
                <w:rFonts w:ascii="Arial" w:cs="Arial" w:eastAsia="Arial" w:hAnsi="Arial"/>
                <w:sz w:val="18"/>
                <w:szCs w:val="18"/>
                <w:color w:val="auto"/>
              </w:rPr>
              <w:t>32,081,557</w:t>
            </w:r>
          </w:p>
        </w:tc>
        <w:tc>
          <w:tcPr>
            <w:tcW w:w="38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rPr>
              <w:t>17,918,443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Jun 1, 2010 to Jun 25, 2010</w:t>
            </w:r>
          </w:p>
        </w:tc>
        <w:tc>
          <w:tcPr>
            <w:tcW w:w="4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331,039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54.10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17,918,415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907,310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49,999,972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Defaults upon Senior Securities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i w:val="1"/>
          <w:iCs w:val="1"/>
          <w:color w:val="auto"/>
        </w:rPr>
        <w:t>[Removed and Reserved]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Exhibits</w:t>
      </w:r>
    </w:p>
    <w:p>
      <w:pPr>
        <w:spacing w:after="0" w:line="2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5"/>
          <w:szCs w:val="15"/>
          <w:color w:val="auto"/>
        </w:rPr>
        <w:t>Certification pursuant to Section 302 of Sarbanes-Oxley Act of 2002, of Brian Concannon, President and Chief Executive Officer of the Company</w:t>
      </w:r>
    </w:p>
    <w:p>
      <w:pPr>
        <w:spacing w:after="0" w:line="217" w:lineRule="exact"/>
        <w:rPr>
          <w:sz w:val="20"/>
          <w:szCs w:val="20"/>
          <w:color w:val="auto"/>
        </w:rPr>
      </w:pPr>
    </w:p>
    <w:p>
      <w:pPr>
        <w:ind w:left="820" w:right="600" w:hanging="808"/>
        <w:spacing w:after="0" w:line="265" w:lineRule="auto"/>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pursuant to Section 302 of Sarbanes-Oxley of 2002, of Christopher Lindop, Chief Financial Officer and Vice President Business Development of the Company</w:t>
      </w:r>
    </w:p>
    <w:p>
      <w:pPr>
        <w:spacing w:after="0" w:line="179" w:lineRule="exact"/>
        <w:rPr>
          <w:sz w:val="20"/>
          <w:szCs w:val="20"/>
          <w:color w:val="auto"/>
        </w:rPr>
      </w:pPr>
    </w:p>
    <w:p>
      <w:pPr>
        <w:ind w:left="820" w:right="520" w:hanging="808"/>
        <w:spacing w:after="0" w:line="265" w:lineRule="auto"/>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Pursuant to 18 United States Code Section 1350, as adopted Pursuant to Section 906 of the Sarbanes-Oxley Act of 2002, of Brian Concannon, President and Chief Executive Officer of the Company</w:t>
      </w:r>
    </w:p>
    <w:p>
      <w:pPr>
        <w:spacing w:after="0" w:line="179" w:lineRule="exact"/>
        <w:rPr>
          <w:sz w:val="20"/>
          <w:szCs w:val="20"/>
          <w:color w:val="auto"/>
        </w:rPr>
      </w:pPr>
    </w:p>
    <w:p>
      <w:pPr>
        <w:ind w:left="820" w:right="80" w:hanging="808"/>
        <w:spacing w:after="0" w:line="265" w:lineRule="auto"/>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Pursuant to 18 United States Code Section 1350, as adopted Pursuant to Section 906 of the Sarbanes-Oxley Act of 2002, of Christopher Lindop, Chief Financial Officer and Vice President Business Development of the Company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60" w:type="dxa"/>
            <w:vAlign w:val="bottom"/>
          </w:tcPr>
          <w:p>
            <w:pPr>
              <w:spacing w:after="0"/>
              <w:rPr>
                <w:sz w:val="19"/>
                <w:szCs w:val="19"/>
                <w:color w:val="auto"/>
              </w:rPr>
            </w:pPr>
          </w:p>
        </w:tc>
        <w:tc>
          <w:tcPr>
            <w:tcW w:w="6480" w:type="dxa"/>
            <w:vAlign w:val="bottom"/>
            <w:gridSpan w:val="2"/>
          </w:tcPr>
          <w:p>
            <w:pPr>
              <w:ind w:left="1720"/>
              <w:spacing w:after="0"/>
              <w:rPr>
                <w:sz w:val="20"/>
                <w:szCs w:val="20"/>
                <w:color w:val="auto"/>
              </w:rPr>
            </w:pPr>
            <w:r>
              <w:rPr>
                <w:rFonts w:ascii="Arial" w:cs="Arial" w:eastAsia="Arial" w:hAnsi="Arial"/>
                <w:sz w:val="18"/>
                <w:szCs w:val="18"/>
                <w:color w:val="auto"/>
              </w:rPr>
              <w:t>HAEMONETICS CORPORATION</w:t>
            </w:r>
          </w:p>
        </w:tc>
      </w:tr>
      <w:tr>
        <w:trPr>
          <w:trHeight w:val="425"/>
        </w:trPr>
        <w:tc>
          <w:tcPr>
            <w:tcW w:w="3360" w:type="dxa"/>
            <w:vAlign w:val="bottom"/>
          </w:tcPr>
          <w:p>
            <w:pPr>
              <w:spacing w:after="0"/>
              <w:rPr>
                <w:sz w:val="20"/>
                <w:szCs w:val="20"/>
                <w:color w:val="auto"/>
              </w:rPr>
            </w:pPr>
            <w:r>
              <w:rPr>
                <w:rFonts w:ascii="Arial" w:cs="Arial" w:eastAsia="Arial" w:hAnsi="Arial"/>
                <w:sz w:val="18"/>
                <w:szCs w:val="18"/>
                <w:color w:val="auto"/>
              </w:rPr>
              <w:t>Date: February 8, 2011</w:t>
            </w:r>
          </w:p>
        </w:tc>
        <w:tc>
          <w:tcPr>
            <w:tcW w:w="6480" w:type="dxa"/>
            <w:vAlign w:val="bottom"/>
            <w:gridSpan w:val="2"/>
          </w:tcPr>
          <w:p>
            <w:pPr>
              <w:ind w:left="1720"/>
              <w:spacing w:after="0"/>
              <w:rPr>
                <w:sz w:val="20"/>
                <w:szCs w:val="20"/>
                <w:color w:val="auto"/>
              </w:rPr>
            </w:pPr>
            <w:r>
              <w:rPr>
                <w:rFonts w:ascii="Arial" w:cs="Arial" w:eastAsia="Arial" w:hAnsi="Arial"/>
                <w:sz w:val="18"/>
                <w:szCs w:val="18"/>
                <w:color w:val="auto"/>
              </w:rPr>
              <w:t>By: /s/ Brian Concannon</w:t>
            </w:r>
          </w:p>
        </w:tc>
      </w:tr>
      <w:tr>
        <w:trPr>
          <w:trHeight w:val="194"/>
        </w:trPr>
        <w:tc>
          <w:tcPr>
            <w:tcW w:w="33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42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w w:val="98"/>
              </w:rPr>
              <w:t>Brian Concannon, President and Chief Executive Officer</w:t>
            </w:r>
          </w:p>
        </w:tc>
      </w:tr>
      <w:tr>
        <w:trPr>
          <w:trHeight w:val="223"/>
        </w:trPr>
        <w:tc>
          <w:tcPr>
            <w:tcW w:w="33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25"/>
        </w:trPr>
        <w:tc>
          <w:tcPr>
            <w:tcW w:w="3360" w:type="dxa"/>
            <w:vAlign w:val="bottom"/>
          </w:tcPr>
          <w:p>
            <w:pPr>
              <w:spacing w:after="0"/>
              <w:rPr>
                <w:sz w:val="20"/>
                <w:szCs w:val="20"/>
                <w:color w:val="auto"/>
              </w:rPr>
            </w:pPr>
            <w:r>
              <w:rPr>
                <w:rFonts w:ascii="Arial" w:cs="Arial" w:eastAsia="Arial" w:hAnsi="Arial"/>
                <w:sz w:val="18"/>
                <w:szCs w:val="18"/>
                <w:color w:val="auto"/>
              </w:rPr>
              <w:t>Date: February 8, 2011</w:t>
            </w:r>
          </w:p>
        </w:tc>
        <w:tc>
          <w:tcPr>
            <w:tcW w:w="6480" w:type="dxa"/>
            <w:vAlign w:val="bottom"/>
            <w:gridSpan w:val="2"/>
          </w:tcPr>
          <w:p>
            <w:pPr>
              <w:ind w:left="1720"/>
              <w:spacing w:after="0"/>
              <w:rPr>
                <w:sz w:val="20"/>
                <w:szCs w:val="20"/>
                <w:color w:val="auto"/>
              </w:rPr>
            </w:pPr>
            <w:r>
              <w:rPr>
                <w:rFonts w:ascii="Arial" w:cs="Arial" w:eastAsia="Arial" w:hAnsi="Arial"/>
                <w:sz w:val="18"/>
                <w:szCs w:val="18"/>
                <w:color w:val="auto"/>
              </w:rPr>
              <w:t>By: /s/ Christopher Lindop</w:t>
            </w:r>
          </w:p>
        </w:tc>
      </w:tr>
      <w:tr>
        <w:trPr>
          <w:trHeight w:val="194"/>
        </w:trPr>
        <w:tc>
          <w:tcPr>
            <w:tcW w:w="33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42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Christopher Lindop, Chief Financial Officer and Vice</w:t>
            </w:r>
          </w:p>
        </w:tc>
      </w:tr>
      <w:tr>
        <w:trPr>
          <w:trHeight w:val="223"/>
        </w:trPr>
        <w:tc>
          <w:tcPr>
            <w:tcW w:w="33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w w:val="90"/>
              </w:rPr>
              <w:t>President Business Development (Principal Financial Officer)</w:t>
            </w:r>
          </w:p>
        </w:tc>
      </w:tr>
      <w:tr>
        <w:trPr>
          <w:trHeight w:val="398"/>
        </w:trPr>
        <w:tc>
          <w:tcPr>
            <w:tcW w:w="3360" w:type="dxa"/>
            <w:vAlign w:val="bottom"/>
          </w:tcPr>
          <w:p>
            <w:pPr>
              <w:spacing w:after="0"/>
              <w:rPr>
                <w:sz w:val="24"/>
                <w:szCs w:val="24"/>
                <w:color w:val="auto"/>
              </w:rPr>
            </w:pPr>
          </w:p>
        </w:tc>
        <w:tc>
          <w:tcPr>
            <w:tcW w:w="6480" w:type="dxa"/>
            <w:vAlign w:val="bottom"/>
            <w:gridSpan w:val="2"/>
          </w:tcPr>
          <w:p>
            <w:pPr>
              <w:jc w:val="right"/>
              <w:ind w:right="3952"/>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060"/>
          </w:cols>
          <w:pgMar w:left="240" w:top="413" w:right="5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 Brian Concannon, certify that:</w:t>
      </w:r>
    </w:p>
    <w:p>
      <w:pPr>
        <w:spacing w:after="0" w:line="111" w:lineRule="exact"/>
        <w:rPr>
          <w:sz w:val="20"/>
          <w:szCs w:val="20"/>
          <w:color w:val="auto"/>
        </w:rPr>
      </w:pPr>
    </w:p>
    <w:p>
      <w:pPr>
        <w:ind w:left="440" w:hanging="43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24" w:lineRule="exact"/>
        <w:rPr>
          <w:rFonts w:ascii="Arial" w:cs="Arial" w:eastAsia="Arial" w:hAnsi="Arial"/>
          <w:sz w:val="18"/>
          <w:szCs w:val="18"/>
          <w:color w:val="auto"/>
        </w:rPr>
      </w:pPr>
    </w:p>
    <w:p>
      <w:pPr>
        <w:ind w:left="440" w:right="200" w:hanging="434"/>
        <w:spacing w:after="0" w:line="366" w:lineRule="auto"/>
        <w:tabs>
          <w:tab w:leader="none" w:pos="4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 w:lineRule="exact"/>
        <w:rPr>
          <w:rFonts w:ascii="Arial" w:cs="Arial" w:eastAsia="Arial" w:hAnsi="Arial"/>
          <w:sz w:val="15"/>
          <w:szCs w:val="15"/>
          <w:color w:val="auto"/>
        </w:rPr>
      </w:pPr>
    </w:p>
    <w:p>
      <w:pPr>
        <w:ind w:left="440" w:hanging="434"/>
        <w:spacing w:after="0" w:line="265"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8"/>
          <w:szCs w:val="18"/>
          <w:color w:val="auto"/>
        </w:rPr>
      </w:pPr>
    </w:p>
    <w:p>
      <w:pPr>
        <w:ind w:left="440" w:right="140" w:hanging="434"/>
        <w:spacing w:after="0" w:line="255"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1120" w:right="280" w:hanging="438"/>
        <w:spacing w:after="0" w:line="255" w:lineRule="auto"/>
        <w:tabs>
          <w:tab w:leader="none" w:pos="11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Arial" w:cs="Arial" w:eastAsia="Arial" w:hAnsi="Arial"/>
          <w:sz w:val="18"/>
          <w:szCs w:val="18"/>
          <w:color w:val="auto"/>
        </w:rPr>
      </w:pPr>
    </w:p>
    <w:p>
      <w:pPr>
        <w:ind w:left="1120" w:right="580" w:hanging="438"/>
        <w:spacing w:after="0" w:line="255" w:lineRule="auto"/>
        <w:tabs>
          <w:tab w:leader="none" w:pos="11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Arial" w:cs="Arial" w:eastAsia="Arial" w:hAnsi="Arial"/>
          <w:sz w:val="18"/>
          <w:szCs w:val="18"/>
          <w:color w:val="auto"/>
        </w:rPr>
      </w:pPr>
    </w:p>
    <w:p>
      <w:pPr>
        <w:jc w:val="both"/>
        <w:ind w:left="1120" w:right="780" w:hanging="438"/>
        <w:spacing w:after="0" w:line="366" w:lineRule="auto"/>
        <w:tabs>
          <w:tab w:leader="none" w:pos="1120" w:val="left"/>
        </w:tabs>
        <w:numPr>
          <w:ilvl w:val="1"/>
          <w:numId w:val="2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5"/>
          <w:szCs w:val="15"/>
          <w:color w:val="auto"/>
        </w:rPr>
      </w:pPr>
    </w:p>
    <w:p>
      <w:pPr>
        <w:ind w:left="1120" w:right="260" w:hanging="438"/>
        <w:spacing w:after="0" w:line="255" w:lineRule="auto"/>
        <w:tabs>
          <w:tab w:leader="none" w:pos="11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440" w:right="580" w:hanging="434"/>
        <w:spacing w:after="0" w:line="366" w:lineRule="auto"/>
        <w:tabs>
          <w:tab w:leader="none" w:pos="4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5"/>
          <w:szCs w:val="15"/>
          <w:color w:val="auto"/>
        </w:rPr>
      </w:pPr>
    </w:p>
    <w:p>
      <w:pPr>
        <w:ind w:left="1120" w:right="180" w:hanging="438"/>
        <w:spacing w:after="0" w:line="294" w:lineRule="auto"/>
        <w:tabs>
          <w:tab w:leader="none" w:pos="11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7"/>
          <w:szCs w:val="17"/>
          <w:color w:val="auto"/>
        </w:rPr>
      </w:pPr>
    </w:p>
    <w:p>
      <w:pPr>
        <w:ind w:left="1120" w:right="140" w:hanging="438"/>
        <w:spacing w:after="0" w:line="265" w:lineRule="auto"/>
        <w:tabs>
          <w:tab w:leader="none" w:pos="11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2011</w:t>
      </w:r>
    </w:p>
    <w:p>
      <w:pPr>
        <w:spacing w:after="0" w:line="200" w:lineRule="exact"/>
        <w:rPr>
          <w:sz w:val="20"/>
          <w:szCs w:val="20"/>
          <w:color w:val="auto"/>
        </w:rPr>
      </w:pP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11430</wp:posOffset>
            </wp:positionV>
            <wp:extent cx="2677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7716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Brian Concannon, President and Chief Executive</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20"/>
          </w:cols>
          <w:pgMar w:left="240" w:top="54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Lindop, certify that:</w:t>
      </w:r>
    </w:p>
    <w:p>
      <w:pPr>
        <w:spacing w:after="0" w:line="111" w:lineRule="exact"/>
        <w:rPr>
          <w:sz w:val="20"/>
          <w:szCs w:val="20"/>
          <w:color w:val="auto"/>
        </w:rPr>
      </w:pPr>
    </w:p>
    <w:p>
      <w:pPr>
        <w:ind w:left="440" w:hanging="434"/>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24" w:lineRule="exact"/>
        <w:rPr>
          <w:rFonts w:ascii="Arial" w:cs="Arial" w:eastAsia="Arial" w:hAnsi="Arial"/>
          <w:sz w:val="18"/>
          <w:szCs w:val="18"/>
          <w:color w:val="auto"/>
        </w:rPr>
      </w:pPr>
    </w:p>
    <w:p>
      <w:pPr>
        <w:ind w:left="440" w:right="200" w:hanging="434"/>
        <w:spacing w:after="0" w:line="366" w:lineRule="auto"/>
        <w:tabs>
          <w:tab w:leader="none" w:pos="4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 w:lineRule="exact"/>
        <w:rPr>
          <w:rFonts w:ascii="Arial" w:cs="Arial" w:eastAsia="Arial" w:hAnsi="Arial"/>
          <w:sz w:val="15"/>
          <w:szCs w:val="15"/>
          <w:color w:val="auto"/>
        </w:rPr>
      </w:pPr>
    </w:p>
    <w:p>
      <w:pPr>
        <w:ind w:left="440" w:hanging="434"/>
        <w:spacing w:after="0" w:line="265"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8"/>
          <w:szCs w:val="18"/>
          <w:color w:val="auto"/>
        </w:rPr>
      </w:pPr>
    </w:p>
    <w:p>
      <w:pPr>
        <w:ind w:left="440" w:right="140" w:hanging="434"/>
        <w:spacing w:after="0" w:line="255"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1120" w:right="280" w:hanging="438"/>
        <w:spacing w:after="0" w:line="255" w:lineRule="auto"/>
        <w:tabs>
          <w:tab w:leader="none" w:pos="11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Arial" w:cs="Arial" w:eastAsia="Arial" w:hAnsi="Arial"/>
          <w:sz w:val="18"/>
          <w:szCs w:val="18"/>
          <w:color w:val="auto"/>
        </w:rPr>
      </w:pPr>
    </w:p>
    <w:p>
      <w:pPr>
        <w:ind w:left="1120" w:right="580" w:hanging="438"/>
        <w:spacing w:after="0" w:line="255" w:lineRule="auto"/>
        <w:tabs>
          <w:tab w:leader="none" w:pos="11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Arial" w:cs="Arial" w:eastAsia="Arial" w:hAnsi="Arial"/>
          <w:sz w:val="18"/>
          <w:szCs w:val="18"/>
          <w:color w:val="auto"/>
        </w:rPr>
      </w:pPr>
    </w:p>
    <w:p>
      <w:pPr>
        <w:jc w:val="both"/>
        <w:ind w:left="1120" w:right="780" w:hanging="438"/>
        <w:spacing w:after="0" w:line="366" w:lineRule="auto"/>
        <w:tabs>
          <w:tab w:leader="none" w:pos="1120" w:val="left"/>
        </w:tabs>
        <w:numPr>
          <w:ilvl w:val="1"/>
          <w:numId w:val="2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5"/>
          <w:szCs w:val="15"/>
          <w:color w:val="auto"/>
        </w:rPr>
      </w:pPr>
    </w:p>
    <w:p>
      <w:pPr>
        <w:ind w:left="1120" w:right="260" w:hanging="438"/>
        <w:spacing w:after="0" w:line="255" w:lineRule="auto"/>
        <w:tabs>
          <w:tab w:leader="none" w:pos="11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440" w:right="580" w:hanging="434"/>
        <w:spacing w:after="0" w:line="366" w:lineRule="auto"/>
        <w:tabs>
          <w:tab w:leader="none" w:pos="4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5"/>
          <w:szCs w:val="15"/>
          <w:color w:val="auto"/>
        </w:rPr>
      </w:pPr>
    </w:p>
    <w:p>
      <w:pPr>
        <w:ind w:left="1120" w:right="180" w:hanging="438"/>
        <w:spacing w:after="0" w:line="294" w:lineRule="auto"/>
        <w:tabs>
          <w:tab w:leader="none" w:pos="11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7"/>
          <w:szCs w:val="17"/>
          <w:color w:val="auto"/>
        </w:rPr>
      </w:pPr>
    </w:p>
    <w:p>
      <w:pPr>
        <w:ind w:left="1120" w:right="140" w:hanging="438"/>
        <w:spacing w:after="0" w:line="265" w:lineRule="auto"/>
        <w:tabs>
          <w:tab w:leader="none" w:pos="11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2011</w:t>
      </w:r>
    </w:p>
    <w:p>
      <w:pPr>
        <w:spacing w:after="0" w:line="200" w:lineRule="exact"/>
        <w:rPr>
          <w:sz w:val="20"/>
          <w:szCs w:val="20"/>
          <w:color w:val="auto"/>
        </w:rPr>
      </w:pP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11430</wp:posOffset>
            </wp:positionV>
            <wp:extent cx="2677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7716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Christopher Lindop, Chief Financial Officer and</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Business Development</w:t>
      </w:r>
    </w:p>
    <w:p>
      <w:pPr>
        <w:spacing w:after="0" w:line="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4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11"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January 1, 2011 as filed with the Securities and Exchange Commission on the date hereof (the “Report”), I, Brian Concannon,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2011</w:t>
      </w:r>
    </w:p>
    <w:p>
      <w:pPr>
        <w:spacing w:after="0" w:line="200" w:lineRule="exact"/>
        <w:rPr>
          <w:sz w:val="20"/>
          <w:szCs w:val="20"/>
          <w:color w:val="auto"/>
        </w:rPr>
      </w:pP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11430</wp:posOffset>
            </wp:positionV>
            <wp:extent cx="2677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7716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Brian Concannon,</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pacing w:after="0" w:line="312"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54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1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January 1, 2011 as filed with the Securities and Exchange Commission on the date hereof (the “Report”), I, Christopher Lindop, Chief Financial Officer and Vice President Business Development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2011</w:t>
      </w:r>
    </w:p>
    <w:p>
      <w:pPr>
        <w:spacing w:after="0" w:line="200" w:lineRule="exact"/>
        <w:rPr>
          <w:sz w:val="20"/>
          <w:szCs w:val="20"/>
          <w:color w:val="auto"/>
        </w:rPr>
      </w:pP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11430</wp:posOffset>
            </wp:positionV>
            <wp:extent cx="2677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7716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Christopher Lindop,</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 and Vice President</w:t>
      </w:r>
    </w:p>
    <w:p>
      <w:pPr>
        <w:spacing w:after="0" w:line="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Business Development</w:t>
      </w:r>
    </w:p>
    <w:p>
      <w:pPr>
        <w:spacing w:after="0" w:line="312"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1."/>
      <w:numFmt w:val="decimal"/>
      <w:start w:val="9"/>
    </w:lvl>
  </w:abstractNum>
  <w:abstractNum w:abstractNumId="2">
    <w:nsid w:val="3352255A"/>
    <w:multiLevelType w:val="hybridMultilevel"/>
    <w:lvl w:ilvl="0">
      <w:lvlJc w:val="left"/>
      <w:lvlText w:val="(%1)"/>
      <w:numFmt w:val="lowerLetter"/>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15"/>
    </w:lvl>
    <w:lvl w:ilvl="1">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2019-12-10T04:43:36Z</dcterms:created>
  <dcterms:modified xsi:type="dcterms:W3CDTF">2019-12-10T04:43:36Z</dcterms:modified>
</cp:coreProperties>
</file>