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quarterly period ended: December 30, 2023</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001-14041 </w:t>
      </w:r>
    </w:p>
    <w:p>
      <w:pPr>
        <w:pStyle w:val="TextBody"/>
        <w:bidi w:val="0"/>
        <w:spacing w:lineRule="auto" w:line="288" w:before="320" w:after="283"/>
        <w:jc w:val="center"/>
        <w:rPr>
          <w:rFonts w:ascii="Times New Roman;sans-serif" w:hAnsi="Times New Roman;sans-serif"/>
          <w:b/>
          <w:color w:val="000000"/>
          <w:sz w:val="48"/>
        </w:rPr>
      </w:pPr>
      <w:r>
        <w:rPr>
          <w:rFonts w:ascii="Times New Roman;sans-serif" w:hAnsi="Times New Roman;sans-serif"/>
          <w:b/>
          <w:color w:val="000000"/>
          <w:sz w:val="48"/>
        </w:rPr>
        <w:t>HAEMONETICS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274" w:type="dxa"/>
        <w:jc w:val="center"/>
        <w:tblInd w:w="0" w:type="dxa"/>
        <w:tblLayout w:type="fixed"/>
        <w:tblCellMar>
          <w:top w:w="28" w:type="dxa"/>
          <w:left w:w="28" w:type="dxa"/>
          <w:bottom w:w="28" w:type="dxa"/>
          <w:right w:w="28" w:type="dxa"/>
        </w:tblCellMar>
      </w:tblPr>
      <w:tblGrid>
        <w:gridCol w:w="599"/>
        <w:gridCol w:w="528"/>
        <w:gridCol w:w="528"/>
        <w:gridCol w:w="545"/>
        <w:gridCol w:w="545"/>
        <w:gridCol w:w="553"/>
        <w:gridCol w:w="109"/>
        <w:gridCol w:w="109"/>
        <w:gridCol w:w="109"/>
        <w:gridCol w:w="481"/>
        <w:gridCol w:w="481"/>
        <w:gridCol w:w="687"/>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04-2882273</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125 Summer Street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Boston,</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02110</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(781) 848-7100 </w:t>
      </w:r>
    </w:p>
    <w:p>
      <w:pPr>
        <w:pStyle w:val="TextBody"/>
        <w:bidi w:val="0"/>
        <w:spacing w:lineRule="auto" w:line="288" w:before="0" w:after="0"/>
        <w:jc w:val="center"/>
        <w:rPr/>
      </w:pPr>
      <w:r>
        <w:rPr>
          <w:rFonts w:ascii="Times New Roman;sans-serif" w:hAnsi="Times New Roman;sans-serif"/>
          <w:b w:val="false"/>
          <w:color w:val="000000"/>
          <w:sz w:val="18"/>
        </w:rPr>
        <w:t>(Registrant’s telephone number, including area code)</w:t>
      </w:r>
      <w:r>
        <w:rPr>
          <w:color w:val="000000"/>
        </w:rPr>
        <w:t xml:space="preserve">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752" w:type="dxa"/>
        <w:jc w:val="center"/>
        <w:tblInd w:w="0" w:type="dxa"/>
        <w:tblLayout w:type="fixed"/>
        <w:tblCellMar>
          <w:top w:w="28" w:type="dxa"/>
          <w:left w:w="28" w:type="dxa"/>
          <w:bottom w:w="28" w:type="dxa"/>
          <w:right w:w="28" w:type="dxa"/>
        </w:tblCellMar>
      </w:tblPr>
      <w:tblGrid>
        <w:gridCol w:w="1212"/>
        <w:gridCol w:w="1070"/>
        <w:gridCol w:w="1077"/>
        <w:gridCol w:w="109"/>
        <w:gridCol w:w="109"/>
        <w:gridCol w:w="109"/>
        <w:gridCol w:w="424"/>
        <w:gridCol w:w="424"/>
        <w:gridCol w:w="426"/>
        <w:gridCol w:w="109"/>
        <w:gridCol w:w="109"/>
        <w:gridCol w:w="109"/>
        <w:gridCol w:w="1014"/>
        <w:gridCol w:w="1014"/>
        <w:gridCol w:w="1437"/>
      </w:tblGrid>
      <w:tr>
        <w:trPr/>
        <w:tc>
          <w:tcPr>
            <w:tcW w:w="12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ind w:left="0" w:right="0" w:firstLine="72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943" w:type="dxa"/>
        <w:jc w:val="left"/>
        <w:tblInd w:w="0" w:type="dxa"/>
        <w:tblLayout w:type="fixed"/>
        <w:tblCellMar>
          <w:top w:w="28" w:type="dxa"/>
          <w:left w:w="28" w:type="dxa"/>
          <w:bottom w:w="28" w:type="dxa"/>
          <w:right w:w="28" w:type="dxa"/>
        </w:tblCellMar>
      </w:tblPr>
      <w:tblGrid>
        <w:gridCol w:w="695"/>
        <w:gridCol w:w="611"/>
        <w:gridCol w:w="613"/>
        <w:gridCol w:w="120"/>
        <w:gridCol w:w="120"/>
        <w:gridCol w:w="121"/>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8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$0.01 par value common stock outstanding as of February 6, 2024: 50,786,117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473"/>
        <w:gridCol w:w="3051"/>
        <w:gridCol w:w="3064"/>
        <w:gridCol w:w="180"/>
        <w:gridCol w:w="180"/>
        <w:gridCol w:w="257"/>
      </w:tblGrid>
      <w:tr>
        <w:trPr/>
        <w:tc>
          <w:tcPr>
            <w:tcW w:w="3473"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0">
              <w:r>
                <w:rPr>
                  <w:rStyle w:val="InternetLink"/>
                  <w:rFonts w:ascii="Times New Roman;sans-serif" w:hAnsi="Times New Roman;sans-serif"/>
                  <w:b/>
                  <w:color w:val="0000FF"/>
                  <w:sz w:val="20"/>
                  <w:u w:val="single"/>
                </w:rPr>
                <w:t>PART I. FINANCIAL INFORMATION</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3">
              <w:r>
                <w:rPr>
                  <w:rStyle w:val="InternetLink"/>
                  <w:rFonts w:ascii="Times New Roman;sans-serif" w:hAnsi="Times New Roman;sans-serif"/>
                  <w:b/>
                  <w:color w:val="0000FF"/>
                  <w:sz w:val="20"/>
                  <w:u w:val="single"/>
                </w:rPr>
                <w:t>ITEM 1.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6">
              <w:r>
                <w:rPr>
                  <w:rStyle w:val="InternetLink"/>
                  <w:rFonts w:ascii="Times New Roman;sans-serif" w:hAnsi="Times New Roman;sans-serif"/>
                  <w:b w:val="false"/>
                  <w:color w:val="0000FF"/>
                  <w:sz w:val="20"/>
                  <w:u w:val="single"/>
                </w:rPr>
                <w:t>Unaudited Condensed Consolidated Statements of Income and Comprehensive Income - Three and Nine Months Ended December 30, 2023 and December 31,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6">
              <w:r>
                <w:rPr>
                  <w:rStyle w:val="InternetLink"/>
                  <w:rFonts w:ascii="Times New Roman;sans-serif" w:hAnsi="Times New Roman;sans-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9">
              <w:r>
                <w:rPr>
                  <w:rStyle w:val="InternetLink"/>
                  <w:rFonts w:ascii="Times New Roman;sans-serif" w:hAnsi="Times New Roman;sans-serif"/>
                  <w:b w:val="false"/>
                  <w:color w:val="0000FF"/>
                  <w:sz w:val="20"/>
                  <w:u w:val="single"/>
                </w:rPr>
                <w:t>Unaudited Condensed Consolidated Balance Sheet - December 30, 2023 and Consolidated Balance Sheet - April 1,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9">
              <w:r>
                <w:rPr>
                  <w:rStyle w:val="InternetLink"/>
                  <w:rFonts w:ascii="Times New Roman;sans-serif" w:hAnsi="Times New Roman;sans-serif"/>
                  <w:b w:val="false"/>
                  <w:color w:val="0000FF"/>
                  <w:sz w:val="20"/>
                  <w:u w:val="single"/>
                </w:rPr>
                <w:t>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22">
              <w:r>
                <w:rPr>
                  <w:rStyle w:val="InternetLink"/>
                  <w:rFonts w:ascii="Times New Roman;sans-serif" w:hAnsi="Times New Roman;sans-serif"/>
                  <w:b w:val="false"/>
                  <w:color w:val="0000FF"/>
                  <w:sz w:val="20"/>
                  <w:u w:val="single"/>
                </w:rPr>
                <w:t>Unaudited Condensed Consolidated Statements of Stockholders</w:t>
              </w:r>
            </w:hyperlink>
            <w:r>
              <w:rPr>
                <w:color w:val="0E32E1"/>
                <w:u w:val="single"/>
              </w:rPr>
              <w:t>’</w:t>
            </w:r>
            <w:hyperlink w:anchor="if3b923a294794ac188953d5a23bec639_22">
              <w:r>
                <w:rPr>
                  <w:rStyle w:val="InternetLink"/>
                  <w:color w:val="0000FF"/>
                  <w:u w:val="single"/>
                </w:rPr>
                <w:t xml:space="preserve"> </w:t>
              </w:r>
            </w:hyperlink>
            <w:hyperlink w:anchor="if3b923a294794ac188953d5a23bec639_22">
              <w:r>
                <w:rPr>
                  <w:rStyle w:val="InternetLink"/>
                  <w:rFonts w:ascii="Times New Roman;sans-serif" w:hAnsi="Times New Roman;sans-serif"/>
                  <w:b w:val="false"/>
                  <w:color w:val="0000FF"/>
                  <w:sz w:val="20"/>
                  <w:u w:val="single"/>
                </w:rPr>
                <w:t>Equity - Three and</w:t>
              </w:r>
            </w:hyperlink>
            <w:hyperlink w:anchor="if3b923a294794ac188953d5a23bec639_22">
              <w:r>
                <w:rPr>
                  <w:rStyle w:val="InternetLink"/>
                  <w:rFonts w:ascii="Times New Roman;sans-serif" w:hAnsi="Times New Roman;sans-serif"/>
                  <w:b w:val="false"/>
                  <w:color w:val="000080"/>
                  <w:sz w:val="20"/>
                  <w:u w:val="single"/>
                </w:rPr>
                <w:t xml:space="preserve"> Nine</w:t>
              </w:r>
            </w:hyperlink>
            <w:hyperlink w:anchor="if3b923a294794ac188953d5a23bec639_22">
              <w:r>
                <w:rPr>
                  <w:rStyle w:val="InternetLink"/>
                  <w:rFonts w:ascii="Times New Roman;sans-serif" w:hAnsi="Times New Roman;sans-serif"/>
                  <w:b w:val="false"/>
                  <w:color w:val="000080"/>
                  <w:sz w:val="20"/>
                  <w:u w:val="single"/>
                </w:rPr>
                <w:t xml:space="preserve"> Months Ended </w:t>
              </w:r>
            </w:hyperlink>
            <w:hyperlink w:anchor="if3b923a294794ac188953d5a23bec639_22">
              <w:r>
                <w:rPr>
                  <w:rStyle w:val="InternetLink"/>
                  <w:rFonts w:ascii="Times New Roman;sans-serif" w:hAnsi="Times New Roman;sans-serif"/>
                  <w:b w:val="false"/>
                  <w:color w:val="000080"/>
                  <w:sz w:val="20"/>
                  <w:u w:val="single"/>
                </w:rPr>
                <w:t>December</w:t>
              </w:r>
            </w:hyperlink>
            <w:hyperlink w:anchor="if3b923a294794ac188953d5a23bec639_22">
              <w:r>
                <w:rPr>
                  <w:rStyle w:val="InternetLink"/>
                  <w:rFonts w:ascii="Times New Roman;sans-serif" w:hAnsi="Times New Roman;sans-serif"/>
                  <w:b w:val="false"/>
                  <w:color w:val="000080"/>
                  <w:sz w:val="20"/>
                  <w:u w:val="single"/>
                </w:rPr>
                <w:t xml:space="preserve"> 30, 2023 and </w:t>
              </w:r>
            </w:hyperlink>
            <w:hyperlink w:anchor="if3b923a294794ac188953d5a23bec639_22">
              <w:r>
                <w:rPr>
                  <w:rStyle w:val="InternetLink"/>
                  <w:rFonts w:ascii="Times New Roman;sans-serif" w:hAnsi="Times New Roman;sans-serif"/>
                  <w:b w:val="false"/>
                  <w:color w:val="000080"/>
                  <w:sz w:val="20"/>
                  <w:u w:val="single"/>
                </w:rPr>
                <w:t>Decembe</w:t>
              </w:r>
            </w:hyperlink>
            <w:hyperlink w:anchor="if3b923a294794ac188953d5a23bec639_22">
              <w:r>
                <w:rPr>
                  <w:rStyle w:val="InternetLink"/>
                  <w:rFonts w:ascii="Times New Roman;sans-serif" w:hAnsi="Times New Roman;sans-serif"/>
                  <w:b w:val="false"/>
                  <w:color w:val="000080"/>
                  <w:sz w:val="20"/>
                  <w:u w:val="single"/>
                </w:rPr>
                <w:t xml:space="preserve">r </w:t>
              </w:r>
            </w:hyperlink>
            <w:hyperlink w:anchor="if3b923a294794ac188953d5a23bec639_22">
              <w:r>
                <w:rPr>
                  <w:rStyle w:val="InternetLink"/>
                  <w:rFonts w:ascii="Times New Roman;sans-serif" w:hAnsi="Times New Roman;sans-serif"/>
                  <w:b w:val="false"/>
                  <w:color w:val="000080"/>
                  <w:sz w:val="20"/>
                  <w:u w:val="single"/>
                </w:rPr>
                <w:t>3</w:t>
              </w:r>
            </w:hyperlink>
            <w:hyperlink w:anchor="if3b923a294794ac188953d5a23bec639_22">
              <w:r>
                <w:rPr>
                  <w:rStyle w:val="InternetLink"/>
                  <w:rFonts w:ascii="Times New Roman;sans-serif" w:hAnsi="Times New Roman;sans-serif"/>
                  <w:b w:val="false"/>
                  <w:color w:val="000080"/>
                  <w:sz w:val="20"/>
                  <w:u w:val="single"/>
                </w:rPr>
                <w:t>1, 2022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22">
              <w:r>
                <w:rPr>
                  <w:rStyle w:val="InternetLink"/>
                  <w:rFonts w:ascii="Times New Roman;sans-serif" w:hAnsi="Times New Roman;sans-serif"/>
                  <w:b w:val="false"/>
                  <w:color w:val="0000FF"/>
                  <w:sz w:val="20"/>
                  <w:u w:val="single"/>
                </w:rPr>
                <w:t>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25">
              <w:r>
                <w:rPr>
                  <w:rStyle w:val="InternetLink"/>
                  <w:rFonts w:ascii="Times New Roman;sans-serif" w:hAnsi="Times New Roman;sans-serif"/>
                  <w:b w:val="false"/>
                  <w:color w:val="0000FF"/>
                  <w:sz w:val="20"/>
                  <w:u w:val="single"/>
                </w:rPr>
                <w:t>Unaudited Condensed Consolidated Statements of Cash Flows - Nine Months Ended December 30, 2023 and December 31,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25">
              <w:r>
                <w:rPr>
                  <w:rStyle w:val="InternetLink"/>
                  <w:rFonts w:ascii="Times New Roman;sans-serif" w:hAnsi="Times New Roman;sans-serif"/>
                  <w:b w:val="false"/>
                  <w:color w:val="0000FF"/>
                  <w:sz w:val="20"/>
                  <w:u w:val="single"/>
                </w:rPr>
                <w:t>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28">
              <w:r>
                <w:rPr>
                  <w:rStyle w:val="InternetLink"/>
                  <w:rFonts w:ascii="Times New Roman;sans-serif" w:hAnsi="Times New Roman;sans-serif"/>
                  <w:b w:val="false"/>
                  <w:color w:val="0000FF"/>
                  <w:sz w:val="20"/>
                  <w:u w:val="single"/>
                </w:rPr>
                <w:t>Notes to Unaudited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28">
              <w:r>
                <w:rPr>
                  <w:rStyle w:val="InternetLink"/>
                  <w:rFonts w:ascii="Times New Roman;sans-serif" w:hAnsi="Times New Roman;sans-serif"/>
                  <w:b w:val="false"/>
                  <w:color w:val="0000FF"/>
                  <w:sz w:val="20"/>
                  <w:u w:val="single"/>
                </w:rPr>
                <w:t>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82">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82">
              <w:r>
                <w:rPr>
                  <w:rStyle w:val="InternetLink"/>
                  <w:rFonts w:ascii="Times New Roman;sans-serif" w:hAnsi="Times New Roman;sans-serif"/>
                  <w:b w:val="false"/>
                  <w:color w:val="0000FF"/>
                  <w:sz w:val="20"/>
                  <w:u w:val="single"/>
                </w:rPr>
                <w:t>26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06">
              <w:r>
                <w:rPr>
                  <w:rStyle w:val="InternetLink"/>
                  <w:rFonts w:ascii="Times New Roman;sans-serif" w:hAnsi="Times New Roman;sans-serif"/>
                  <w:b/>
                  <w:color w:val="0000FF"/>
                  <w:sz w:val="20"/>
                  <w:u w:val="single"/>
                </w:rPr>
                <w:t>ITEM 3. 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06">
              <w:r>
                <w:rPr>
                  <w:rStyle w:val="InternetLink"/>
                  <w:rFonts w:ascii="Times New Roman;sans-serif" w:hAnsi="Times New Roman;sans-serif"/>
                  <w:b w:val="false"/>
                  <w:color w:val="0000FF"/>
                  <w:sz w:val="20"/>
                  <w:u w:val="single"/>
                </w:rPr>
                <w:t>36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09">
              <w:r>
                <w:rPr>
                  <w:rStyle w:val="InternetLink"/>
                  <w:rFonts w:ascii="Times New Roman;sans-serif" w:hAnsi="Times New Roman;sans-serif"/>
                  <w:b/>
                  <w:color w:val="0000FF"/>
                  <w:sz w:val="20"/>
                  <w:u w:val="single"/>
                </w:rPr>
                <w:t>ITEM 4. 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09">
              <w:r>
                <w:rPr>
                  <w:rStyle w:val="InternetLink"/>
                  <w:rFonts w:ascii="Times New Roman;sans-serif" w:hAnsi="Times New Roman;sans-serif"/>
                  <w:b w:val="false"/>
                  <w:color w:val="0000FF"/>
                  <w:sz w:val="20"/>
                  <w:u w:val="single"/>
                </w:rPr>
                <w:t>36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12">
              <w:r>
                <w:rPr>
                  <w:rStyle w:val="InternetLink"/>
                  <w:rFonts w:ascii="Times New Roman;sans-serif" w:hAnsi="Times New Roman;sans-serif"/>
                  <w:b/>
                  <w:color w:val="0000FF"/>
                  <w:sz w:val="20"/>
                  <w:u w:val="single"/>
                </w:rPr>
                <w:t>PART II.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12">
              <w:r>
                <w:rPr>
                  <w:rStyle w:val="InternetLink"/>
                  <w:rFonts w:ascii="Times New Roman;sans-serif" w:hAnsi="Times New Roman;sans-serif"/>
                  <w:b w:val="false"/>
                  <w:color w:val="0000FF"/>
                  <w:sz w:val="20"/>
                  <w:u w:val="single"/>
                </w:rPr>
                <w:t>38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15">
              <w:r>
                <w:rPr>
                  <w:rStyle w:val="InternetLink"/>
                  <w:rFonts w:ascii="Times New Roman;sans-serif" w:hAnsi="Times New Roman;sans-serif"/>
                  <w:b/>
                  <w:color w:val="0000FF"/>
                  <w:sz w:val="20"/>
                  <w:u w:val="single"/>
                </w:rPr>
                <w:t>ITEM 1. 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15">
              <w:r>
                <w:rPr>
                  <w:rStyle w:val="InternetLink"/>
                  <w:rFonts w:ascii="Times New Roman;sans-serif" w:hAnsi="Times New Roman;sans-serif"/>
                  <w:b w:val="false"/>
                  <w:color w:val="0000FF"/>
                  <w:sz w:val="20"/>
                  <w:u w:val="single"/>
                </w:rPr>
                <w:t>38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18">
              <w:r>
                <w:rPr>
                  <w:rStyle w:val="InternetLink"/>
                  <w:rFonts w:ascii="Times New Roman;sans-serif" w:hAnsi="Times New Roman;sans-serif"/>
                  <w:b/>
                  <w:color w:val="0000FF"/>
                  <w:sz w:val="20"/>
                  <w:u w:val="single"/>
                </w:rPr>
                <w:t>ITEM 1A. 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18">
              <w:r>
                <w:rPr>
                  <w:rStyle w:val="InternetLink"/>
                  <w:rFonts w:ascii="Times New Roman;sans-serif" w:hAnsi="Times New Roman;sans-serif"/>
                  <w:b w:val="false"/>
                  <w:color w:val="0000FF"/>
                  <w:sz w:val="20"/>
                  <w:u w:val="single"/>
                </w:rPr>
                <w:t>38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21">
              <w:r>
                <w:rPr>
                  <w:rStyle w:val="InternetLink"/>
                  <w:rFonts w:ascii="Times New Roman;sans-serif" w:hAnsi="Times New Roman;sans-serif"/>
                  <w:b/>
                  <w:color w:val="0000FF"/>
                  <w:sz w:val="20"/>
                  <w:u w:val="single"/>
                </w:rPr>
                <w:t>ITEM 2. 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21">
              <w:r>
                <w:rPr>
                  <w:rStyle w:val="InternetLink"/>
                  <w:rFonts w:ascii="Times New Roman;sans-serif" w:hAnsi="Times New Roman;sans-serif"/>
                  <w:b w:val="false"/>
                  <w:color w:val="0000FF"/>
                  <w:sz w:val="20"/>
                  <w:u w:val="single"/>
                </w:rPr>
                <w:t>38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24">
              <w:r>
                <w:rPr>
                  <w:rStyle w:val="InternetLink"/>
                  <w:rFonts w:ascii="Times New Roman;sans-serif" w:hAnsi="Times New Roman;sans-serif"/>
                  <w:b/>
                  <w:color w:val="0000FF"/>
                  <w:sz w:val="20"/>
                  <w:u w:val="single"/>
                </w:rPr>
                <w:t>ITEM 3. 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24">
              <w:r>
                <w:rPr>
                  <w:rStyle w:val="InternetLink"/>
                  <w:rFonts w:ascii="Times New Roman;sans-serif" w:hAnsi="Times New Roman;sans-serif"/>
                  <w:b w:val="false"/>
                  <w:color w:val="0000FF"/>
                  <w:sz w:val="20"/>
                  <w:u w:val="single"/>
                </w:rPr>
                <w:t>38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27">
              <w:r>
                <w:rPr>
                  <w:rStyle w:val="InternetLink"/>
                  <w:rFonts w:ascii="Times New Roman;sans-serif" w:hAnsi="Times New Roman;sans-serif"/>
                  <w:b/>
                  <w:color w:val="0000FF"/>
                  <w:sz w:val="20"/>
                  <w:u w:val="single"/>
                </w:rPr>
                <w:t>ITEM 4. 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27">
              <w:r>
                <w:rPr>
                  <w:rStyle w:val="InternetLink"/>
                  <w:rFonts w:ascii="Times New Roman;sans-serif" w:hAnsi="Times New Roman;sans-serif"/>
                  <w:b w:val="false"/>
                  <w:color w:val="0000FF"/>
                  <w:sz w:val="20"/>
                  <w:u w:val="single"/>
                </w:rPr>
                <w:t>38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30">
              <w:r>
                <w:rPr>
                  <w:rStyle w:val="InternetLink"/>
                  <w:rFonts w:ascii="Times New Roman;sans-serif" w:hAnsi="Times New Roman;sans-serif"/>
                  <w:b/>
                  <w:color w:val="0000FF"/>
                  <w:sz w:val="20"/>
                  <w:u w:val="single"/>
                </w:rPr>
                <w:t>ITEM 5.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30">
              <w:r>
                <w:rPr>
                  <w:rStyle w:val="InternetLink"/>
                  <w:rFonts w:ascii="Times New Roman;sans-serif" w:hAnsi="Times New Roman;sans-serif"/>
                  <w:b w:val="false"/>
                  <w:color w:val="0000FF"/>
                  <w:sz w:val="20"/>
                  <w:u w:val="single"/>
                </w:rPr>
                <w:t>38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36">
              <w:r>
                <w:rPr>
                  <w:rStyle w:val="InternetLink"/>
                  <w:rFonts w:ascii="Times New Roman;sans-serif" w:hAnsi="Times New Roman;sans-serif"/>
                  <w:b/>
                  <w:color w:val="0000FF"/>
                  <w:sz w:val="20"/>
                  <w:u w:val="single"/>
                </w:rPr>
                <w:t>ITEM 6. 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36">
              <w:r>
                <w:rPr>
                  <w:rStyle w:val="InternetLink"/>
                  <w:rFonts w:ascii="Times New Roman;sans-serif" w:hAnsi="Times New Roman;sans-serif"/>
                  <w:b w:val="false"/>
                  <w:color w:val="0000FF"/>
                  <w:sz w:val="20"/>
                  <w:u w:val="single"/>
                </w:rPr>
                <w:t>39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923a294794ac188953d5a23bec639_139">
              <w:r>
                <w:rPr>
                  <w:rStyle w:val="InternetLink"/>
                  <w:rFonts w:ascii="Times New Roman;sans-serif" w:hAnsi="Times New Roman;sans-serif"/>
                  <w:b/>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b923a294794ac188953d5a23bec639_139">
              <w:r>
                <w:rPr>
                  <w:rStyle w:val="InternetLink"/>
                  <w:rFonts w:ascii="Times New Roman;sans-serif" w:hAnsi="Times New Roman;sans-serif"/>
                  <w:b w:val="false"/>
                  <w:color w:val="0000FF"/>
                  <w:sz w:val="20"/>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39" w:type="dxa"/>
        <w:jc w:val="center"/>
        <w:tblInd w:w="0" w:type="dxa"/>
        <w:tblLayout w:type="fixed"/>
        <w:tblCellMar>
          <w:top w:w="28" w:type="dxa"/>
          <w:left w:w="28" w:type="dxa"/>
          <w:bottom w:w="28" w:type="dxa"/>
          <w:right w:w="28" w:type="dxa"/>
        </w:tblCellMar>
      </w:tblPr>
      <w:tblGrid>
        <w:gridCol w:w="1314"/>
        <w:gridCol w:w="1157"/>
        <w:gridCol w:w="11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31,241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97,191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86,018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 average shares outstanding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data)</w:t>
      </w:r>
    </w:p>
    <w:tbl>
      <w:tblPr>
        <w:tblW w:w="10205" w:type="dxa"/>
        <w:jc w:val="left"/>
        <w:tblInd w:w="0" w:type="dxa"/>
        <w:tblLayout w:type="fixed"/>
        <w:tblCellMar>
          <w:top w:w="28" w:type="dxa"/>
          <w:left w:w="28" w:type="dxa"/>
          <w:bottom w:w="28" w:type="dxa"/>
          <w:right w:w="28" w:type="dxa"/>
        </w:tblCellMar>
      </w:tblPr>
      <w:tblGrid>
        <w:gridCol w:w="2969"/>
        <w:gridCol w:w="2233"/>
        <w:gridCol w:w="2247"/>
        <w:gridCol w:w="196"/>
        <w:gridCol w:w="886"/>
        <w:gridCol w:w="109"/>
        <w:gridCol w:w="109"/>
        <w:gridCol w:w="109"/>
        <w:gridCol w:w="109"/>
        <w:gridCol w:w="196"/>
        <w:gridCol w:w="886"/>
        <w:gridCol w:w="156"/>
      </w:tblGrid>
      <w:tr>
        <w:trPr/>
        <w:tc>
          <w:tcPr>
            <w:tcW w:w="2969"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April 1,</w:t>
              <w:br/>
              <w:t>2023</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less allowance for credit losses of $5,725 at December 30, 2023 and $4,932 at April 1, 2023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769,722 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less accumulated amortization of $442,810 at December 30, 2023 and $417,422 at April 1, 2023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2,200,428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1,934,825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and current maturities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related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754,102 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 150,000,000 shares; Issued and outstanding — 50,785,040 shares at December 30, 2023 and 50,448,519 shares at April 1, 2023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817,997 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2,200,428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1,934,825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936"/>
        <w:gridCol w:w="610"/>
        <w:gridCol w:w="616"/>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208"/>
        <w:gridCol w:w="801"/>
        <w:gridCol w:w="116"/>
        <w:gridCol w:w="109"/>
        <w:gridCol w:w="109"/>
        <w:gridCol w:w="109"/>
        <w:gridCol w:w="270"/>
        <w:gridCol w:w="992"/>
        <w:gridCol w:w="150"/>
        <w:gridCol w:w="109"/>
        <w:gridCol w:w="109"/>
        <w:gridCol w:w="109"/>
        <w:gridCol w:w="220"/>
        <w:gridCol w:w="844"/>
        <w:gridCol w:w="178"/>
      </w:tblGrid>
      <w:tr>
        <w:trPr/>
        <w:tc>
          <w:tcPr>
            <w:tcW w:w="9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Equity</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1,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50,449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594,706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253,168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(30,381)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817,997</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employee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1,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50,706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609,610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284,017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(29,518)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864,616</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employee equity awards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50,740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616,960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308,898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(32,705)</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893,660</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employee equity awards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30, 2023</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50,785</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627,094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340,099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(24,382)</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943,319</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36"/>
        <w:gridCol w:w="610"/>
        <w:gridCol w:w="616"/>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208"/>
        <w:gridCol w:w="801"/>
        <w:gridCol w:w="116"/>
        <w:gridCol w:w="109"/>
        <w:gridCol w:w="109"/>
        <w:gridCol w:w="109"/>
        <w:gridCol w:w="270"/>
        <w:gridCol w:w="992"/>
        <w:gridCol w:w="150"/>
        <w:gridCol w:w="109"/>
        <w:gridCol w:w="109"/>
        <w:gridCol w:w="109"/>
        <w:gridCol w:w="220"/>
        <w:gridCol w:w="844"/>
        <w:gridCol w:w="178"/>
      </w:tblGrid>
      <w:tr>
        <w:trPr/>
        <w:tc>
          <w:tcPr>
            <w:tcW w:w="9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Equity</w:t>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2,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51,124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572,476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202,391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(25,954)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749,424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2, 2022</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51,315</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580,359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222,268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(32,717)</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770,423</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October 1,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50,605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564,394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204,364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(40,255)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729,009</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50,444</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587,489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223,785</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(35,799)</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775,979</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in thousands) </w:t>
      </w:r>
    </w:p>
    <w:tbl>
      <w:tblPr>
        <w:tblW w:w="8934" w:type="dxa"/>
        <w:jc w:val="center"/>
        <w:tblInd w:w="0" w:type="dxa"/>
        <w:tblLayout w:type="fixed"/>
        <w:tblCellMar>
          <w:top w:w="28" w:type="dxa"/>
          <w:left w:w="28" w:type="dxa"/>
          <w:bottom w:w="28" w:type="dxa"/>
          <w:right w:w="28" w:type="dxa"/>
        </w:tblCellMar>
      </w:tblPr>
      <w:tblGrid>
        <w:gridCol w:w="2273"/>
        <w:gridCol w:w="2001"/>
        <w:gridCol w:w="2010"/>
        <w:gridCol w:w="211"/>
        <w:gridCol w:w="811"/>
        <w:gridCol w:w="117"/>
        <w:gridCol w:w="109"/>
        <w:gridCol w:w="109"/>
        <w:gridCol w:w="109"/>
        <w:gridCol w:w="211"/>
        <w:gridCol w:w="808"/>
        <w:gridCol w:w="165"/>
      </w:tblGrid>
      <w:tr>
        <w:trPr/>
        <w:tc>
          <w:tcPr>
            <w:tcW w:w="2273"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income to net cash provided by operating activities: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items: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reserve adjustment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operating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operating assets and liabilities: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accounts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inventories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prepaid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other assets and other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accounts payable and accrued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(98,272)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divestiture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plant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(309,333)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(125,782)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borrowings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redemption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revolving facility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revolving facility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term loan borrowings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repurchases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consideration payments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to net share settle employee equity awards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101,659 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(98,761)</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rates on cash and cash equivalents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and Cash Equivalents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(90,488)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(35,494)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193,978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224,002</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13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from inventory to fixed assets for placement of Haemonetics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BASIS OF PRESENTATION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nine months ended December 30, 2023 are not necessarily indicative of the results that may be expected for the full fiscal year ending March 30, 2024 or any other interim period. These unaudited condensed consolidated financial statements should be read in conjunction with the audited consolidated financial statements and footnotes included in the Annual Report on Form 10-K for the fiscal year ended April 1,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considers events or transactions that occur after the balance sheet date but prior to the issuance of the financial statements to provide additional </w:t>
      </w:r>
      <w:r>
        <w:rPr>
          <w:rFonts w:ascii="Times New Roman;sans-serif" w:hAnsi="Times New Roman;sans-serif"/>
          <w:b w:val="false"/>
          <w:color w:val="000000"/>
          <w:sz w:val="20"/>
          <w:shd w:fill="FFFFFF" w:val="clear"/>
        </w:rPr>
        <w:t>evidence relative to certain estimates or to identify matters that require additional disclosure. Subsequent events have been evaluated as required. There were no material recognized or unrecognized subsequent events as of or for the nine months ended December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RECENT ACCOUNTING PRONOUNCEMENTS </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Standards to be Implemented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the Financial Accounting Standards Board (“FASB”) issued Accounting Standards Codification (“ASC”) Update No. 2023-07, Segment Reporting (Topic 280). The new guidance requires public entities to provide expanded disclosures over significant segment expenses and additional disclosures related to the chief operating decision maker. ASC Update No. 2023-07 is effective for fiscal years beginning after December 15, 2023 and interim periods within fiscal years beginning after December 15, 2024, with early adoption permitted. The new guidance is applicable to Haemonetics beginning with the fiscal 2025 Annual Report on Form 10-K. The Company is currently evaluating the impact to its interim and annual report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2023, the FASB issued ASC Update No. 2023-09, Income Taxes (Topic 740). ASC Update No. 2023-09 requires public entities to provide detailed income tax disclosures, including rate reconciliations and disaggregated income tax payment information, on an annual basis. The updated guidance is effective for fiscal years beginning after December 15, 2024 and early adoption is permitted. ASC Update No. 2023-09 is applicable to Haemonetics beginning with the fiscal 2026 Annual Report on Form 10-K and the Company is currently evaluating the impact to its annual report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3. ACQUISITIONS AND STRATEGIC INVESTMENTS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Strategic Investments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part of the Company’s business development activities, it holds strategic investments in certain entities. During fiscal 2024, the Compan</w:t>
      </w:r>
      <w:r>
        <w:rPr>
          <w:rFonts w:ascii="Times New Roman;sans-serif" w:hAnsi="Times New Roman;sans-serif"/>
          <w:b w:val="false"/>
          <w:color w:val="000000"/>
          <w:sz w:val="20"/>
          <w:shd w:fill="FFFFFF" w:val="clear"/>
        </w:rPr>
        <w:t>y has made strategic investments totaling $7.6 million. During fiscal yea</w:t>
      </w:r>
      <w:r>
        <w:rPr>
          <w:rFonts w:ascii="Times New Roman;sans-serif" w:hAnsi="Times New Roman;sans-serif"/>
          <w:b w:val="false"/>
          <w:color w:val="000000"/>
          <w:sz w:val="20"/>
        </w:rPr>
        <w:t xml:space="preserve">r 2023, the Company made investments in Vivasure Medical LTD (“Vivasure”), totaling €30 million. The investments in Vivasure include both preferred stock and a special share that allows the Company to acquire Vivasure in accordance with an agreement between the parties. The Company’s strategic investments are classified as other long-term assets on the Company’s Condensed </w:t>
      </w:r>
      <w:r>
        <w:rPr>
          <w:rFonts w:ascii="Times New Roman;sans-serif" w:hAnsi="Times New Roman;sans-serif"/>
          <w:b w:val="false"/>
          <w:color w:val="000000"/>
          <w:sz w:val="20"/>
          <w:shd w:fill="FFFFFF" w:val="clear"/>
        </w:rPr>
        <w:t xml:space="preserve">Consolidated Balance Sheets and the Company has not recorded any adjustments to the carrying value of the strategic investments during </w:t>
      </w:r>
      <w:r>
        <w:rPr>
          <w:rFonts w:ascii="Times New Roman;sans-serif" w:hAnsi="Times New Roman;sans-serif"/>
          <w:b w:val="false"/>
          <w:color w:val="000000"/>
          <w:sz w:val="20"/>
        </w:rPr>
        <w:t>three and nine months ended December 30, 2023</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Acquisition of OpSens,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10, 2023, the Company announced it had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total consideration of approximately $254.5 million, or $243.9 million, net of cash acquired. The Company financed the acquisition through a combination of cash on hand and borrowings under its revolving credit facility.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OpSens offers commercially and clinically validated optical technology for use primarily in interventional cardiology. OpSens’ core products include the SavvyWire</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a sensor-guided 3-in-1 guidewire for TAVR procedures, advancing the workflow of the procedure and enabling potentially shorter hospital stays for patients; and the OptoWire</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will be included in the Hospital reportable segment.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Purchase Price Allocation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consolidated financial statements were prepared. The most significant open items include the valuation of certain intangible assets and the accounting for income taxes as the Company is awaiting additional information to complete its assessment of these matters. Measurement period adjustments will be recorded in the period in which they are determined, as if they had been completed at the acquisition date. The finalization of the Company’s purchase accounting assessment could result in changes in the valuation of assets acquired and liabilities assumed, which could be material. The final determination of the fair value of certain assets and liabilities will be completed within the measurement period as required by Topic 805. As of December 30, 2023, the valuation studies necessary to determine the fair market value of the assets acquired and liabilities assumed are preliminary, including the projection of the underlying cash flows used to determine the fair value of the identified tangible, intangible and financial assets and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purchase price of $243.9 million, net of $10.6 million of cash acquired consists of the amounts presented below, which represent the preliminary determination of the fair value of the identifiable assets acquired and liabilities assumed:</w:t>
      </w:r>
    </w:p>
    <w:p>
      <w:pPr>
        <w:pStyle w:val="TextBody"/>
        <w:bidi w:val="0"/>
        <w:spacing w:before="0" w:after="0"/>
        <w:jc w:val="left"/>
        <w:rPr/>
      </w:pPr>
      <w:r>
        <w:rPr/>
      </w:r>
    </w:p>
    <w:tbl>
      <w:tblPr>
        <w:tblW w:w="5219" w:type="dxa"/>
        <w:jc w:val="left"/>
        <w:tblInd w:w="0" w:type="dxa"/>
        <w:tblLayout w:type="fixed"/>
        <w:tblCellMar>
          <w:top w:w="28" w:type="dxa"/>
          <w:left w:w="28" w:type="dxa"/>
          <w:bottom w:w="28" w:type="dxa"/>
          <w:right w:w="28" w:type="dxa"/>
        </w:tblCellMar>
      </w:tblPr>
      <w:tblGrid>
        <w:gridCol w:w="1249"/>
        <w:gridCol w:w="1097"/>
        <w:gridCol w:w="1103"/>
        <w:gridCol w:w="309"/>
        <w:gridCol w:w="1235"/>
        <w:gridCol w:w="226"/>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12, 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294,589</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costs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assumed</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50,737</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243,852</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determined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 As of December 30, 2023, the valuation of the intangible assets is preliminary as the Company is still gathering information related to the assets’ cash flow projections.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excess of the purchase price over the tangible assets, identifiable intangible assets and assumed liabilities was recorded as goodwill. As a result of the acquisition of OpSens, the Company recognized goodwill of $87.1 million based on expected synergies from integration into our Hospital business. The goodwill is not deductible for tax purposes and relates entirely to the Hospital reportable segment.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Intangible assets acquired consist of the following:</w:t>
      </w:r>
    </w:p>
    <w:tbl>
      <w:tblPr>
        <w:tblW w:w="10205" w:type="dxa"/>
        <w:jc w:val="left"/>
        <w:tblInd w:w="0" w:type="dxa"/>
        <w:tblLayout w:type="fixed"/>
        <w:tblCellMar>
          <w:top w:w="28" w:type="dxa"/>
          <w:left w:w="28" w:type="dxa"/>
          <w:bottom w:w="28" w:type="dxa"/>
          <w:right w:w="28" w:type="dxa"/>
        </w:tblCellMar>
      </w:tblPr>
      <w:tblGrid>
        <w:gridCol w:w="1250"/>
        <w:gridCol w:w="1086"/>
        <w:gridCol w:w="1079"/>
        <w:gridCol w:w="211"/>
        <w:gridCol w:w="841"/>
        <w:gridCol w:w="109"/>
        <w:gridCol w:w="942"/>
        <w:gridCol w:w="942"/>
        <w:gridCol w:w="944"/>
        <w:gridCol w:w="574"/>
        <w:gridCol w:w="570"/>
        <w:gridCol w:w="1657"/>
      </w:tblGrid>
      <w:tr>
        <w:trPr/>
        <w:tc>
          <w:tcPr>
            <w:tcW w:w="125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Amortization Period</w:t>
            </w:r>
          </w:p>
        </w:tc>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Risk-Adjusted Discount</w:t>
              <w:br/>
              <w:t>Rates used in Purchase Price Allocation</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recorded a long-term net deferred tax liability of $30.3 million primarily related to definite-lived intangible assets which cannot be deducted for tax purposes, partially offset by deferred tax assets primarily related to net operating losses acquired.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Acquisition-Related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incurred $6.6 million of acquisition-related costs for the nine months ended December 30, 2023 in connection with the acquisition. These costs related to legal and other professional fees, which were recognized in selling, general and administrative on the Condensed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condensed consolidated financial statements include the results of OpSens from the date the acquisition was completed. Pro forma financial information has not been presented as the acquisition is not material to the Company’s overall financial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4. REVENUE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Company’s revenue recognition policy is to recognize revenues from product sales, software and services in accordance with ASC Topic 606, </w:t>
      </w:r>
      <w:r>
        <w:rPr>
          <w:rFonts w:ascii="Times New Roman;sans-serif" w:hAnsi="Times New Roman;sans-serif"/>
          <w:b w:val="false"/>
          <w:i/>
          <w:color w:val="000000"/>
          <w:sz w:val="20"/>
          <w:shd w:fill="FFFFFF" w:val="clear"/>
        </w:rPr>
        <w:t>Revenue from Contracts with Customers</w:t>
      </w:r>
      <w:r>
        <w:rPr>
          <w:rFonts w:ascii="Times New Roman;sans-serif" w:hAnsi="Times New Roman;sans-serif"/>
          <w:b w:val="false"/>
          <w:color w:val="000000"/>
          <w:sz w:val="20"/>
          <w:shd w:fill="FFFFFF" w:val="clear"/>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30, 2023, the Company had $23.5 million of transaction price allocated to remaining performance obligations related to executed contracts with an original duration of one year or more. The Company expects to recognize approximately 86% of this amount as revenue within the next twelve months and the remaining balance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30, 2023 and April 1, 2023, the Company had contract liabilities of $31.1 million and $30.2 million, respectively. During the three and nine months ended December 30, 2023, the Company recognized $4.9 million and $25.4 million of revenue, respectively, that was included in the above April 1, 2023 contract liability balance. Contract liabilities are classified as other current liabilities on the Condensed Consolidated Balance Sheet. As of December 30, 2023 and April 1, 2023, the Company’s contract assets were immaterial.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RESTRUCTURING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Excellence Program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expects to incur aggregate charges between $95 million and $105 million by the end of fiscal 2025 under the program. The majority of charges will result in cash outlays, including severance and other employee costs, and will be incurred as the specific actions required to execute these initiatives are identified and approved. During the three and nine months ended December 30, 2023, the Company incurred $2.6 million and $6.8 million, respectively, of restructuring and restructuring related costs under this program. During the </w:t>
      </w:r>
      <w:r>
        <w:rPr>
          <w:rFonts w:ascii="Times New Roman;sans-serif" w:hAnsi="Times New Roman;sans-serif"/>
          <w:b w:val="false"/>
          <w:color w:val="000000"/>
          <w:sz w:val="20"/>
          <w:shd w:fill="FFFFFF" w:val="clear"/>
        </w:rPr>
        <w:t>three and nine months ended December 31, 2022, the Company incurred $4.1 million and $10.7 million, respectively, of restructuring and restructuring related costs under this program. Total cumulative charges under this program are $74.0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Portfolio Rationalization Initiatives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the Company announced its plans to end of life the ClotPro analyzer system within the Hospital business unit and whole blood inline collection products within the Blood Center business unit, including the associated manufacturing operations and closure of certain other facilities.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following table summarizes the activ</w:t>
      </w:r>
      <w:r>
        <w:rPr>
          <w:rFonts w:ascii="Times New Roman;sans-serif" w:hAnsi="Times New Roman;sans-serif"/>
          <w:b w:val="false"/>
          <w:color w:val="000000"/>
          <w:sz w:val="20"/>
        </w:rPr>
        <w:t>ity for restructuring reserves related to portfolio rationalization initiatives, the 2020 Program and prior programs for the nine months ended December 30, 2023, substantially all of which relates to employee severance and other employee costs:</w:t>
      </w:r>
    </w:p>
    <w:tbl>
      <w:tblPr>
        <w:tblW w:w="9247" w:type="dxa"/>
        <w:jc w:val="center"/>
        <w:tblInd w:w="0" w:type="dxa"/>
        <w:tblLayout w:type="fixed"/>
        <w:tblCellMar>
          <w:top w:w="28" w:type="dxa"/>
          <w:left w:w="28" w:type="dxa"/>
          <w:bottom w:w="28" w:type="dxa"/>
          <w:right w:w="28" w:type="dxa"/>
        </w:tblCellMar>
      </w:tblPr>
      <w:tblGrid>
        <w:gridCol w:w="940"/>
        <w:gridCol w:w="827"/>
        <w:gridCol w:w="828"/>
        <w:gridCol w:w="109"/>
        <w:gridCol w:w="109"/>
        <w:gridCol w:w="109"/>
        <w:gridCol w:w="435"/>
        <w:gridCol w:w="1273"/>
        <w:gridCol w:w="226"/>
        <w:gridCol w:w="109"/>
        <w:gridCol w:w="109"/>
        <w:gridCol w:w="109"/>
        <w:gridCol w:w="263"/>
        <w:gridCol w:w="770"/>
        <w:gridCol w:w="136"/>
        <w:gridCol w:w="109"/>
        <w:gridCol w:w="109"/>
        <w:gridCol w:w="109"/>
        <w:gridCol w:w="337"/>
        <w:gridCol w:w="746"/>
        <w:gridCol w:w="177"/>
        <w:gridCol w:w="109"/>
        <w:gridCol w:w="109"/>
        <w:gridCol w:w="109"/>
        <w:gridCol w:w="211"/>
        <w:gridCol w:w="61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Portfolio Rationalization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net of reversals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restructuring costs by line item within our accompanying unaudited Condensed Consolidated Statements of Income and Comprehensive Income:</w:t>
      </w:r>
    </w:p>
    <w:tbl>
      <w:tblPr>
        <w:tblW w:w="9138" w:type="dxa"/>
        <w:jc w:val="center"/>
        <w:tblInd w:w="0" w:type="dxa"/>
        <w:tblLayout w:type="fixed"/>
        <w:tblCellMar>
          <w:top w:w="28" w:type="dxa"/>
          <w:left w:w="28" w:type="dxa"/>
          <w:bottom w:w="28" w:type="dxa"/>
          <w:right w:w="28" w:type="dxa"/>
        </w:tblCellMar>
      </w:tblPr>
      <w:tblGrid>
        <w:gridCol w:w="1352"/>
        <w:gridCol w:w="1187"/>
        <w:gridCol w:w="1195"/>
        <w:gridCol w:w="247"/>
        <w:gridCol w:w="721"/>
        <w:gridCol w:w="127"/>
        <w:gridCol w:w="109"/>
        <w:gridCol w:w="109"/>
        <w:gridCol w:w="109"/>
        <w:gridCol w:w="331"/>
        <w:gridCol w:w="591"/>
        <w:gridCol w:w="172"/>
        <w:gridCol w:w="109"/>
        <w:gridCol w:w="109"/>
        <w:gridCol w:w="109"/>
        <w:gridCol w:w="247"/>
        <w:gridCol w:w="721"/>
        <w:gridCol w:w="127"/>
        <w:gridCol w:w="109"/>
        <w:gridCol w:w="109"/>
        <w:gridCol w:w="109"/>
        <w:gridCol w:w="265"/>
        <w:gridCol w:w="681"/>
        <w:gridCol w:w="193"/>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of December 30, 2023, the Company had a restr</w:t>
      </w:r>
      <w:r>
        <w:rPr>
          <w:rFonts w:ascii="Times New Roman;sans-serif" w:hAnsi="Times New Roman;sans-serif"/>
          <w:b w:val="false"/>
          <w:color w:val="000000"/>
          <w:sz w:val="20"/>
          <w:shd w:fill="FFFFFF" w:val="clear"/>
        </w:rPr>
        <w:t xml:space="preserve">ucturing liability of </w:t>
      </w:r>
      <w:r>
        <w:rPr>
          <w:rFonts w:ascii="Times New Roman;sans-serif" w:hAnsi="Times New Roman;sans-serif"/>
          <w:b w:val="false"/>
          <w:color w:val="000000"/>
          <w:sz w:val="20"/>
        </w:rPr>
        <w:t>$9.0 million</w:t>
      </w:r>
      <w:r>
        <w:rPr>
          <w:rFonts w:ascii="Times New Roman;sans-serif" w:hAnsi="Times New Roman;sans-serif"/>
          <w:b w:val="false"/>
          <w:color w:val="000000"/>
          <w:sz w:val="20"/>
          <w:shd w:fill="FFFFFF" w:val="clear"/>
        </w:rPr>
        <w:t xml:space="preserve">, of which approximately </w:t>
      </w:r>
      <w:r>
        <w:rPr>
          <w:rFonts w:ascii="Times New Roman;sans-serif" w:hAnsi="Times New Roman;sans-serif"/>
          <w:b w:val="false"/>
          <w:color w:val="000000"/>
          <w:sz w:val="20"/>
        </w:rPr>
        <w:t>$8.7 million</w:t>
      </w:r>
      <w:r>
        <w:rPr>
          <w:color w:val="000000"/>
          <w:shd w:fill="FFFFFF" w:val="clear"/>
        </w:rPr>
        <w:t xml:space="preserve"> </w:t>
      </w:r>
      <w:r>
        <w:rPr>
          <w:rFonts w:ascii="Times New Roman;sans-serif" w:hAnsi="Times New Roman;sans-serif"/>
          <w:b w:val="false"/>
          <w:color w:val="000000"/>
          <w:sz w:val="20"/>
          <w:shd w:fill="FFFFFF" w:val="clear"/>
        </w:rPr>
        <w:t>is paya</w:t>
      </w:r>
      <w:r>
        <w:rPr>
          <w:rFonts w:ascii="Times New Roman;sans-serif" w:hAnsi="Times New Roman;sans-serif"/>
          <w:b w:val="false"/>
          <w:color w:val="000000"/>
          <w:sz w:val="20"/>
        </w:rPr>
        <w:t xml:space="preserve">ble within the next twelve months.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addition to the restructuring expenses included in the table above, the Company also incurred costs that do not constitute restructuring costs under ASC 420, </w:t>
      </w:r>
      <w:r>
        <w:rPr>
          <w:rFonts w:ascii="Times New Roman;sans-serif" w:hAnsi="Times New Roman;sans-serif"/>
          <w:b w:val="false"/>
          <w:i/>
          <w:color w:val="000000"/>
          <w:sz w:val="20"/>
        </w:rPr>
        <w:t>Exit and Disposal Cost Obligations,</w:t>
      </w:r>
      <w:r>
        <w:rPr>
          <w:color w:val="000000"/>
        </w:rPr>
        <w:t xml:space="preserve"> </w:t>
      </w:r>
      <w:r>
        <w:rPr>
          <w:rFonts w:ascii="Times New Roman;sans-serif" w:hAnsi="Times New Roman;sans-serif"/>
          <w:b w:val="false"/>
          <w:color w:val="000000"/>
          <w:sz w:val="20"/>
        </w:rPr>
        <w:t>and which the Company instead refers to as restructuring related costs. These costs consist primarily of expenditures directly related to the restructuring 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restructuring and restructuring related costs by reportable segment:</w:t>
      </w:r>
    </w:p>
    <w:tbl>
      <w:tblPr>
        <w:tblW w:w="10205" w:type="dxa"/>
        <w:jc w:val="center"/>
        <w:tblInd w:w="0" w:type="dxa"/>
        <w:tblLayout w:type="fixed"/>
        <w:tblCellMar>
          <w:top w:w="28" w:type="dxa"/>
          <w:left w:w="28" w:type="dxa"/>
          <w:bottom w:w="28" w:type="dxa"/>
          <w:right w:w="28" w:type="dxa"/>
        </w:tblCellMar>
      </w:tblPr>
      <w:tblGrid>
        <w:gridCol w:w="1317"/>
        <w:gridCol w:w="1156"/>
        <w:gridCol w:w="1159"/>
        <w:gridCol w:w="277"/>
        <w:gridCol w:w="971"/>
        <w:gridCol w:w="143"/>
        <w:gridCol w:w="109"/>
        <w:gridCol w:w="109"/>
        <w:gridCol w:w="109"/>
        <w:gridCol w:w="303"/>
        <w:gridCol w:w="907"/>
        <w:gridCol w:w="156"/>
        <w:gridCol w:w="109"/>
        <w:gridCol w:w="109"/>
        <w:gridCol w:w="109"/>
        <w:gridCol w:w="277"/>
        <w:gridCol w:w="971"/>
        <w:gridCol w:w="143"/>
        <w:gridCol w:w="109"/>
        <w:gridCol w:w="109"/>
        <w:gridCol w:w="109"/>
        <w:gridCol w:w="275"/>
        <w:gridCol w:w="961"/>
        <w:gridCol w:w="208"/>
      </w:tblGrid>
      <w:tr>
        <w:trPr/>
        <w:tc>
          <w:tcPr>
            <w:tcW w:w="1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related costs</w:t>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restructuring and restructuring related costs</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10,371</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4,125</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14,597</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10,797</w:t>
            </w:r>
            <w:r>
              <w:rPr>
                <w:color w:val="000000"/>
              </w:rPr>
              <w:t>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INCOME TAXES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 Company’s effective tax rate is adversely impacted by non-deductible expenses including executive compensation and transaction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December 30, 2023, the Company reported income tax expense of $12.8 million and $31.3 million, respectively, representing effective tax rates of 29.0% and 24.3%, respectively. The effective tax rate for the nine months ended December 30, 2023 includes $1.1 million of discrete tax benefit, of which $2.6 million relates to stock compensation windfalls, partially offset by other discrete items.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December 31, 2022, the Company reported income tax expense of $9.3 million and $22.8 million, respectively, representing effective tax rates of 22.0% and 20.9%, respectively. The effective tax rate for the three months ended December 31, 2022 includes $0.1 million of discrete tax expense relating to stock compensation shortfalls. The effective tax rate for the nine months ended December 31, 2022 includes a discrete tax benefit of $0.5 million related to tax rate changes enacted in the period and $0.4 million of discrete tax expense relating to stock compensation shortfalls.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the reported tax rates for the three and nine months ended December 30, 2023, compared to the same periods in fiscal 2023, relates primarily to unfavorable changes in the jurisdictional mix of earnings, research tax credits generated and non-deductible acquisition-related expenses, partially offset by discrete tax benefits from stock compensation windfall deductions.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EARNINGS PER SHARE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reconciliation of the numerators and denominators of the basic and diluted earnings per share computations. </w:t>
      </w:r>
    </w:p>
    <w:tbl>
      <w:tblPr>
        <w:tblW w:w="8734" w:type="dxa"/>
        <w:jc w:val="left"/>
        <w:tblInd w:w="0" w:type="dxa"/>
        <w:tblLayout w:type="fixed"/>
        <w:tblCellMar>
          <w:top w:w="28" w:type="dxa"/>
          <w:left w:w="28" w:type="dxa"/>
          <w:bottom w:w="28" w:type="dxa"/>
          <w:right w:w="28" w:type="dxa"/>
        </w:tblCellMar>
      </w:tblPr>
      <w:tblGrid>
        <w:gridCol w:w="1204"/>
        <w:gridCol w:w="1059"/>
        <w:gridCol w:w="1066"/>
        <w:gridCol w:w="222"/>
        <w:gridCol w:w="759"/>
        <w:gridCol w:w="114"/>
        <w:gridCol w:w="109"/>
        <w:gridCol w:w="109"/>
        <w:gridCol w:w="109"/>
        <w:gridCol w:w="222"/>
        <w:gridCol w:w="759"/>
        <w:gridCol w:w="114"/>
        <w:gridCol w:w="109"/>
        <w:gridCol w:w="109"/>
        <w:gridCol w:w="109"/>
        <w:gridCol w:w="222"/>
        <w:gridCol w:w="759"/>
        <w:gridCol w:w="114"/>
        <w:gridCol w:w="109"/>
        <w:gridCol w:w="109"/>
        <w:gridCol w:w="109"/>
        <w:gridCol w:w="221"/>
        <w:gridCol w:w="757"/>
        <w:gridCol w:w="161"/>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16"/>
              </w:rPr>
              <w:t>(In thousands, except per share amounts)</w:t>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0.62</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0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effect of common stock equivalents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per share</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0.61</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0.64</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w:t>
      </w:r>
      <w:r>
        <w:rPr>
          <w:rFonts w:ascii="Times New Roman;sans-serif" w:hAnsi="Times New Roman;sans-serif"/>
          <w:b w:val="false"/>
          <w:color w:val="000000"/>
          <w:sz w:val="20"/>
          <w:shd w:fill="FFFFFF" w:val="clear"/>
        </w:rPr>
        <w:t xml:space="preserve">nversion value of the convertible senior notes. For the </w:t>
      </w:r>
      <w:r>
        <w:rPr>
          <w:rFonts w:ascii="Times New Roman;sans-serif" w:hAnsi="Times New Roman;sans-serif"/>
          <w:b w:val="false"/>
          <w:color w:val="000000"/>
          <w:sz w:val="20"/>
        </w:rPr>
        <w:t>three and nine months ended December 30, 2023</w:t>
      </w:r>
      <w:r>
        <w:rPr>
          <w:rFonts w:ascii="Times New Roman;sans-serif" w:hAnsi="Times New Roman;sans-serif"/>
          <w:b w:val="false"/>
          <w:color w:val="000000"/>
          <w:sz w:val="20"/>
          <w:shd w:fill="FFFFFF" w:val="clear"/>
        </w:rPr>
        <w:t xml:space="preserve">, weighted average shares outstanding, assuming dilution, excludes the impact of 0.6 million anti-dilutive shares for both periods. For the </w:t>
      </w:r>
      <w:r>
        <w:rPr>
          <w:rFonts w:ascii="Times New Roman;sans-serif" w:hAnsi="Times New Roman;sans-serif"/>
          <w:b w:val="false"/>
          <w:color w:val="000000"/>
          <w:sz w:val="20"/>
        </w:rPr>
        <w:t>three and nine months ended December 31, 2022</w:t>
      </w:r>
      <w:r>
        <w:rPr>
          <w:rFonts w:ascii="Times New Roman;sans-serif" w:hAnsi="Times New Roman;sans-serif"/>
          <w:b w:val="false"/>
          <w:color w:val="000000"/>
          <w:sz w:val="20"/>
          <w:shd w:fill="FFFFFF" w:val="clear"/>
        </w:rPr>
        <w:t>, weighted average shares outstanding, assuming dilution, excludes the impact and 0.4 million and 0.7 million anti-dilutive shares, respectively.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Share Repurchase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2022, the Company announced that its Board of Directors had approved a three-year share repurchase program authorizing the repurchase of up to $300.0 million of Haemonetics common stock, based on market conditions, through August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fiscal 2023, the Company completed a $75.0 million repurchase of its common stock pursuant to an accelerated share repurchase agreement entered into with Citibank N.A. in August 2022. As of December 30, 2023</w:t>
      </w:r>
      <w:r>
        <w:rPr>
          <w:rFonts w:ascii="Times New Roman;sans-serif" w:hAnsi="Times New Roman;sans-serif"/>
          <w:b w:val="false"/>
          <w:color w:val="000000"/>
          <w:sz w:val="20"/>
          <w:shd w:fill="FFFFFF" w:val="clear"/>
        </w:rPr>
        <w:t>, the total remaining authorization for repurchases of the Company's common stock under the share repurchase program was $225.0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and include the cost of material, labor and manufacturing overhead. Cost is determined with the first-in, first-out method.</w:t>
      </w:r>
    </w:p>
    <w:tbl>
      <w:tblPr>
        <w:tblW w:w="4596" w:type="dxa"/>
        <w:jc w:val="left"/>
        <w:tblInd w:w="0" w:type="dxa"/>
        <w:tblLayout w:type="fixed"/>
        <w:tblCellMar>
          <w:top w:w="28" w:type="dxa"/>
          <w:left w:w="28" w:type="dxa"/>
          <w:bottom w:w="28" w:type="dxa"/>
          <w:right w:w="28" w:type="dxa"/>
        </w:tblCellMar>
      </w:tblPr>
      <w:tblGrid>
        <w:gridCol w:w="605"/>
        <w:gridCol w:w="483"/>
        <w:gridCol w:w="487"/>
        <w:gridCol w:w="109"/>
        <w:gridCol w:w="109"/>
        <w:gridCol w:w="109"/>
        <w:gridCol w:w="211"/>
        <w:gridCol w:w="841"/>
        <w:gridCol w:w="109"/>
        <w:gridCol w:w="109"/>
        <w:gridCol w:w="109"/>
        <w:gridCol w:w="109"/>
        <w:gridCol w:w="211"/>
        <w:gridCol w:w="841"/>
        <w:gridCol w:w="154"/>
      </w:tblGrid>
      <w:tr>
        <w:trPr/>
        <w:tc>
          <w:tcPr>
            <w:tcW w:w="60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304,024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259,379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2023, the Company issued a voluntary recall of certain products within the Whole Blood portion of our Blood Center business unit sold to customers in the U.S. and certain foreign jurisdictions. As of December 30, 2023, the Company has recorded charges of $4.3 million related to inventory.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PROPERTY, PLANT AND EQUIPMENT</w:t>
      </w:r>
    </w:p>
    <w:p>
      <w:pPr>
        <w:pStyle w:val="TextBody"/>
        <w:bidi w:val="0"/>
        <w:spacing w:before="0" w:after="0"/>
        <w:jc w:val="left"/>
        <w:rPr/>
      </w:pPr>
      <w:r>
        <w:rPr/>
      </w:r>
    </w:p>
    <w:tbl>
      <w:tblPr>
        <w:tblW w:w="6875" w:type="dxa"/>
        <w:jc w:val="left"/>
        <w:tblInd w:w="0" w:type="dxa"/>
        <w:tblLayout w:type="fixed"/>
        <w:tblCellMar>
          <w:top w:w="28" w:type="dxa"/>
          <w:left w:w="28" w:type="dxa"/>
          <w:bottom w:w="28" w:type="dxa"/>
          <w:right w:w="28" w:type="dxa"/>
        </w:tblCellMar>
      </w:tblPr>
      <w:tblGrid>
        <w:gridCol w:w="1393"/>
        <w:gridCol w:w="1226"/>
        <w:gridCol w:w="1235"/>
        <w:gridCol w:w="109"/>
        <w:gridCol w:w="109"/>
        <w:gridCol w:w="109"/>
        <w:gridCol w:w="211"/>
        <w:gridCol w:w="841"/>
        <w:gridCol w:w="109"/>
        <w:gridCol w:w="109"/>
        <w:gridCol w:w="109"/>
        <w:gridCol w:w="109"/>
        <w:gridCol w:w="211"/>
        <w:gridCol w:w="841"/>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equipment and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information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318,665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310,885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December 30, 2023, depreciation expense was $14.2 million and $41.1 million, respectively. During the three and nine months ended December 31, 2022, depreciation expense was $13.1 million and $37.7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Beginning in the second quarter of fiscal 2024, $4.3 million of the Company’s property, plant and equipment met held for sale accounting criteria and was reclassed to Prepaid expenses and other current assets in the Condensed Consolidated Balance Sheets.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LEASES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Activity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w:t>
      </w:r>
      <w:r>
        <w:rPr>
          <w:rFonts w:ascii="Times New Roman;sans-serif" w:hAnsi="Times New Roman;sans-serif"/>
          <w:b w:val="false"/>
          <w:color w:val="000000"/>
          <w:sz w:val="20"/>
          <w:shd w:fill="FFFFFF" w:val="clear"/>
        </w:rPr>
        <w:t>approximately 3 percent o</w:t>
      </w:r>
      <w:r>
        <w:rPr>
          <w:rFonts w:ascii="Times New Roman;sans-serif" w:hAnsi="Times New Roman;sans-serif"/>
          <w:b w:val="false"/>
          <w:color w:val="000000"/>
          <w:sz w:val="20"/>
        </w:rPr>
        <w:t>f the Company’s total net sales.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11.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operating segment for fiscal 2024 are as follows:</w:t>
      </w:r>
    </w:p>
    <w:tbl>
      <w:tblPr>
        <w:tblW w:w="9172" w:type="dxa"/>
        <w:jc w:val="left"/>
        <w:tblInd w:w="0" w:type="dxa"/>
        <w:tblLayout w:type="fixed"/>
        <w:tblCellMar>
          <w:top w:w="28" w:type="dxa"/>
          <w:left w:w="28" w:type="dxa"/>
          <w:bottom w:w="28" w:type="dxa"/>
          <w:right w:w="28" w:type="dxa"/>
        </w:tblCellMar>
      </w:tblPr>
      <w:tblGrid>
        <w:gridCol w:w="1342"/>
        <w:gridCol w:w="1179"/>
        <w:gridCol w:w="1183"/>
        <w:gridCol w:w="211"/>
        <w:gridCol w:w="736"/>
        <w:gridCol w:w="109"/>
        <w:gridCol w:w="109"/>
        <w:gridCol w:w="109"/>
        <w:gridCol w:w="109"/>
        <w:gridCol w:w="212"/>
        <w:gridCol w:w="742"/>
        <w:gridCol w:w="110"/>
        <w:gridCol w:w="109"/>
        <w:gridCol w:w="109"/>
        <w:gridCol w:w="109"/>
        <w:gridCol w:w="211"/>
        <w:gridCol w:w="841"/>
        <w:gridCol w:w="109"/>
        <w:gridCol w:w="109"/>
        <w:gridCol w:w="109"/>
        <w:gridCol w:w="109"/>
        <w:gridCol w:w="211"/>
        <w:gridCol w:w="84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Plasma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Blood 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Hospital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as of April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33,715</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492,241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554,999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of intangible assets and the related accumulated amortization as of December 30, 2023 and April 1, 2023 is as follows:</w:t>
      </w:r>
    </w:p>
    <w:tbl>
      <w:tblPr>
        <w:tblW w:w="7984" w:type="dxa"/>
        <w:jc w:val="left"/>
        <w:tblInd w:w="0" w:type="dxa"/>
        <w:tblLayout w:type="fixed"/>
        <w:tblCellMar>
          <w:top w:w="28" w:type="dxa"/>
          <w:left w:w="28" w:type="dxa"/>
          <w:bottom w:w="28" w:type="dxa"/>
          <w:right w:w="28" w:type="dxa"/>
        </w:tblCellMar>
      </w:tblPr>
      <w:tblGrid>
        <w:gridCol w:w="1345"/>
        <w:gridCol w:w="1181"/>
        <w:gridCol w:w="1193"/>
        <w:gridCol w:w="226"/>
        <w:gridCol w:w="902"/>
        <w:gridCol w:w="116"/>
        <w:gridCol w:w="109"/>
        <w:gridCol w:w="109"/>
        <w:gridCol w:w="109"/>
        <w:gridCol w:w="211"/>
        <w:gridCol w:w="841"/>
        <w:gridCol w:w="109"/>
        <w:gridCol w:w="109"/>
        <w:gridCol w:w="109"/>
        <w:gridCol w:w="109"/>
        <w:gridCol w:w="211"/>
        <w:gridCol w:w="84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30, 2023</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developed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850,735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442,810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407,925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Non-amortizable:</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software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patents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21,345</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tbl>
      <w:tblPr>
        <w:tblW w:w="7985" w:type="dxa"/>
        <w:jc w:val="left"/>
        <w:tblInd w:w="0" w:type="dxa"/>
        <w:tblLayout w:type="fixed"/>
        <w:tblCellMar>
          <w:top w:w="28" w:type="dxa"/>
          <w:left w:w="28" w:type="dxa"/>
          <w:bottom w:w="28" w:type="dxa"/>
          <w:right w:w="28" w:type="dxa"/>
        </w:tblCellMar>
      </w:tblPr>
      <w:tblGrid>
        <w:gridCol w:w="1349"/>
        <w:gridCol w:w="1184"/>
        <w:gridCol w:w="1187"/>
        <w:gridCol w:w="226"/>
        <w:gridCol w:w="902"/>
        <w:gridCol w:w="116"/>
        <w:gridCol w:w="109"/>
        <w:gridCol w:w="109"/>
        <w:gridCol w:w="109"/>
        <w:gridCol w:w="211"/>
        <w:gridCol w:w="841"/>
        <w:gridCol w:w="109"/>
        <w:gridCol w:w="109"/>
        <w:gridCol w:w="109"/>
        <w:gridCol w:w="109"/>
        <w:gridCol w:w="211"/>
        <w:gridCol w:w="841"/>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developed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672,720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417,422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255,298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Non-amortizable:</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software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patents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20,473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4265"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the third quarter of fiscal 2024, the Company acquired OpSens and recorded $121.6 million of developed technology, $53.9 million of customer contracts and related relationships and $5.0 million of trade names based on our preliminary purchase accounting valuation. Refer to Note 3, </w:t>
      </w:r>
      <w:r>
        <w:rPr>
          <w:rFonts w:ascii="Times New Roman;sans-serif" w:hAnsi="Times New Roman;sans-serif"/>
          <w:b w:val="false"/>
          <w:i/>
          <w:color w:val="000000"/>
          <w:sz w:val="20"/>
        </w:rPr>
        <w:t>Acquisitions and Strategic Investments,</w:t>
      </w:r>
      <w:r>
        <w:rPr>
          <w:color w:val="000000"/>
        </w:rPr>
        <w:t xml:space="preserve"> </w:t>
      </w:r>
      <w:r>
        <w:rPr>
          <w:rFonts w:ascii="Times New Roman;sans-serif" w:hAnsi="Times New Roman;sans-serif"/>
          <w:b w:val="false"/>
          <w:color w:val="000000"/>
          <w:sz w:val="20"/>
        </w:rPr>
        <w:t>for additional information regarding the acquisition.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Intangible assets include the value assigned to license rights and other developed technology, patents, customer contracts and relationship</w:t>
      </w:r>
      <w:r>
        <w:rPr>
          <w:rFonts w:ascii="Times New Roman;sans-serif" w:hAnsi="Times New Roman;sans-serif"/>
          <w:b w:val="false"/>
          <w:color w:val="000000"/>
          <w:sz w:val="20"/>
          <w:shd w:fill="FFFFFF" w:val="clear"/>
        </w:rPr>
        <w:t>s and trade names. The estimated useful lives for all of these intangible assets are approximately 5 to 15 years.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 the second quarter of fiscal 2024, the Company recorded an intangible asset impairment charge of </w:t>
      </w:r>
      <w:r>
        <w:rPr>
          <w:rFonts w:ascii="Times New Roman;sans-serif" w:hAnsi="Times New Roman;sans-serif"/>
          <w:b w:val="false"/>
          <w:color w:val="000000"/>
          <w:sz w:val="20"/>
        </w:rPr>
        <w:t>$10.4 million</w:t>
      </w:r>
      <w:r>
        <w:rPr>
          <w:color w:val="000000"/>
          <w:shd w:fill="FFFFFF" w:val="clear"/>
        </w:rPr>
        <w:t xml:space="preserve"> </w:t>
      </w:r>
      <w:r>
        <w:rPr>
          <w:rFonts w:ascii="Times New Roman;sans-serif" w:hAnsi="Times New Roman;sans-serif"/>
          <w:b w:val="false"/>
          <w:color w:val="000000"/>
          <w:sz w:val="20"/>
          <w:shd w:fill="FFFFFF" w:val="clear"/>
        </w:rPr>
        <w:t>related to the intangibles acquired as part of the enicor GmbH acquisition completed in fiscal 2021 within the Hospital business unit.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December 30, 2023, amortization expense was $9.3 million and $28.5 million, respectively. During the three and nine months ended December 31, 2022, amortization expense was $10.4 million and $31.7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annual amortization expense on intangible assets for the next five years is estimated to be as follows:</w:t>
      </w:r>
    </w:p>
    <w:tbl>
      <w:tblPr>
        <w:tblW w:w="3618"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211"/>
        <w:gridCol w:w="72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NOTES PAYABLE AND LONG-TERM DEBT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$500.0 million aggregate principal amount of 0% convertible senior notes due 2026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third quarter of fiscal 2024, the conditions allowing holders of the 2026 Notes to convert have not been met. The 2026 Notes were therefore not convertible as of December 30, 2023 and were classified as long-term debt on the Company’s Condensed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30, 2023, the $500.0 million principal balance was netted down by the $5.9 million of remaining debt issuance costs, resulting in a net convertible note payable of $494.1 million. Interest expense related to the 2026 Notes was $0.7 million and $2.0 million for the three and nine months ended December 30, 2023, respectively, which is entirely attributable to the amortization of the debt issuance costs. The debt issuance costs are amortized at an effective interest rate of 0.5%.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June 15, 2018, the Company entered into a credit agreement with certain lenders that provided for a $350.0 million term loan and a $350.0 million revolving credit facility (together with the term loa</w:t>
      </w:r>
      <w:r>
        <w:rPr>
          <w:rFonts w:ascii="Times New Roman;sans-serif" w:hAnsi="Times New Roman;sans-serif"/>
          <w:b w:val="false"/>
          <w:color w:val="000000"/>
          <w:sz w:val="20"/>
          <w:shd w:fill="FFFFFF" w:val="clear"/>
        </w:rPr>
        <w:t>n, as amended from time to time, the “2018 Credit Facilities”) that were each scheduled to mature on June 15,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26, 2022, the Company entered into an amended and restated credit agreement with certain lenders to refinance the 2018 Credit Facilities and extend their maturity date through June 2025. The amended and restated credit agreement provides for a $280.0 million senior unsecured term loan, the proceeds of which have been used to settle the balance of the term loan under the 2018 Credit Facilities, and a $420.0 million senior unsecured revolving credit facility (together, the “Revised Credit Facilities”).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applied modification accounting for the credit facility refinancing. For the term loan under the Revised Credit Facilities, for fiscal 2023, the Company recognized interest expense of $0.5 million for third party fees incurred and capitalized $0.2 million of lender fees related to the term loan. For fiscal 2023, the Company capitalized </w:t>
      </w:r>
      <w:r>
        <w:rPr>
          <w:rFonts w:ascii="Times New Roman;sans-serif" w:hAnsi="Times New Roman;sans-serif"/>
          <w:b w:val="false"/>
          <w:color w:val="000000"/>
          <w:sz w:val="20"/>
        </w:rPr>
        <w:t>$1.1 million</w:t>
      </w:r>
      <w:r>
        <w:rPr>
          <w:color w:val="000000"/>
          <w:shd w:fill="FFFFFF" w:val="clear"/>
        </w:rPr>
        <w:t xml:space="preserve"> </w:t>
      </w:r>
      <w:r>
        <w:rPr>
          <w:rFonts w:ascii="Times New Roman;sans-serif" w:hAnsi="Times New Roman;sans-serif"/>
          <w:b w:val="false"/>
          <w:color w:val="000000"/>
          <w:sz w:val="20"/>
          <w:shd w:fill="FFFFFF" w:val="clear"/>
        </w:rPr>
        <w:t>of lender fees and third-party costs incurred in the refinancing related to the revolving credit facility under the Revised Credit Facilities.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At December 30, 2023, $266.0 million was outstanding under the term loan with an effective interest rate of 6.8%. The Company has scheduled principal payments of $14.0 million required during the 12 months following December 30, 2023. During the third quarter of fiscal 2024 in connection with the acquisition of OpSens, the Company borrowed $110.0 million under the revolving credit facility, </w:t>
      </w:r>
      <w:r>
        <w:rPr>
          <w:rFonts w:ascii="Times New Roman;sans-serif" w:hAnsi="Times New Roman;sans-serif"/>
          <w:b w:val="false"/>
          <w:color w:val="000000"/>
          <w:sz w:val="20"/>
          <w:shd w:fill="FFFFFF" w:val="clear"/>
        </w:rPr>
        <w:t>with an effective interest rate of 6.7%</w:t>
      </w:r>
      <w:r>
        <w:rPr>
          <w:rFonts w:ascii="Times New Roman;sans-serif" w:hAnsi="Times New Roman;sans-serif"/>
          <w:b w:val="false"/>
          <w:color w:val="000000"/>
          <w:sz w:val="20"/>
        </w:rPr>
        <w:t>, which remains outstanding as of December 30, 2023. The Company also had $20.1 million of uncommitted operating lines of credit to fund its global operations under which there were no outstanding borrowings as of December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leverage and interest coverage ratios specified in the Revised Credit Facilities as well as all other bank covenants as of December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13. FINANCIAL INSTRUMENTS AND FAIR VALUE MEASUREMENTS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markets and sells its products globally. During the three and nine months ended December 30, 2023, 25.4% and 25.0%, respectively, of the Company’s sales were generated outside the U.S. in local currencies. The Company also incurs certain manufacturing, marketing and selling costs in international markets in local currency.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and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Designated Foreign Currency Hedge Contracts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All of the Company’s designated foreign currency hedge contracts as of December 30, 2023 and April 1, 2023 were cash flow hedges under ASC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(“ASC 815”). The Company records the effective portion of any change in the fair value of designated foreign currency hedge 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$20.5 million as of December 30, 2023 and $51.8 million as of April 1, 2023. At December 30, 2023, a gain of $2.0 million, net of tax, will be reclassified to earnings within the next twelve months. All currency cash flow hedges outstanding as of December 30, 2023 mature within twelve months.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Non-Designated Foreign Currency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$38.1 million as of December 30, 2023 and $44.7 million as of April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Swaps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15, 2018, the Company entered into the 2018 Credit Facilities, which provided for a $350.0 million term loan and a $350.0 million revolving credit facility. In August 2018, the Company entered into two interest rate swap agreements to pay an average fixed rate of 2.80% plus the applicable rate on a total notional value of $241.9 million of debt, or 70% of the notional value of the unsecured term loan. As a result of the Company’s refinancing of the 2018 Credit Facilities in July 2022, as discussed below, the 2018 interest rate swaps were amended in September 2022 to align with the Term Secured Overnight Financing Rate (“SOFR”) rate rather than LIBOR (the “Amended Swaps”). In order to avoid dedesignation, the Company elected certain practical expedients under ASC 848. As a result, the Company’s earnings and cash flows are exposed to interest rate risk from changes to SOFR. The Amended Swaps matured on June 15,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26, 2022, the Company entered into an amended and restated credit agreement to refinance the 2018 Credit Facilities and extend their maturity date through June 2025. The Revised Credit Facilities include a $280.0 million senior unsecured term loan and a $420.0 million senior unsecured revolving credit facility. Loans under the Revised Credit Facilities bear interest at an annual rate equal to the 1-month USD Term SOFR plus 0.10% and an applicable rate ranging from 1.125% to 1.750% based on the Company’s consolidated net leverage ratio. In September 2022, the Company entered into four additional interest rate swaps, which when combined with the Amended Swaps, resulted in an average blended fixed interest rate of 3.57% plus the applicable rate on 70% of the notional value of the unsecured term loan until mid-June 2023 and 4.12% plus the applicable rate thereafter on 80% of the notional value until the maturity date in June 2025. On June 15, 2023, two of the Company’s interest rate swaps entered into during September 2022 matured concurrently with the Amended Swaps. The Company has concluded that the two remaining interest rate swaps entered into during September 2022, which cover 80% of the notional value of the unsecured term loan through maturity in June 2025, are effective and qualify for hedge accounting treatment.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held the following interest rate swaps as of </w:t>
      </w:r>
      <w:r>
        <w:rPr>
          <w:rFonts w:ascii="Times New Roman;sans-serif" w:hAnsi="Times New Roman;sans-serif"/>
          <w:b w:val="false"/>
          <w:color w:val="000000"/>
          <w:sz w:val="20"/>
        </w:rPr>
        <w:t>December 30, 2023</w:t>
      </w:r>
      <w:r>
        <w:rPr>
          <w:rFonts w:ascii="Times New Roman;sans-serif" w:hAnsi="Times New Roman;sans-serif"/>
          <w:b w:val="false"/>
          <w:color w:val="000000"/>
          <w:sz w:val="20"/>
          <w:shd w:fill="FFFFFF" w:val="clear"/>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5"/>
        <w:gridCol w:w="258"/>
        <w:gridCol w:w="245"/>
        <w:gridCol w:w="109"/>
        <w:gridCol w:w="109"/>
        <w:gridCol w:w="109"/>
        <w:gridCol w:w="220"/>
        <w:gridCol w:w="863"/>
        <w:gridCol w:w="113"/>
        <w:gridCol w:w="109"/>
        <w:gridCol w:w="109"/>
        <w:gridCol w:w="109"/>
        <w:gridCol w:w="233"/>
        <w:gridCol w:w="913"/>
        <w:gridCol w:w="120"/>
        <w:gridCol w:w="109"/>
        <w:gridCol w:w="109"/>
        <w:gridCol w:w="109"/>
        <w:gridCol w:w="327"/>
        <w:gridCol w:w="327"/>
        <w:gridCol w:w="328"/>
        <w:gridCol w:w="109"/>
        <w:gridCol w:w="109"/>
        <w:gridCol w:w="109"/>
        <w:gridCol w:w="257"/>
        <w:gridCol w:w="257"/>
        <w:gridCol w:w="258"/>
        <w:gridCol w:w="109"/>
        <w:gridCol w:w="109"/>
        <w:gridCol w:w="109"/>
        <w:gridCol w:w="342"/>
        <w:gridCol w:w="342"/>
        <w:gridCol w:w="343"/>
        <w:gridCol w:w="109"/>
        <w:gridCol w:w="109"/>
        <w:gridCol w:w="109"/>
        <w:gridCol w:w="236"/>
        <w:gridCol w:w="236"/>
        <w:gridCol w:w="237"/>
        <w:gridCol w:w="109"/>
        <w:gridCol w:w="109"/>
        <w:gridCol w:w="109"/>
        <w:gridCol w:w="264"/>
        <w:gridCol w:w="583"/>
        <w:gridCol w:w="209"/>
      </w:tblGrid>
      <w:tr>
        <w:trPr/>
        <w:tc>
          <w:tcPr>
            <w:tcW w:w="4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Hedged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Notional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Notional Amount as of December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Designation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Assets (Liabilities)</w:t>
            </w:r>
          </w:p>
        </w:tc>
      </w:tr>
      <w:tr>
        <w:trPr/>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214,200 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For the nine months ended December 30, 2023, the Company rec</w:t>
      </w:r>
      <w:r>
        <w:rPr>
          <w:rFonts w:ascii="Times New Roman;sans-serif" w:hAnsi="Times New Roman;sans-serif"/>
          <w:b w:val="false"/>
          <w:color w:val="000000"/>
          <w:sz w:val="20"/>
        </w:rPr>
        <w:t>orded a gain of $1.3 million, ne</w:t>
      </w:r>
      <w:r>
        <w:rPr>
          <w:rFonts w:ascii="Times New Roman;sans-serif" w:hAnsi="Times New Roman;sans-serif"/>
          <w:b w:val="false"/>
          <w:color w:val="000000"/>
          <w:sz w:val="20"/>
          <w:shd w:fill="FFFFFF" w:val="clear"/>
        </w:rPr>
        <w:t>t of tax, in accumulated other comprehensive loss to recognize the effective portion of the fair value of the swaps that qualify as cash flow hedges.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Trade Receivables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w:t>
      </w:r>
      <w:r>
        <w:rPr>
          <w:rFonts w:ascii="Times New Roman;sans-serif" w:hAnsi="Times New Roman;sans-serif"/>
          <w:b w:val="false"/>
          <w:color w:val="000000"/>
          <w:sz w:val="20"/>
          <w:shd w:fill="FFFFFF" w:val="clear"/>
        </w:rPr>
        <w:t>rvices. To date, the Company has not experienced significant customer payment defaults, or identified other significant collectability concerns.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allowance for credit losses:</w:t>
      </w:r>
    </w:p>
    <w:p>
      <w:pPr>
        <w:pStyle w:val="TextBody"/>
        <w:bidi w:val="0"/>
        <w:spacing w:before="0" w:after="0"/>
        <w:jc w:val="left"/>
        <w:rPr/>
      </w:pPr>
      <w:r>
        <w:rPr/>
      </w:r>
    </w:p>
    <w:tbl>
      <w:tblPr>
        <w:tblW w:w="9201" w:type="dxa"/>
        <w:jc w:val="left"/>
        <w:tblInd w:w="0" w:type="dxa"/>
        <w:tblLayout w:type="fixed"/>
        <w:tblCellMar>
          <w:top w:w="28" w:type="dxa"/>
          <w:left w:w="28" w:type="dxa"/>
          <w:bottom w:w="28" w:type="dxa"/>
          <w:right w:w="28" w:type="dxa"/>
        </w:tblCellMar>
      </w:tblPr>
      <w:tblGrid>
        <w:gridCol w:w="788"/>
        <w:gridCol w:w="693"/>
        <w:gridCol w:w="694"/>
        <w:gridCol w:w="333"/>
        <w:gridCol w:w="995"/>
        <w:gridCol w:w="172"/>
        <w:gridCol w:w="109"/>
        <w:gridCol w:w="109"/>
        <w:gridCol w:w="109"/>
        <w:gridCol w:w="333"/>
        <w:gridCol w:w="995"/>
        <w:gridCol w:w="172"/>
        <w:gridCol w:w="109"/>
        <w:gridCol w:w="109"/>
        <w:gridCol w:w="109"/>
        <w:gridCol w:w="333"/>
        <w:gridCol w:w="995"/>
        <w:gridCol w:w="172"/>
        <w:gridCol w:w="109"/>
        <w:gridCol w:w="109"/>
        <w:gridCol w:w="109"/>
        <w:gridCol w:w="327"/>
        <w:gridCol w:w="979"/>
        <w:gridCol w:w="239"/>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2,495</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4,932</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2,475</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Credit loss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Recoveries (Write-offs)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5,725</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2,738</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5,725</w:t>
            </w:r>
            <w:r>
              <w:rPr>
                <w:color w:val="000000"/>
              </w:rPr>
              <w:t>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2,738</w:t>
            </w:r>
            <w:r>
              <w:rPr>
                <w:color w:val="000000"/>
              </w:rPr>
              <w:t> </w:t>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 Inputs to the valuation methodology are quoted market prices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 Inputs to the valuation methodology are unobservable inputs based on management’s best estimate of inputs market participants would use in pricing the asset or liability at the measurement date, including assumptions about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money market funds carried at fair value are classified within Level 1 of the fair value hierarchy because they are valued using quoted market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the Company’s derivative instruments designated as cash flow hedges and those not designated as hedging instruments under ASC 815 in its unaudited Condensed Consolidated Statements of Income and Comprehensive Income for the nine months ended December 30,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7"/>
        <w:gridCol w:w="389"/>
        <w:gridCol w:w="391"/>
        <w:gridCol w:w="109"/>
        <w:gridCol w:w="109"/>
        <w:gridCol w:w="109"/>
        <w:gridCol w:w="304"/>
        <w:gridCol w:w="890"/>
        <w:gridCol w:w="158"/>
        <w:gridCol w:w="109"/>
        <w:gridCol w:w="109"/>
        <w:gridCol w:w="109"/>
        <w:gridCol w:w="307"/>
        <w:gridCol w:w="922"/>
        <w:gridCol w:w="161"/>
        <w:gridCol w:w="109"/>
        <w:gridCol w:w="109"/>
        <w:gridCol w:w="109"/>
        <w:gridCol w:w="503"/>
        <w:gridCol w:w="503"/>
        <w:gridCol w:w="504"/>
        <w:gridCol w:w="109"/>
        <w:gridCol w:w="109"/>
        <w:gridCol w:w="109"/>
        <w:gridCol w:w="253"/>
        <w:gridCol w:w="742"/>
        <w:gridCol w:w="132"/>
        <w:gridCol w:w="109"/>
        <w:gridCol w:w="109"/>
        <w:gridCol w:w="109"/>
        <w:gridCol w:w="455"/>
        <w:gridCol w:w="455"/>
        <w:gridCol w:w="654"/>
      </w:tblGrid>
      <w:tr>
        <w:trPr/>
        <w:tc>
          <w:tcPr>
            <w:tcW w:w="8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Recognized</w:t>
              <w:br/>
              <w:t>in 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Reclassified</w:t>
              <w:br/>
              <w:t>from Accumulated Other Comprehensive Loss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w:t>
              <w:br/>
              <w:t>Condensed Consolidated Statements of Income and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Excluded from</w:t>
              <w:br/>
              <w:t>Effectiveness</w:t>
              <w:br/>
              <w:t>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w:t>
              <w:br/>
              <w:t>Condensed Consolidated Statements of Income and Comprehensive Income</w:t>
            </w:r>
          </w:p>
        </w:tc>
      </w:tr>
      <w:tr>
        <w:trPr/>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COGS and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fair value hedges or net investment hedges outstanding as of December 30, 2023 or April 1, 2023. As of December 30, 2023, no material deferred taxes were recognized for designated foreign currency hedges.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30, 2023, the Company has classified its derivative assets and liabilities within Level 2 of the fair value hierarchy prescribed by ASC 815, as discussed below, because these observable inputs are available for substantially the full term of its derivative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fair value of the Company’s derivative instruments as they appear in its Condensed Consolidated Balance Sheets as of December 30, 2023 and April 1, 2023:</w:t>
      </w:r>
    </w:p>
    <w:tbl>
      <w:tblPr>
        <w:tblW w:w="10205" w:type="dxa"/>
        <w:jc w:val="left"/>
        <w:tblInd w:w="0" w:type="dxa"/>
        <w:tblLayout w:type="fixed"/>
        <w:tblCellMar>
          <w:top w:w="28" w:type="dxa"/>
          <w:left w:w="28" w:type="dxa"/>
          <w:bottom w:w="28" w:type="dxa"/>
          <w:right w:w="28" w:type="dxa"/>
        </w:tblCellMar>
      </w:tblPr>
      <w:tblGrid>
        <w:gridCol w:w="1456"/>
        <w:gridCol w:w="1261"/>
        <w:gridCol w:w="1263"/>
        <w:gridCol w:w="109"/>
        <w:gridCol w:w="109"/>
        <w:gridCol w:w="109"/>
        <w:gridCol w:w="887"/>
        <w:gridCol w:w="887"/>
        <w:gridCol w:w="890"/>
        <w:gridCol w:w="109"/>
        <w:gridCol w:w="109"/>
        <w:gridCol w:w="109"/>
        <w:gridCol w:w="327"/>
        <w:gridCol w:w="977"/>
        <w:gridCol w:w="169"/>
        <w:gridCol w:w="109"/>
        <w:gridCol w:w="109"/>
        <w:gridCol w:w="109"/>
        <w:gridCol w:w="233"/>
        <w:gridCol w:w="699"/>
        <w:gridCol w:w="175"/>
      </w:tblGrid>
      <w:tr>
        <w:trPr/>
        <w:tc>
          <w:tcPr>
            <w:tcW w:w="14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9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Condensed 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3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1,991</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2,813</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669</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Measured on a 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measured at fair value on a recurring basis consist of the following as of December 30, 2023 and April 1, 2023.</w:t>
      </w:r>
    </w:p>
    <w:tbl>
      <w:tblPr>
        <w:tblW w:w="9537" w:type="dxa"/>
        <w:jc w:val="left"/>
        <w:tblInd w:w="0" w:type="dxa"/>
        <w:tblLayout w:type="fixed"/>
        <w:tblCellMar>
          <w:top w:w="28" w:type="dxa"/>
          <w:left w:w="28" w:type="dxa"/>
          <w:bottom w:w="28" w:type="dxa"/>
          <w:right w:w="28" w:type="dxa"/>
        </w:tblCellMar>
      </w:tblPr>
      <w:tblGrid>
        <w:gridCol w:w="1489"/>
        <w:gridCol w:w="1308"/>
        <w:gridCol w:w="1313"/>
        <w:gridCol w:w="109"/>
        <w:gridCol w:w="109"/>
        <w:gridCol w:w="109"/>
        <w:gridCol w:w="211"/>
        <w:gridCol w:w="841"/>
        <w:gridCol w:w="109"/>
        <w:gridCol w:w="109"/>
        <w:gridCol w:w="109"/>
        <w:gridCol w:w="109"/>
        <w:gridCol w:w="211"/>
        <w:gridCol w:w="631"/>
        <w:gridCol w:w="109"/>
        <w:gridCol w:w="109"/>
        <w:gridCol w:w="109"/>
        <w:gridCol w:w="109"/>
        <w:gridCol w:w="211"/>
        <w:gridCol w:w="481"/>
        <w:gridCol w:w="109"/>
        <w:gridCol w:w="109"/>
        <w:gridCol w:w="109"/>
        <w:gridCol w:w="109"/>
        <w:gridCol w:w="211"/>
        <w:gridCol w:w="84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30, 2023</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1, 2023</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135,154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Foreign currency hedge contracts - </w:t>
      </w:r>
      <w:r>
        <w:rPr>
          <w:rFonts w:ascii="Times New Roman;sans-serif" w:hAnsi="Times New Roman;sans-serif"/>
          <w:b w:val="false"/>
          <w:color w:val="000000"/>
          <w:sz w:val="20"/>
        </w:rPr>
        <w:t>The fair value of foreign currency hedge contracts was measured using significant other observable inputs and valued 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Interest rate swaps - </w:t>
      </w:r>
      <w:r>
        <w:rPr>
          <w:rFonts w:ascii="Times New Roman;sans-serif" w:hAnsi="Times New Roman;sans-serif"/>
          <w:b w:val="false"/>
          <w:color w:val="000000"/>
          <w:sz w:val="20"/>
        </w:rPr>
        <w:t>The fair values of interest rate swaps are measured using the present value of expected future cash flows using market-based 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Contingent consideration</w:t>
      </w:r>
      <w:r>
        <w:rPr>
          <w:color w:val="000000"/>
        </w:rPr>
        <w:t xml:space="preserve"> </w:t>
      </w:r>
      <w:r>
        <w:rPr>
          <w:rFonts w:ascii="Times New Roman;sans-serif" w:hAnsi="Times New Roman;sans-serif"/>
          <w:b w:val="false"/>
          <w:color w:val="000000"/>
          <w:sz w:val="20"/>
        </w:rPr>
        <w:t xml:space="preserve">- The fair value of contingent consideration liabilities is based on significant unobservable inputs, including management estimates and assumptions, and is measured based on the probability-weighted present value of the payments expected to be made. Accordingly, the fair value of contingent consideration has been classified as level 3 within the fair </w:t>
      </w:r>
      <w:r>
        <w:rPr>
          <w:rFonts w:ascii="Times New Roman;sans-serif" w:hAnsi="Times New Roman;sans-serif"/>
          <w:b w:val="false"/>
          <w:color w:val="000000"/>
          <w:sz w:val="20"/>
          <w:shd w:fill="FFFFFF" w:val="clear"/>
        </w:rPr>
        <w:t>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Fair Value Disclosures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Term Loan, which is carried at amortized cost, accounts receivable and accounts payable approximate fa</w:t>
      </w:r>
      <w:r>
        <w:rPr>
          <w:rFonts w:ascii="Times New Roman;sans-serif" w:hAnsi="Times New Roman;sans-serif"/>
          <w:b w:val="false"/>
          <w:color w:val="000000"/>
          <w:sz w:val="20"/>
          <w:shd w:fill="FFFFFF" w:val="clear"/>
        </w:rPr>
        <w:t>ir value. The fair value of the 2026 Notes as of December 30, 2023 was $445.2 million, which was determined by using the market price on the last trading day of the reporting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14. 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sans-serif" w:hAnsi="Times New Roman;sans-serif"/>
          <w:b w:val="false"/>
          <w:i/>
          <w:color w:val="000000"/>
          <w:sz w:val="20"/>
          <w:shd w:fill="FFFFFF" w:val="clear"/>
        </w:rPr>
        <w:t xml:space="preserve">Contingencies, </w:t>
      </w:r>
      <w:r>
        <w:rPr>
          <w:rFonts w:ascii="Times New Roman;sans-serif" w:hAnsi="Times New Roman;sans-serif"/>
          <w:b w:val="false"/>
          <w:color w:val="000000"/>
          <w:sz w:val="20"/>
          <w:shd w:fill="FFFFFF" w:val="clear"/>
        </w:rPr>
        <w:t>for all matters. Legal costs are expensed as incurred.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During the third quarter of fiscal 2021, the Company received a subpoena from the U.S. Attorney’s Office for the District of Massachusetts. The subpoena requested certain documents regarding the Company’s apheresis and autotransfusion devices and disposables, including documents relating to product complaints and adverse event reporting, regulatory clearances and product design changes, among other matters. The Company has fully cooperated with this inquiry. On August 16, 2022, the U.S. Department of Justice (“DOJ”) filed a motion on behalf of the United States and 31 states reflecting their decision to not i</w:t>
      </w:r>
      <w:r>
        <w:rPr>
          <w:rFonts w:ascii="Times New Roman;sans-serif" w:hAnsi="Times New Roman;sans-serif"/>
          <w:b w:val="false"/>
          <w:color w:val="000000"/>
          <w:sz w:val="20"/>
        </w:rPr>
        <w:t xml:space="preserve">ntervene in the underlying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 xml:space="preserve">action captioned </w:t>
      </w:r>
      <w:r>
        <w:rPr>
          <w:rFonts w:ascii="Times New Roman;sans-serif" w:hAnsi="Times New Roman;sans-serif"/>
          <w:b w:val="false"/>
          <w:i/>
          <w:color w:val="000000"/>
          <w:sz w:val="20"/>
        </w:rPr>
        <w:t>United States ex rel. Berthelot et al. v. Haemonetics Corp.,</w:t>
      </w:r>
      <w:r>
        <w:rPr>
          <w:color w:val="000000"/>
        </w:rPr>
        <w:t xml:space="preserve"> </w:t>
      </w:r>
      <w:r>
        <w:rPr>
          <w:rFonts w:ascii="Times New Roman;sans-serif" w:hAnsi="Times New Roman;sans-serif"/>
          <w:b w:val="false"/>
          <w:color w:val="000000"/>
          <w:sz w:val="20"/>
        </w:rPr>
        <w:t>1:20-cv-11062-ADB, pending in the U</w:t>
      </w:r>
      <w:r>
        <w:rPr>
          <w:rFonts w:ascii="Times New Roman;sans-serif" w:hAnsi="Times New Roman;sans-serif"/>
          <w:b w:val="false"/>
          <w:color w:val="000000"/>
          <w:sz w:val="20"/>
          <w:shd w:fill="FFFFFF" w:val="clear"/>
        </w:rPr>
        <w:t>.S. District Court for the District of Massachusetts, indicating that the DOJ had completed its investigative activity based on then available information. The</w:t>
      </w:r>
      <w:r>
        <w:rPr>
          <w:color w:val="000000"/>
          <w:shd w:fill="FFFFFF" w:val="clear"/>
        </w:rPr>
        <w:t xml:space="preserve"> </w:t>
      </w:r>
      <w:r>
        <w:rPr>
          <w:rFonts w:ascii="Times New Roman;sans-serif" w:hAnsi="Times New Roman;sans-serif"/>
          <w:b w:val="false"/>
          <w:i/>
          <w:color w:val="000000"/>
          <w:sz w:val="20"/>
          <w:shd w:fill="FFFFFF" w:val="clear"/>
        </w:rPr>
        <w:t>qui tam</w:t>
      </w:r>
      <w:r>
        <w:rPr>
          <w:color w:val="000000"/>
          <w:shd w:fill="FFFFFF" w:val="clear"/>
        </w:rPr>
        <w:t xml:space="preserve"> </w:t>
      </w:r>
      <w:r>
        <w:rPr>
          <w:rFonts w:ascii="Times New Roman;sans-serif" w:hAnsi="Times New Roman;sans-serif"/>
          <w:b w:val="false"/>
          <w:color w:val="000000"/>
          <w:sz w:val="20"/>
          <w:shd w:fill="FFFFFF" w:val="clear"/>
        </w:rPr>
        <w:t xml:space="preserve">case was unsealed by order dated August 18, 2022. On January 12, 2024, the Company entered into an agreement with the individual plaintiffs in the </w:t>
      </w:r>
      <w:r>
        <w:rPr>
          <w:rFonts w:ascii="Times New Roman;sans-serif" w:hAnsi="Times New Roman;sans-serif"/>
          <w:b w:val="false"/>
          <w:i/>
          <w:color w:val="000000"/>
          <w:sz w:val="20"/>
          <w:shd w:fill="FFFFFF" w:val="clear"/>
        </w:rPr>
        <w:t>qui tam</w:t>
      </w:r>
      <w:r>
        <w:rPr>
          <w:color w:val="000000"/>
          <w:shd w:fill="FFFFFF" w:val="clear"/>
        </w:rPr>
        <w:t xml:space="preserve"> </w:t>
      </w:r>
      <w:r>
        <w:rPr>
          <w:rFonts w:ascii="Times New Roman;sans-serif" w:hAnsi="Times New Roman;sans-serif"/>
          <w:b w:val="false"/>
          <w:color w:val="000000"/>
          <w:sz w:val="20"/>
          <w:shd w:fill="FFFFFF" w:val="clear"/>
        </w:rPr>
        <w:t xml:space="preserve">case that provides for settlement of certain unrelated employment matters and releases those individuals’ claims. The Company previously recorded a loss contingency for these matters and did not record any adjustments during the third quarter of fiscal 2024. On January 16, 2024, the relators in the </w:t>
      </w:r>
      <w:r>
        <w:rPr>
          <w:rFonts w:ascii="Times New Roman;sans-serif" w:hAnsi="Times New Roman;sans-serif"/>
          <w:b w:val="false"/>
          <w:i/>
          <w:color w:val="000000"/>
          <w:sz w:val="20"/>
          <w:shd w:fill="FFFFFF" w:val="clear"/>
        </w:rPr>
        <w:t>qui tam</w:t>
      </w:r>
      <w:r>
        <w:rPr>
          <w:color w:val="000000"/>
          <w:shd w:fill="FFFFFF" w:val="clear"/>
        </w:rPr>
        <w:t xml:space="preserve"> </w:t>
      </w:r>
      <w:r>
        <w:rPr>
          <w:rFonts w:ascii="Times New Roman;sans-serif" w:hAnsi="Times New Roman;sans-serif"/>
          <w:b w:val="false"/>
          <w:color w:val="000000"/>
          <w:sz w:val="20"/>
          <w:shd w:fill="FFFFFF" w:val="clear"/>
        </w:rPr>
        <w:t xml:space="preserve">case filed a stipulation of dismissal of their claims against the Company. The court dismissed the </w:t>
      </w:r>
      <w:r>
        <w:rPr>
          <w:rFonts w:ascii="Times New Roman;sans-serif" w:hAnsi="Times New Roman;sans-serif"/>
          <w:b w:val="false"/>
          <w:i/>
          <w:color w:val="000000"/>
          <w:sz w:val="20"/>
          <w:shd w:fill="FFFFFF" w:val="clear"/>
        </w:rPr>
        <w:t xml:space="preserve">qui tam </w:t>
      </w:r>
      <w:r>
        <w:rPr>
          <w:rFonts w:ascii="Times New Roman;sans-serif" w:hAnsi="Times New Roman;sans-serif"/>
          <w:b w:val="false"/>
          <w:color w:val="000000"/>
          <w:sz w:val="20"/>
          <w:shd w:fill="FFFFFF" w:val="clear"/>
        </w:rPr>
        <w:t>claims with prejudice as to the relators and without prejudice as to the government.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the fourth quarter of fiscal 2021, a putative class action complaint was filed against the Company in the Circuit Court of Cook County, Illinois by Mary Crumpton, on behalf of herself and similarly situated individuals. The Company removed the case to the United States District Court for the Northern District Illinois. See </w:t>
      </w:r>
      <w:r>
        <w:rPr>
          <w:rFonts w:ascii="Times New Roman;sans-serif" w:hAnsi="Times New Roman;sans-serif"/>
          <w:b w:val="false"/>
          <w:i/>
          <w:color w:val="000000"/>
          <w:sz w:val="20"/>
        </w:rPr>
        <w:t>Mary Crumpton v. Haemonetics Corporation, Case No. 1:21-cv-1402</w:t>
      </w:r>
      <w:r>
        <w:rPr>
          <w:rFonts w:ascii="Times New Roman;sans-serif" w:hAnsi="Times New Roman;sans-serif"/>
          <w:b w:val="false"/>
          <w:color w:val="000000"/>
          <w:sz w:val="20"/>
        </w:rPr>
        <w:t>. In her complaint, the plaintiff asserts that between June 2017 and August 2018 she donated plasma at a center operated by one of the Company’s customers, that the center required her to scan her fingerprint on a finger scanner that stored her fingerprint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w:t>
      </w:r>
      <w:r>
        <w:rPr>
          <w:rFonts w:ascii="Times New Roman;sans-serif" w:hAnsi="Times New Roman;sans-serif"/>
          <w:b w:val="false"/>
          <w:color w:val="000000"/>
          <w:sz w:val="20"/>
          <w:shd w:fill="FFFFFF" w:val="clear"/>
        </w:rPr>
        <w:t xml:space="preserve">ure to state a claim and a motion to stay. In March 2022, the court denied the Company’s motion to dismiss for lack of personal jurisdiction but did not address the merits of the Company’s other positions. In March 2023, the Company filed a second motion to dismiss the complaint, which is pending before the court. During the second quarter of fiscal 2024, the Company entered into a Memorandum of Understanding providing terms that would resolve the litigation and recorded an additional loss contingency related to this matter. In the third quarter of fiscal 2024, the parties requested preliminary court approval of a final settlement agreement and the Company recorded an immaterial additional loss contingency related to settlement administration, resulting in a total accrual of $8.8 million within Other current liabilities in its Condensed Consolidated Balance Sheets.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Product Recall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August 2023, the Company issued a voluntary recall of certain products within the Whole Blood portion of our Blood Center business unit sold to customers in the U.S. and certain foreign jurisdictions. As of December 30, 2023, the Company has recorded cumulative charges of $6.8 million related to inventory, returns and customer claims associated with this recall. The Company continues to evaluate the impact of this recall and may record additional incremental charges in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15. ACCUMULATED OTHER COMPREHENSIVE LOSS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are as follows:</w:t>
      </w:r>
    </w:p>
    <w:tbl>
      <w:tblPr>
        <w:tblW w:w="10205" w:type="dxa"/>
        <w:jc w:val="center"/>
        <w:tblInd w:w="0" w:type="dxa"/>
        <w:tblLayout w:type="fixed"/>
        <w:tblCellMar>
          <w:top w:w="28" w:type="dxa"/>
          <w:left w:w="28" w:type="dxa"/>
          <w:bottom w:w="28" w:type="dxa"/>
          <w:right w:w="28" w:type="dxa"/>
        </w:tblCellMar>
      </w:tblPr>
      <w:tblGrid>
        <w:gridCol w:w="1418"/>
        <w:gridCol w:w="1007"/>
        <w:gridCol w:w="967"/>
        <w:gridCol w:w="109"/>
        <w:gridCol w:w="109"/>
        <w:gridCol w:w="109"/>
        <w:gridCol w:w="235"/>
        <w:gridCol w:w="854"/>
        <w:gridCol w:w="121"/>
        <w:gridCol w:w="109"/>
        <w:gridCol w:w="109"/>
        <w:gridCol w:w="109"/>
        <w:gridCol w:w="278"/>
        <w:gridCol w:w="834"/>
        <w:gridCol w:w="144"/>
        <w:gridCol w:w="109"/>
        <w:gridCol w:w="109"/>
        <w:gridCol w:w="109"/>
        <w:gridCol w:w="502"/>
        <w:gridCol w:w="1145"/>
        <w:gridCol w:w="260"/>
        <w:gridCol w:w="109"/>
        <w:gridCol w:w="109"/>
        <w:gridCol w:w="109"/>
        <w:gridCol w:w="211"/>
        <w:gridCol w:w="762"/>
        <w:gridCol w:w="159"/>
      </w:tblGrid>
      <w:tr>
        <w:trPr/>
        <w:tc>
          <w:tcPr>
            <w:tcW w:w="141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(33,935)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4,075</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(30,381)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comprehensive income (loss) before reclassifications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income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(28,497)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4,075</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w:t>
            </w:r>
            <w:r>
              <w:rPr>
                <w:color w:val="000000"/>
              </w:rPr>
              <w:t>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(24,382)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Presented net of income taxes, the amounts of which are insignificant.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16. SEGMENT AND ENTERPRISE-WIDE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reportable and operating segments are as follows: </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Plasma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Blood Center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Hospital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amortization of acquired intangible assets, restructuring costs, restructuring related costs, digital transformation costs related to the upgrade of our enterprise resource planning system, impairments, accelerated device depreciation and related costs, costs related to compliance with the European Union Medical Device Regulation (“MDR”) and In Vitro Diagnostic Regulation (“IVDR”), unusual or infrequent and material litigation-related charges and gains and losses on dispositions and sale of assets.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Selected information by reportable segment is presented below:</w:t>
      </w:r>
    </w:p>
    <w:tbl>
      <w:tblPr>
        <w:tblW w:w="8234" w:type="dxa"/>
        <w:jc w:val="center"/>
        <w:tblInd w:w="0" w:type="dxa"/>
        <w:tblLayout w:type="fixed"/>
        <w:tblCellMar>
          <w:top w:w="28" w:type="dxa"/>
          <w:left w:w="28" w:type="dxa"/>
          <w:bottom w:w="28" w:type="dxa"/>
          <w:right w:w="28" w:type="dxa"/>
        </w:tblCellMar>
      </w:tblPr>
      <w:tblGrid>
        <w:gridCol w:w="932"/>
        <w:gridCol w:w="815"/>
        <w:gridCol w:w="81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business unit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Service </w:t>
            </w:r>
            <w:r>
              <w:rPr>
                <w:rFonts w:ascii="Times New Roman;sans-serif" w:hAnsi="Times New Roman;sans-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336,250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305,301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965,765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864,244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3"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Reflects revenue for service, maintenance and parts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589"/>
        <w:gridCol w:w="963"/>
        <w:gridCol w:w="966"/>
        <w:gridCol w:w="260"/>
        <w:gridCol w:w="912"/>
        <w:gridCol w:w="135"/>
        <w:gridCol w:w="132"/>
        <w:gridCol w:w="132"/>
        <w:gridCol w:w="132"/>
        <w:gridCol w:w="260"/>
        <w:gridCol w:w="912"/>
        <w:gridCol w:w="135"/>
        <w:gridCol w:w="132"/>
        <w:gridCol w:w="132"/>
        <w:gridCol w:w="132"/>
        <w:gridCol w:w="256"/>
        <w:gridCol w:w="1022"/>
        <w:gridCol w:w="132"/>
        <w:gridCol w:w="132"/>
        <w:gridCol w:w="132"/>
        <w:gridCol w:w="132"/>
        <w:gridCol w:w="256"/>
        <w:gridCol w:w="1022"/>
        <w:gridCol w:w="197"/>
      </w:tblGrid>
      <w:tr>
        <w:trPr/>
        <w:tc>
          <w:tcPr>
            <w:tcW w:w="158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157,459 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447,566 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416,570 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Corporate expenses </w:t>
            </w:r>
            <w:r>
              <w:rPr>
                <w:rFonts w:ascii="Times New Roman;sans-serif" w:hAnsi="Times New Roman;sans-serif"/>
                <w:b w:val="false"/>
                <w:color w:val="000000"/>
                <w:sz w:val="13"/>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(234,753)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(261,854)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acquired intangible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Integration and transaction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related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Digital transformation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Impairment of assets and PCS2 related charges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MDR and IVDR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Litigation-related charges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Impairment of intangible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Gains on divestiture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45,978</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43,279</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134,940</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120,778</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Reflects shared service expenses including quality and regulatory, customer and field service, research and development, manufacturing and supply chain, as well as other corporate support functions.</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by business unit are as follows:</w:t>
      </w:r>
    </w:p>
    <w:tbl>
      <w:tblPr>
        <w:tblW w:w="10205" w:type="dxa"/>
        <w:jc w:val="left"/>
        <w:tblInd w:w="0" w:type="dxa"/>
        <w:tblLayout w:type="fixed"/>
        <w:tblCellMar>
          <w:top w:w="28" w:type="dxa"/>
          <w:left w:w="28" w:type="dxa"/>
          <w:bottom w:w="28" w:type="dxa"/>
          <w:right w:w="28" w:type="dxa"/>
        </w:tblCellMar>
      </w:tblPr>
      <w:tblGrid>
        <w:gridCol w:w="252"/>
        <w:gridCol w:w="220"/>
        <w:gridCol w:w="220"/>
        <w:gridCol w:w="972"/>
        <w:gridCol w:w="972"/>
        <w:gridCol w:w="1008"/>
        <w:gridCol w:w="265"/>
        <w:gridCol w:w="1064"/>
        <w:gridCol w:w="137"/>
        <w:gridCol w:w="137"/>
        <w:gridCol w:w="137"/>
        <w:gridCol w:w="137"/>
        <w:gridCol w:w="265"/>
        <w:gridCol w:w="1064"/>
        <w:gridCol w:w="137"/>
        <w:gridCol w:w="115"/>
        <w:gridCol w:w="115"/>
        <w:gridCol w:w="115"/>
        <w:gridCol w:w="223"/>
        <w:gridCol w:w="894"/>
        <w:gridCol w:w="115"/>
        <w:gridCol w:w="115"/>
        <w:gridCol w:w="115"/>
        <w:gridCol w:w="115"/>
        <w:gridCol w:w="223"/>
        <w:gridCol w:w="894"/>
        <w:gridCol w:w="179"/>
      </w:tblGrid>
      <w:tr>
        <w:trPr/>
        <w:tc>
          <w:tcPr>
            <w:tcW w:w="2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146,805</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135,461</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427,315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365,735</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70,480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73,362</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205,918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212,739</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Interventional Technologies</w:t>
            </w:r>
            <w:r>
              <w:rPr>
                <w:rFonts w:ascii="Times New Roman;sans-serif" w:hAnsi="Times New Roman;sans-serif"/>
                <w:b w:val="false"/>
                <w:color w:val="000000"/>
                <w:sz w:val="13"/>
              </w:rPr>
              <w:t>(1)</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Hemostasis Management</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113,419</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91,560</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316,170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270,909</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business unit revenues</w:t>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330,704</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300,383</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949,403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849,383</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336,250</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305,301</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965,765</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864,244</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Interventional Cardiology includes Vascular Closure and Sensor Guided Technologies product lines of the Hospital business unit.</w:t>
            </w:r>
          </w:p>
        </w:tc>
      </w:tr>
      <w:tr>
        <w:trPr/>
        <w:tc>
          <w:tcPr>
            <w:tcW w:w="6987"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Other includes the Cell Salvage and Transfusion Management product lines of the Hospital business unit.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generated in the Company’s principle operating regions on a reported basis are as follows:</w:t>
      </w:r>
    </w:p>
    <w:tbl>
      <w:tblPr>
        <w:tblW w:w="6870" w:type="dxa"/>
        <w:jc w:val="left"/>
        <w:tblInd w:w="0" w:type="dxa"/>
        <w:tblLayout w:type="fixed"/>
        <w:tblCellMar>
          <w:top w:w="28" w:type="dxa"/>
          <w:left w:w="28" w:type="dxa"/>
          <w:bottom w:w="28" w:type="dxa"/>
          <w:right w:w="28" w:type="dxa"/>
        </w:tblCellMar>
      </w:tblPr>
      <w:tblGrid>
        <w:gridCol w:w="435"/>
        <w:gridCol w:w="382"/>
        <w:gridCol w:w="383"/>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336,250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305,301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965,765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864,244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April 1, 2023. The following discussion may contain forward-looking statements and should be read in conjunction with the “Cautionary Statement Regarding Forward-Looking Information” in this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Interventional Technologies, Cell Salvage and Transfusion Management products, includes devices and methodologies for measuring coagulation characteristics of blood, vascular closure devices, sensor guided technologies, specialized blood cell processing systems and disposables, surgical blood salvage systems and blood transfusion management software.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Acquisition of OpSens,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10, 2023, the Company announced it had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total consideration of approximately $254.5 million, or $243.9 million, net of cash acquired. The Company financed the acquisition through a combination of cash on hand and borrowings under the revolving credit facility.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OpSens offers commercially and clinically validated optical technology for use primarily in interventional cardiology. OpSens’ core products include the SavvyWire</w:t>
      </w:r>
      <w:r>
        <w:rPr>
          <w:rFonts w:ascii="Times New Roman;sans-serif" w:hAnsi="Times New Roman;sans-serif"/>
          <w:b w:val="false"/>
          <w:color w:val="000000"/>
          <w:sz w:val="13"/>
        </w:rPr>
        <w:t>®</w:t>
      </w:r>
      <w:r>
        <w:rPr>
          <w:rFonts w:ascii="Times New Roman;sans-serif" w:hAnsi="Times New Roman;sans-serif"/>
          <w:b w:val="false"/>
          <w:color w:val="000000"/>
          <w:sz w:val="20"/>
        </w:rPr>
        <w:t>, a sensor-guided 3-in-1 guidewire for TAVR procedures, advancing the workflow of the procedure and enabling potentially shorter hospital stays for patients; and the OptoWire</w:t>
      </w:r>
      <w:r>
        <w:rPr>
          <w:rFonts w:ascii="Times New Roman;sans-serif" w:hAnsi="Times New Roman;sans-serif"/>
          <w:b w:val="false"/>
          <w:color w:val="000000"/>
          <w:sz w:val="13"/>
        </w:rPr>
        <w:t>®</w:t>
      </w:r>
      <w:r>
        <w:rPr>
          <w:rFonts w:ascii="Times New Roman;sans-serif" w:hAnsi="Times New Roman;sans-serif"/>
          <w:b w:val="false"/>
          <w:color w:val="000000"/>
          <w:sz w:val="20"/>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will be included in the Hospital reportable segment.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Portfolio Rationalization Initiatives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the Company announced its plans to end of life the ClotPro analyzer system within the Hospital business unit and whole blood inline collection products within the Blood Center business unit, including the associated manufacturing operations and closure of certain other facilities. These product rationalization initiatives have not materially impacted the third quarter of fiscal 2024 results and we do not expect a material impact for the remainder of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Summary</w:t>
      </w:r>
    </w:p>
    <w:tbl>
      <w:tblPr>
        <w:tblW w:w="10205" w:type="dxa"/>
        <w:jc w:val="left"/>
        <w:tblInd w:w="0" w:type="dxa"/>
        <w:tblLayout w:type="fixed"/>
        <w:tblCellMar>
          <w:top w:w="28" w:type="dxa"/>
          <w:left w:w="28" w:type="dxa"/>
          <w:bottom w:w="28" w:type="dxa"/>
          <w:right w:w="28" w:type="dxa"/>
        </w:tblCellMar>
      </w:tblPr>
      <w:tblGrid>
        <w:gridCol w:w="429"/>
        <w:gridCol w:w="328"/>
        <w:gridCol w:w="330"/>
        <w:gridCol w:w="211"/>
        <w:gridCol w:w="826"/>
        <w:gridCol w:w="271"/>
        <w:gridCol w:w="109"/>
        <w:gridCol w:w="109"/>
        <w:gridCol w:w="109"/>
        <w:gridCol w:w="211"/>
        <w:gridCol w:w="826"/>
        <w:gridCol w:w="271"/>
        <w:gridCol w:w="109"/>
        <w:gridCol w:w="109"/>
        <w:gridCol w:w="109"/>
        <w:gridCol w:w="302"/>
        <w:gridCol w:w="224"/>
        <w:gridCol w:w="559"/>
        <w:gridCol w:w="109"/>
        <w:gridCol w:w="109"/>
        <w:gridCol w:w="109"/>
        <w:gridCol w:w="211"/>
        <w:gridCol w:w="826"/>
        <w:gridCol w:w="271"/>
        <w:gridCol w:w="109"/>
        <w:gridCol w:w="109"/>
        <w:gridCol w:w="109"/>
        <w:gridCol w:w="211"/>
        <w:gridCol w:w="826"/>
        <w:gridCol w:w="271"/>
        <w:gridCol w:w="109"/>
        <w:gridCol w:w="109"/>
        <w:gridCol w:w="109"/>
        <w:gridCol w:w="323"/>
        <w:gridCol w:w="214"/>
        <w:gridCol w:w="629"/>
      </w:tblGrid>
      <w:tr>
        <w:trPr/>
        <w:tc>
          <w:tcPr>
            <w:tcW w:w="4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(Decrease)</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10.1 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11.7 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12.1 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12.4 </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12.6 </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6.2 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11.7 </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84.7 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(45.9)</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18.1 </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37.8 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37.4 </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pre-tax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13.0 </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(4.6)</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13.6 </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(4.7)</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13.2 </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Net revenue</w:t>
      </w:r>
      <w:r>
        <w:rPr>
          <w:rFonts w:ascii="Times New Roman;sans-serif" w:hAnsi="Times New Roman;sans-serif"/>
          <w:b w:val="false"/>
          <w:color w:val="000000"/>
          <w:sz w:val="20"/>
        </w:rPr>
        <w:t xml:space="preserve">s increased </w:t>
      </w:r>
      <w:r>
        <w:rPr>
          <w:rFonts w:ascii="Times New Roman;sans-serif" w:hAnsi="Times New Roman;sans-serif"/>
          <w:b w:val="false"/>
          <w:color w:val="000000"/>
          <w:sz w:val="20"/>
          <w:shd w:fill="FFFFFF" w:val="clear"/>
        </w:rPr>
        <w:t>10.1% and 11.7% during the three and nine months ended December 30, 2023, respectively, as compared with the same periods of fiscal 2023. Without the effects of foreign exchange, net revenues</w:t>
      </w:r>
      <w:r>
        <w:rPr>
          <w:color w:val="000000"/>
        </w:rPr>
        <w:t xml:space="preserv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10.3% and 12.4% during the three and nine months ended December 30, 2023, respectively, as compared with the same periods of fiscal 2023.</w:t>
      </w:r>
      <w:r>
        <w:rPr>
          <w:color w:val="000000"/>
        </w:rPr>
        <w:t xml:space="preserve"> </w:t>
      </w:r>
      <w:r>
        <w:rPr>
          <w:rFonts w:ascii="Times New Roman;sans-serif" w:hAnsi="Times New Roman;sans-serif"/>
          <w:b w:val="false"/>
          <w:color w:val="000000"/>
          <w:sz w:val="20"/>
        </w:rPr>
        <w:t xml:space="preserve">Revenue increases in our Plasma and Hospital businesses, primarily related to volume and price benefits, drove the overall increase in revenue during the three and nine months ended December 30, 2023.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Operating income in</w:t>
      </w:r>
      <w:r>
        <w:rPr>
          <w:rFonts w:ascii="Times New Roman;sans-serif" w:hAnsi="Times New Roman;sans-serif"/>
          <w:b w:val="false"/>
          <w:color w:val="000000"/>
          <w:sz w:val="20"/>
        </w:rPr>
        <w:t xml:space="preserve">creased </w:t>
      </w:r>
      <w:r>
        <w:rPr>
          <w:rFonts w:ascii="Times New Roman;sans-serif" w:hAnsi="Times New Roman;sans-serif"/>
          <w:b w:val="false"/>
          <w:color w:val="000000"/>
          <w:sz w:val="20"/>
          <w:shd w:fill="FFFFFF" w:val="clear"/>
        </w:rPr>
        <w:t>6.2% and</w:t>
      </w:r>
      <w:r>
        <w:rPr>
          <w:color w:val="000000"/>
        </w:rPr>
        <w:t xml:space="preserve"> </w:t>
      </w:r>
      <w:r>
        <w:rPr>
          <w:rFonts w:ascii="Times New Roman;sans-serif" w:hAnsi="Times New Roman;sans-serif"/>
          <w:b w:val="false"/>
          <w:color w:val="000000"/>
          <w:sz w:val="20"/>
        </w:rPr>
        <w:t xml:space="preserve">11.7% during the </w:t>
      </w:r>
      <w:r>
        <w:rPr>
          <w:rFonts w:ascii="Times New Roman;sans-serif" w:hAnsi="Times New Roman;sans-serif"/>
          <w:b w:val="false"/>
          <w:color w:val="000000"/>
          <w:sz w:val="20"/>
          <w:shd w:fill="FFFFFF" w:val="clear"/>
        </w:rPr>
        <w:t>three and nine months ended December 30, 2023, respectively,</w:t>
      </w:r>
      <w:r>
        <w:rPr>
          <w:color w:val="000000"/>
        </w:rPr>
        <w:t xml:space="preserve"> </w:t>
      </w:r>
      <w:r>
        <w:rPr>
          <w:rFonts w:ascii="Times New Roman;sans-serif" w:hAnsi="Times New Roman;sans-serif"/>
          <w:b w:val="false"/>
          <w:color w:val="000000"/>
          <w:sz w:val="20"/>
          <w:shd w:fill="FFFFFF" w:val="clear"/>
        </w:rPr>
        <w:t xml:space="preserve">as compared with the same periods of fiscal </w:t>
      </w:r>
      <w:r>
        <w:rPr>
          <w:rFonts w:ascii="Times New Roman;sans-serif" w:hAnsi="Times New Roman;sans-serif"/>
          <w:b w:val="false"/>
          <w:color w:val="000000"/>
          <w:sz w:val="20"/>
        </w:rPr>
        <w:t xml:space="preserve">2023. The increases during the </w:t>
      </w:r>
      <w:r>
        <w:rPr>
          <w:rFonts w:ascii="Times New Roman;sans-serif" w:hAnsi="Times New Roman;sans-serif"/>
          <w:b w:val="false"/>
          <w:color w:val="000000"/>
          <w:sz w:val="20"/>
          <w:shd w:fill="FFFFFF" w:val="clear"/>
        </w:rPr>
        <w:t>three and nine months ended December 30, 2023</w:t>
      </w:r>
      <w:r>
        <w:rPr>
          <w:color w:val="000000"/>
        </w:rPr>
        <w:t xml:space="preserve"> </w:t>
      </w:r>
      <w:r>
        <w:rPr>
          <w:rFonts w:ascii="Times New Roman;sans-serif" w:hAnsi="Times New Roman;sans-serif"/>
          <w:b w:val="false"/>
          <w:color w:val="000000"/>
          <w:sz w:val="20"/>
        </w:rPr>
        <w:t>were primarily due to increased revenues in Plasma and Hospital as well as operating leverage, partially offset by continuous growth investments, portfolio rationalization initiatives, transaction costs in connection with the OpSens acquisition and digital transformation costs related to the upgrade of our enterprise resource planning system.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Management’s Use of Non-GAAP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Net Revenues by Geography</w:t>
      </w:r>
    </w:p>
    <w:tbl>
      <w:tblPr>
        <w:tblW w:w="10205" w:type="dxa"/>
        <w:jc w:val="left"/>
        <w:tblInd w:w="0" w:type="dxa"/>
        <w:tblLayout w:type="fixed"/>
        <w:tblCellMar>
          <w:top w:w="28" w:type="dxa"/>
          <w:left w:w="28" w:type="dxa"/>
          <w:bottom w:w="28" w:type="dxa"/>
          <w:right w:w="28" w:type="dxa"/>
        </w:tblCellMar>
      </w:tblPr>
      <w:tblGrid>
        <w:gridCol w:w="504"/>
        <w:gridCol w:w="443"/>
        <w:gridCol w:w="424"/>
        <w:gridCol w:w="126"/>
        <w:gridCol w:w="126"/>
        <w:gridCol w:w="126"/>
        <w:gridCol w:w="244"/>
        <w:gridCol w:w="958"/>
        <w:gridCol w:w="126"/>
        <w:gridCol w:w="126"/>
        <w:gridCol w:w="126"/>
        <w:gridCol w:w="126"/>
        <w:gridCol w:w="244"/>
        <w:gridCol w:w="958"/>
        <w:gridCol w:w="126"/>
        <w:gridCol w:w="126"/>
        <w:gridCol w:w="126"/>
        <w:gridCol w:w="126"/>
        <w:gridCol w:w="347"/>
        <w:gridCol w:w="287"/>
        <w:gridCol w:w="655"/>
        <w:gridCol w:w="126"/>
        <w:gridCol w:w="126"/>
        <w:gridCol w:w="126"/>
        <w:gridCol w:w="308"/>
        <w:gridCol w:w="263"/>
        <w:gridCol w:w="657"/>
        <w:gridCol w:w="126"/>
        <w:gridCol w:w="126"/>
        <w:gridCol w:w="126"/>
        <w:gridCol w:w="455"/>
        <w:gridCol w:w="332"/>
        <w:gridCol w:w="984"/>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color w:val="000000"/>
              </w:rPr>
              <w:t xml:space="preserve"> </w:t>
            </w:r>
            <w:r>
              <w:rPr>
                <w:rFonts w:ascii="Times New Roman;sans-serif" w:hAnsi="Times New Roman;sans-serif"/>
                <w:b/>
                <w:color w:val="000000"/>
                <w:sz w:val="10"/>
              </w:rPr>
              <w:t>(1)</w:t>
            </w:r>
          </w:p>
        </w:tc>
      </w:tr>
      <w:tr>
        <w:trPr/>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8834" w:type="dxa"/>
            <w:gridSpan w:val="30"/>
            <w:tcBorders/>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color w:val="000000"/>
              </w:rPr>
              <w:t xml:space="preserve"> </w:t>
            </w:r>
            <w:r>
              <w:rPr>
                <w:rFonts w:ascii="Times New Roman;sans-serif" w:hAnsi="Times New Roman;sans-serif"/>
                <w:b/>
                <w:color w:val="000000"/>
                <w:sz w:val="10"/>
              </w:rPr>
              <w:t>(1)</w:t>
            </w:r>
          </w:p>
        </w:tc>
      </w:tr>
      <w:tr>
        <w:trPr/>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965,765 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864,244 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Constant currency growth, a non-GAAP financial measure, measures the change in revenue between the current and prior year periods using a constant currency. See “</w:t>
            </w:r>
            <w:r>
              <w:rPr>
                <w:rFonts w:ascii="Times New Roman;sans-serif" w:hAnsi="Times New Roman;sans-serif"/>
                <w:b w:val="false"/>
                <w:i/>
                <w:color w:val="000000"/>
                <w:sz w:val="16"/>
              </w:rPr>
              <w:t>Management’s Use of Non-GAAP Measures.</w:t>
            </w: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principal operations are in the United States, Europe, Japan and other parts of Asia. Our products are marketed in approximately 90 countries around the world through a combination of our direct sales force and independent distributors and agents. During the three and nine months ended December 30, 2023 our revenue generated outside the U.S. was 25.4% and 25.0% of total net revenues, respectively, as compared with 26.6% and 28.5%, respectively, during the three and nine months ended December 31, 2022. International sales are generally conducted in local currencies, primarily Japanese Yen, Euro and Chinese Yuan. Our results of operations are impacted by changes in foreign exchange rates, particularly in the value of the Yen and Euro relative to the U.S. Dollar. We have placed foreign currency hedges on certain foreign currencies to mitigate our exposure to foreign currency fluctuations.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Please see the section entitled “Foreign Exchange” in this discussion for a more complete explanation of how foreign currency affects our business and our strategy for managing this exposure.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 by Business Unit</w:t>
      </w:r>
    </w:p>
    <w:tbl>
      <w:tblPr>
        <w:tblW w:w="10205" w:type="dxa"/>
        <w:jc w:val="left"/>
        <w:tblInd w:w="0" w:type="dxa"/>
        <w:tblLayout w:type="fixed"/>
        <w:tblCellMar>
          <w:top w:w="28" w:type="dxa"/>
          <w:left w:w="28" w:type="dxa"/>
          <w:bottom w:w="28" w:type="dxa"/>
          <w:right w:w="28" w:type="dxa"/>
        </w:tblCellMar>
      </w:tblPr>
      <w:tblGrid>
        <w:gridCol w:w="795"/>
        <w:gridCol w:w="561"/>
        <w:gridCol w:w="564"/>
        <w:gridCol w:w="119"/>
        <w:gridCol w:w="119"/>
        <w:gridCol w:w="119"/>
        <w:gridCol w:w="231"/>
        <w:gridCol w:w="921"/>
        <w:gridCol w:w="119"/>
        <w:gridCol w:w="119"/>
        <w:gridCol w:w="119"/>
        <w:gridCol w:w="119"/>
        <w:gridCol w:w="231"/>
        <w:gridCol w:w="921"/>
        <w:gridCol w:w="119"/>
        <w:gridCol w:w="119"/>
        <w:gridCol w:w="119"/>
        <w:gridCol w:w="119"/>
        <w:gridCol w:w="310"/>
        <w:gridCol w:w="282"/>
        <w:gridCol w:w="627"/>
        <w:gridCol w:w="119"/>
        <w:gridCol w:w="119"/>
        <w:gridCol w:w="119"/>
        <w:gridCol w:w="288"/>
        <w:gridCol w:w="227"/>
        <w:gridCol w:w="630"/>
        <w:gridCol w:w="119"/>
        <w:gridCol w:w="119"/>
        <w:gridCol w:w="119"/>
        <w:gridCol w:w="425"/>
        <w:gridCol w:w="276"/>
        <w:gridCol w:w="893"/>
      </w:tblGrid>
      <w:tr>
        <w:trPr/>
        <w:tc>
          <w:tcPr>
            <w:tcW w:w="7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rFonts w:ascii="Times New Roman;sans-serif" w:hAnsi="Times New Roman;sans-serif"/>
                <w:b/>
                <w:color w:val="000000"/>
                <w:sz w:val="10"/>
              </w:rPr>
              <w:t>(1)</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146,805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135,461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w:t>
            </w:r>
            <w:r>
              <w:rPr>
                <w:color w:val="000000"/>
              </w:rPr>
              <w:t>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70,480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73,362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Interventional Technologies</w:t>
            </w:r>
            <w:r>
              <w:rPr>
                <w:rFonts w:ascii="Times New Roman;sans-serif" w:hAnsi="Times New Roman;sans-serif"/>
                <w:b w:val="false"/>
                <w:color w:val="000000"/>
                <w:sz w:val="13"/>
              </w:rPr>
              <w:t>(2)</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Hemostasis Management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113,419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91,560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23.9</w:t>
            </w:r>
            <w:r>
              <w:rPr>
                <w:color w:val="000000"/>
              </w:rPr>
              <w:t>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23.8</w:t>
            </w:r>
            <w:r>
              <w:rPr>
                <w:color w:val="000000"/>
              </w:rPr>
              <w:t> </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business unit revenues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330,704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300,383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w:t>
            </w:r>
            <w:r>
              <w:rPr>
                <w:color w:val="000000"/>
              </w:rPr>
              <w:t>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336,250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305,301</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w:t>
            </w:r>
            <w:r>
              <w:rPr>
                <w:color w:val="000000"/>
              </w:rPr>
              <w:t>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rFonts w:ascii="Times New Roman;sans-serif" w:hAnsi="Times New Roman;sans-serif"/>
                <w:b/>
                <w:color w:val="000000"/>
                <w:sz w:val="10"/>
              </w:rPr>
              <w:t>(1)</w:t>
            </w:r>
          </w:p>
        </w:tc>
      </w:tr>
      <w:tr>
        <w:trPr/>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427,315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365,735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w:t>
            </w:r>
            <w:r>
              <w:rPr>
                <w:color w:val="000000"/>
              </w:rPr>
              <w:t>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205,918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212,739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Interventional Technologies</w:t>
            </w:r>
            <w:r>
              <w:rPr>
                <w:rFonts w:ascii="Times New Roman;sans-serif" w:hAnsi="Times New Roman;sans-serif"/>
                <w:b w:val="false"/>
                <w:color w:val="000000"/>
                <w:sz w:val="13"/>
              </w:rPr>
              <w:t>(2)</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Hemostasis Management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316,170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270,909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(0.6)</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w:t>
            </w:r>
            <w:r>
              <w:rPr>
                <w:color w:val="000000"/>
              </w:rPr>
              <w:t> </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business unit revenues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949,403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849,383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w:t>
            </w:r>
            <w:r>
              <w:rPr>
                <w:color w:val="000000"/>
              </w:rPr>
              <w:t>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w:t>
            </w:r>
            <w:r>
              <w:rPr>
                <w:color w:val="000000"/>
              </w:rPr>
              <w:t> </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965,765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864,244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w:t>
            </w:r>
            <w:r>
              <w:rPr>
                <w:color w:val="000000"/>
              </w:rPr>
              <w:t> </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Constant currency growth, a non-GAAP financial measure, measures the change in revenue between the current and prior year periods using a constant currency. See “</w:t>
            </w:r>
            <w:r>
              <w:rPr>
                <w:rFonts w:ascii="Times New Roman;sans-serif" w:hAnsi="Times New Roman;sans-serif"/>
                <w:b w:val="false"/>
                <w:i/>
                <w:color w:val="000000"/>
                <w:sz w:val="16"/>
              </w:rPr>
              <w:t>Management’s Use of Non-GAAP Measures.</w:t>
            </w:r>
            <w:r>
              <w:rPr>
                <w:color w:val="000000"/>
              </w:rPr>
              <w: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Interventional Cardiology includes Vascular Closure and Sensor Guided Technologies product lines of the Hospital business unit.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(3)</w:t>
            </w:r>
            <w:r>
              <w:rPr>
                <w:rFonts w:ascii="Times New Roman;sans-serif" w:hAnsi="Times New Roman;sans-serif"/>
                <w:b w:val="false"/>
                <w:color w:val="000000"/>
                <w:sz w:val="16"/>
              </w:rPr>
              <w:t>Other includes the Cell Salvage and Transfusion Management product lines of the Hospital business unit.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Plasma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Plasma revenue</w:t>
      </w:r>
      <w:r>
        <w:rPr>
          <w:color w:val="000000"/>
        </w:rPr>
        <w:t xml:space="preserv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 xml:space="preserve">8.4% and 16.8% during the three and nine months ended December 30, 2023, respectively, as compared with the same periods of fiscal 2023. Without the effects of foreign exchange, Plasma revenue increased 8.1% and 16.7% during the three and nine months ended December 30, 2023, respectively, as compared with the same periods of fiscal 2023. </w:t>
      </w:r>
      <w:r>
        <w:rPr>
          <w:rFonts w:ascii="Times New Roman;sans-serif" w:hAnsi="Times New Roman;sans-serif"/>
          <w:b w:val="false"/>
          <w:color w:val="000000"/>
          <w:sz w:val="20"/>
        </w:rPr>
        <w:t>The increases during the three and nine months ended December 30, 2023 were primarily driven by volume and price.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2023, we amended our supply agreement with CSL, which was scheduled to expire in December 2023, to extend the term through December 2025. CSL has a minimum purchase commitment under the non-exclusive supply agreement that slightly exceeds $100.0 million in fiscal 2024, and we expect that CSL will continue to provide a meaningful contribution to our Plasma business revenue in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Blood Center</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Blood Center revenu</w:t>
      </w:r>
      <w:r>
        <w:rPr>
          <w:rFonts w:ascii="Times New Roman;sans-serif" w:hAnsi="Times New Roman;sans-serif"/>
          <w:b w:val="false"/>
          <w:color w:val="000000"/>
          <w:sz w:val="20"/>
        </w:rPr>
        <w:t>e decreased</w:t>
      </w:r>
      <w:r>
        <w:rPr>
          <w:color w:val="000000"/>
          <w:shd w:fill="FFFFFF" w:val="clear"/>
        </w:rPr>
        <w:t xml:space="preserve"> </w:t>
      </w:r>
      <w:r>
        <w:rPr>
          <w:rFonts w:ascii="Times New Roman;sans-serif" w:hAnsi="Times New Roman;sans-serif"/>
          <w:b w:val="false"/>
          <w:color w:val="000000"/>
          <w:sz w:val="20"/>
          <w:shd w:fill="FFFFFF" w:val="clear"/>
        </w:rPr>
        <w:t>3.9% and 3.2% during the three and nine months ended December 30, 2023, respectively, as compared with the same periods of fiscal 2023. Without the effects of foreign exchange, Blood Center revenue</w:t>
      </w:r>
      <w:r>
        <w:rPr>
          <w:color w:val="000000"/>
        </w:rPr>
        <w:t xml:space="preserve">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2.6% and 0.9% during the three and nine months ended December 30, 2023, respectively,</w:t>
      </w:r>
      <w:r>
        <w:rPr>
          <w:color w:val="000000"/>
        </w:rPr>
        <w:t xml:space="preserve"> </w:t>
      </w:r>
      <w:r>
        <w:rPr>
          <w:rFonts w:ascii="Times New Roman;sans-serif" w:hAnsi="Times New Roman;sans-serif"/>
          <w:b w:val="false"/>
          <w:color w:val="000000"/>
          <w:sz w:val="20"/>
          <w:shd w:fill="FFFFFF" w:val="clear"/>
        </w:rPr>
        <w:t xml:space="preserve">as compared with the same periods of fiscal 2023. </w:t>
      </w:r>
      <w:r>
        <w:rPr>
          <w:rFonts w:ascii="Times New Roman;sans-serif" w:hAnsi="Times New Roman;sans-serif"/>
          <w:b w:val="false"/>
          <w:color w:val="000000"/>
          <w:sz w:val="20"/>
        </w:rPr>
        <w:t xml:space="preserve">The decreases </w:t>
      </w:r>
      <w:r>
        <w:rPr>
          <w:rFonts w:ascii="Times New Roman;sans-serif" w:hAnsi="Times New Roman;sans-serif"/>
          <w:b w:val="false"/>
          <w:color w:val="000000"/>
          <w:sz w:val="20"/>
          <w:shd w:fill="FFFFFF" w:val="clear"/>
        </w:rPr>
        <w:t>during the three and nine months ended December 30, 2023</w:t>
      </w:r>
      <w:r>
        <w:rPr>
          <w:color w:val="000000"/>
        </w:rPr>
        <w:t xml:space="preserve"> </w:t>
      </w:r>
      <w:r>
        <w:rPr>
          <w:rFonts w:ascii="Times New Roman;sans-serif" w:hAnsi="Times New Roman;sans-serif"/>
          <w:b w:val="false"/>
          <w:color w:val="000000"/>
          <w:sz w:val="20"/>
        </w:rPr>
        <w:t>were primarily driven by declines in our Whole Blood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Hospital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Hospital revenue</w:t>
      </w:r>
      <w:r>
        <w:rPr>
          <w:color w:val="000000"/>
        </w:rPr>
        <w:t xml:space="preserv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 xml:space="preserve">23.9% and 16.7% during the three and nine months ended December 30, 2023, respectively, as compared with the same periods of fiscal 2023. Without the effects of foreign exchange, Hospital revenue increased 23.8% and 17.3% during the three and nine months ended December 30, 2023, respectively, as compared with the same periods of fiscal 2023. </w:t>
      </w:r>
      <w:r>
        <w:rPr>
          <w:rFonts w:ascii="Times New Roman;sans-serif" w:hAnsi="Times New Roman;sans-serif"/>
          <w:b w:val="false"/>
          <w:color w:val="000000"/>
          <w:sz w:val="20"/>
        </w:rPr>
        <w:t>The increases during the three and nine months ended December 30, 2023 were primarily attributable to increased Interventional Technologies and Hemostasis Management revenue, as well as moderate increases in revenue in our Transfusion Management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Gross Profit</w:t>
      </w:r>
    </w:p>
    <w:tbl>
      <w:tblPr>
        <w:tblW w:w="10205" w:type="dxa"/>
        <w:jc w:val="left"/>
        <w:tblInd w:w="0" w:type="dxa"/>
        <w:tblLayout w:type="fixed"/>
        <w:tblCellMar>
          <w:top w:w="28" w:type="dxa"/>
          <w:left w:w="28" w:type="dxa"/>
          <w:bottom w:w="28" w:type="dxa"/>
          <w:right w:w="28" w:type="dxa"/>
        </w:tblCellMar>
      </w:tblPr>
      <w:tblGrid>
        <w:gridCol w:w="452"/>
        <w:gridCol w:w="392"/>
        <w:gridCol w:w="393"/>
        <w:gridCol w:w="211"/>
        <w:gridCol w:w="826"/>
        <w:gridCol w:w="271"/>
        <w:gridCol w:w="109"/>
        <w:gridCol w:w="109"/>
        <w:gridCol w:w="109"/>
        <w:gridCol w:w="211"/>
        <w:gridCol w:w="826"/>
        <w:gridCol w:w="271"/>
        <w:gridCol w:w="109"/>
        <w:gridCol w:w="109"/>
        <w:gridCol w:w="109"/>
        <w:gridCol w:w="255"/>
        <w:gridCol w:w="256"/>
        <w:gridCol w:w="508"/>
        <w:gridCol w:w="109"/>
        <w:gridCol w:w="109"/>
        <w:gridCol w:w="109"/>
        <w:gridCol w:w="211"/>
        <w:gridCol w:w="826"/>
        <w:gridCol w:w="271"/>
        <w:gridCol w:w="109"/>
        <w:gridCol w:w="109"/>
        <w:gridCol w:w="109"/>
        <w:gridCol w:w="211"/>
        <w:gridCol w:w="826"/>
        <w:gridCol w:w="271"/>
        <w:gridCol w:w="109"/>
        <w:gridCol w:w="109"/>
        <w:gridCol w:w="109"/>
        <w:gridCol w:w="255"/>
        <w:gridCol w:w="256"/>
        <w:gridCol w:w="571"/>
      </w:tblGrid>
      <w:tr>
        <w:trPr/>
        <w:tc>
          <w:tcPr>
            <w:tcW w:w="4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r>
          </w:p>
        </w:tc>
      </w:tr>
      <w:tr>
        <w:trPr/>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increased 12.1% and 12.4% for the three and nine months ended December 30, 2023, respectively, as compared with the same periods of fiscal 2023. Without the effects of foreign exchange, gross profit increased 15.3% and 14.8% during the three and nine months ended December 30, 2023, respectively, as compared with the same periods of fiscal 2023. The increases during the three and nine months ended December 30, 2023 were primarily driven by volume, mix and price, partially offset by portfolio rationalization initiatives, continuous growth investments and higher depreciation expense.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Operating Expenses</w:t>
      </w:r>
    </w:p>
    <w:tbl>
      <w:tblPr>
        <w:tblW w:w="10339" w:type="dxa"/>
        <w:jc w:val="left"/>
        <w:tblInd w:w="0" w:type="dxa"/>
        <w:tblLayout w:type="fixed"/>
        <w:tblCellMar>
          <w:top w:w="28" w:type="dxa"/>
          <w:left w:w="28" w:type="dxa"/>
          <w:bottom w:w="28" w:type="dxa"/>
          <w:right w:w="28" w:type="dxa"/>
        </w:tblCellMar>
      </w:tblPr>
      <w:tblGrid>
        <w:gridCol w:w="534"/>
        <w:gridCol w:w="377"/>
        <w:gridCol w:w="380"/>
        <w:gridCol w:w="211"/>
        <w:gridCol w:w="826"/>
        <w:gridCol w:w="271"/>
        <w:gridCol w:w="109"/>
        <w:gridCol w:w="109"/>
        <w:gridCol w:w="109"/>
        <w:gridCol w:w="211"/>
        <w:gridCol w:w="826"/>
        <w:gridCol w:w="271"/>
        <w:gridCol w:w="109"/>
        <w:gridCol w:w="109"/>
        <w:gridCol w:w="109"/>
        <w:gridCol w:w="262"/>
        <w:gridCol w:w="264"/>
        <w:gridCol w:w="533"/>
        <w:gridCol w:w="109"/>
        <w:gridCol w:w="109"/>
        <w:gridCol w:w="109"/>
        <w:gridCol w:w="211"/>
        <w:gridCol w:w="826"/>
        <w:gridCol w:w="271"/>
        <w:gridCol w:w="109"/>
        <w:gridCol w:w="109"/>
        <w:gridCol w:w="109"/>
        <w:gridCol w:w="211"/>
        <w:gridCol w:w="826"/>
        <w:gridCol w:w="271"/>
        <w:gridCol w:w="109"/>
        <w:gridCol w:w="109"/>
        <w:gridCol w:w="109"/>
        <w:gridCol w:w="262"/>
        <w:gridCol w:w="264"/>
        <w:gridCol w:w="596"/>
      </w:tblGrid>
      <w:tr>
        <w:trPr/>
        <w:tc>
          <w:tcPr>
            <w:tcW w:w="5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br/>
              <w:t>(Decrease)</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4.5 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11.9 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18.0 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11.2 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(14.4)</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(12.4)</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n/m</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14.3 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12.6 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Research and Development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Research and development expenses increased 4.5% and 11.9% during the three and nine months ended December 30, 2023, respectively, as compared with the same periods of fiscal 2023. Without the effects of foreign exchange, research and development expenses increased</w:t>
      </w:r>
      <w:r>
        <w:rPr>
          <w:color w:val="000000"/>
          <w:shd w:fill="FFFFFF" w:val="clear"/>
        </w:rPr>
        <w:t xml:space="preserve"> </w:t>
      </w:r>
      <w:r>
        <w:rPr>
          <w:rFonts w:ascii="Times New Roman;sans-serif" w:hAnsi="Times New Roman;sans-serif"/>
          <w:b w:val="false"/>
          <w:color w:val="000000"/>
          <w:sz w:val="20"/>
          <w:shd w:fill="FFFFFF" w:val="clear"/>
        </w:rPr>
        <w:t>4.1% and 11.4% during the three and nine months ended December 30, 2023, respectively, as compared with the same periods of fiscal 2023.</w:t>
      </w:r>
      <w:r>
        <w:rPr>
          <w:color w:val="000000"/>
        </w:rPr>
        <w:t xml:space="preserve"> </w:t>
      </w:r>
      <w:r>
        <w:rPr>
          <w:rFonts w:ascii="Times New Roman;sans-serif" w:hAnsi="Times New Roman;sans-serif"/>
          <w:b w:val="false"/>
          <w:color w:val="000000"/>
          <w:sz w:val="20"/>
        </w:rPr>
        <w:t>The increases during the three and nine months ended December 30, 2023 were due to increased investments into product innovation across our product portfolio.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Selling, general and administrativ</w:t>
      </w:r>
      <w:r>
        <w:rPr>
          <w:rFonts w:ascii="Times New Roman;sans-serif" w:hAnsi="Times New Roman;sans-serif"/>
          <w:b w:val="false"/>
          <w:color w:val="000000"/>
          <w:sz w:val="20"/>
        </w:rPr>
        <w:t>e expenses increased 18.0% and 11.2% during the three and nine months ended December 30, 2023, respectively, as compared with the same periods of fiscal 2023. Without the effects of foreign exchange, selling, general, and administrative expenses increased 17.6% and 11.1% during th</w:t>
      </w:r>
      <w:r>
        <w:rPr>
          <w:rFonts w:ascii="Times New Roman;sans-serif" w:hAnsi="Times New Roman;sans-serif"/>
          <w:b w:val="false"/>
          <w:color w:val="000000"/>
          <w:sz w:val="20"/>
          <w:shd w:fill="FFFFFF" w:val="clear"/>
        </w:rPr>
        <w:t>e three and nine months ended December 30, 2023, respectively, as compared with the same periods of fiscal 2023</w:t>
      </w:r>
      <w:r>
        <w:rPr>
          <w:rFonts w:ascii="Times New Roman;sans-serif" w:hAnsi="Times New Roman;sans-serif"/>
          <w:b w:val="false"/>
          <w:color w:val="000000"/>
          <w:sz w:val="20"/>
        </w:rPr>
        <w:t>. The increases during the three and nine months ended December 30, 2023 were primarily driven by higher investments in sales and marketing, transaction costs and costs associated with the upgrade of our enterprise resource planning system, partially offset by operating leverage.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Amortization of Acquired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We recognized amortization expense related to our acquired intangible assets of $6.9 million and $21.6 million during the three and nine months ended December 30, 2023, respectively, and $8.1 million and $24.7 million during the </w:t>
      </w:r>
      <w:r>
        <w:rPr>
          <w:rFonts w:ascii="Times New Roman;sans-serif" w:hAnsi="Times New Roman;sans-serif"/>
          <w:b w:val="false"/>
          <w:color w:val="000000"/>
          <w:sz w:val="20"/>
        </w:rPr>
        <w:t>three and nine months ended December 31, 2022</w:t>
      </w:r>
      <w:r>
        <w:rPr>
          <w:rFonts w:ascii="Times New Roman;sans-serif" w:hAnsi="Times New Roman;sans-serif"/>
          <w:b w:val="false"/>
          <w:color w:val="000000"/>
          <w:sz w:val="20"/>
          <w:shd w:fill="FFFFFF" w:val="clear"/>
        </w:rPr>
        <w:t xml:space="preserve">, respectively. </w:t>
      </w:r>
      <w:r>
        <w:rPr>
          <w:rFonts w:ascii="Times New Roman;sans-serif" w:hAnsi="Times New Roman;sans-serif"/>
          <w:b w:val="false"/>
          <w:color w:val="000000"/>
          <w:sz w:val="20"/>
        </w:rPr>
        <w:t>The decreases were primarily the result of intangible assets that became fully amortized during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recognized a </w:t>
      </w:r>
      <w:r>
        <w:rPr>
          <w:rFonts w:ascii="Times New Roman;sans-serif" w:hAnsi="Times New Roman;sans-serif"/>
          <w:b w:val="false"/>
          <w:color w:val="000000"/>
          <w:sz w:val="20"/>
          <w:shd w:fill="FFFFFF" w:val="clear"/>
        </w:rPr>
        <w:t>$10.4 million</w:t>
      </w:r>
      <w:r>
        <w:rPr>
          <w:color w:val="000000"/>
        </w:rPr>
        <w:t xml:space="preserve"> </w:t>
      </w:r>
      <w:r>
        <w:rPr>
          <w:rFonts w:ascii="Times New Roman;sans-serif" w:hAnsi="Times New Roman;sans-serif"/>
          <w:b w:val="false"/>
          <w:color w:val="000000"/>
          <w:sz w:val="20"/>
        </w:rPr>
        <w:t>impairment of intan</w:t>
      </w:r>
      <w:r>
        <w:rPr>
          <w:rFonts w:ascii="Times New Roman;sans-serif" w:hAnsi="Times New Roman;sans-serif"/>
          <w:b w:val="false"/>
          <w:color w:val="000000"/>
          <w:sz w:val="20"/>
          <w:shd w:fill="FFFFFF" w:val="clear"/>
        </w:rPr>
        <w:t>gible assets in the second quarter of fiscal 2024 related to the enicor GmbH acquisition completed in fiscal 2021 within our Hospital business unit.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and Other Expense, Net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Interest and other expenses in</w:t>
      </w:r>
      <w:r>
        <w:rPr>
          <w:rFonts w:ascii="Times New Roman;sans-serif" w:hAnsi="Times New Roman;sans-serif"/>
          <w:b w:val="false"/>
          <w:color w:val="000000"/>
          <w:sz w:val="20"/>
        </w:rPr>
        <w:t>creased</w:t>
      </w:r>
      <w:r>
        <w:rPr>
          <w:color w:val="000000"/>
          <w:shd w:fill="FFFFFF" w:val="clear"/>
        </w:rPr>
        <w:t xml:space="preserve"> </w:t>
      </w:r>
      <w:r>
        <w:rPr>
          <w:rFonts w:ascii="Times New Roman;sans-serif" w:hAnsi="Times New Roman;sans-serif"/>
          <w:b w:val="false"/>
          <w:color w:val="000000"/>
          <w:sz w:val="20"/>
          <w:shd w:fill="FFFFFF" w:val="clear"/>
        </w:rPr>
        <w:t>84.7% during the three months ended December 30, 2023</w:t>
      </w:r>
      <w:r>
        <w:rPr>
          <w:color w:val="000000"/>
        </w:rPr>
        <w:t xml:space="preserve"> </w:t>
      </w:r>
      <w:r>
        <w:rPr>
          <w:rFonts w:ascii="Times New Roman;sans-serif" w:hAnsi="Times New Roman;sans-serif"/>
          <w:b w:val="false"/>
          <w:color w:val="000000"/>
          <w:sz w:val="20"/>
          <w:shd w:fill="FFFFFF" w:val="clear"/>
        </w:rPr>
        <w:t xml:space="preserve">and decreased 45.9% during the nine months ended December 30, 2023, as compared with the same periods of fiscal 2023. The increases during three months ended December 30, 2023 were driven by foreign currency impact due to market and rate volatility and higher interest incurred on our term loan, partially offset by interest income on investments due to higher interest rates. </w:t>
      </w:r>
      <w:r>
        <w:rPr>
          <w:rFonts w:ascii="Times New Roman;sans-serif" w:hAnsi="Times New Roman;sans-serif"/>
          <w:b w:val="false"/>
          <w:color w:val="000000"/>
          <w:sz w:val="20"/>
        </w:rPr>
        <w:t>The decreases during the nine months ended December 30, 2023 were primarily driven by increased interest income on investments due to higher interest rates and foreign currency impact due to market and rate volatility, partially offset by higher interest incurred on our term loan.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transaction costs.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December 30, 2023, the Company reported income tax expense of $12.8 million and $31.3 million, respectively, representing effective tax rates of 29.0% and 24.3%, respectively. The effective tax rate for the nine months ended December 30, 2023 includes $1.1 million of discrete tax benefit, of which $2.6 million relates to stock compensation windfalls, partially offset by other discrete items.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December 31, 2022, the Company reported income tax expense of $9.3 million and $22.8 million, respectively, representing effective tax rates of 22.0% and 20.9%, respectively. The effective tax rate for the three months ended December 31, 2022 includes $0.1 million of discrete tax expense relating to stock compensation shortfalls. The effective tax rate for the nine months ended December 31, 2022 includes a discrete tax benefit of $0.5 million related to tax rate changes enacted in the period and $0.4 million of discrete tax expense relating to stock compensation shortfalls.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the reported tax rates for the three and nine months ended December 30, 2023, compared to the same periods in fiscal 2023, relates primarily to unfavorable changes in the jurisdictional mix of earnings, research tax credits generated and non-deductible acquisition-related expenses, partially offset by discrete tax benefits from stock compensation windfall deductions.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contains certain key performance indicators we believe depict our liquidity and cash flow position:</w:t>
      </w:r>
    </w:p>
    <w:tbl>
      <w:tblPr>
        <w:tblW w:w="5660" w:type="dxa"/>
        <w:jc w:val="left"/>
        <w:tblInd w:w="0" w:type="dxa"/>
        <w:tblLayout w:type="fixed"/>
        <w:tblCellMar>
          <w:top w:w="28" w:type="dxa"/>
          <w:left w:w="28" w:type="dxa"/>
          <w:bottom w:w="28" w:type="dxa"/>
          <w:right w:w="28" w:type="dxa"/>
        </w:tblCellMar>
      </w:tblPr>
      <w:tblGrid>
        <w:gridCol w:w="912"/>
        <w:gridCol w:w="802"/>
        <w:gridCol w:w="805"/>
        <w:gridCol w:w="109"/>
        <w:gridCol w:w="109"/>
        <w:gridCol w:w="109"/>
        <w:gridCol w:w="211"/>
        <w:gridCol w:w="901"/>
        <w:gridCol w:w="109"/>
        <w:gridCol w:w="109"/>
        <w:gridCol w:w="109"/>
        <w:gridCol w:w="109"/>
        <w:gridCol w:w="211"/>
        <w:gridCol w:w="90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debt position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sales outstanding (DSO)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turnover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Net debt position is the sum of cash and cash equivalents less total debt.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sources of liquidity are cash and cash equivalents, internally generated cash flow from operations and our revolving credit facility. We believe these sources are sufficient to fund our cash requirements over at least the next twelve months. Our expected cash outlays relate primarily to acquisitions, investments, capital expenditures, including enhancements to our North American manufacturing facilities, share repurchases, portfolio rationalization initiatives and cash principal and interest payments under our revised credit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$500.0 million aggregate principal amount of 0% convertible senior notes due in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0.5% as of December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30, 2023, we had $194.0 million in cash and cash equivalents, the majority of which is held in the U.S. or in countries from which it can be repatriated to the U.S. On July 26, 2022, we entered into an amended and restated credit agreement with certain lenders to refinance our prior credit agreement entered into on June 15, 2018, which consisted of a $350.0 million term loan and a $350.0 million revolving credit facility (together, as amended from time to time, the “2018 Credit Facilities”), and extend the maturity date through June 2025. Our Revised Credit Facilities include a $280.0 million senior unsecured term loan, the proceeds of which have been used to retire the balance of the term loan under the 2018 Credit Facilities, and a $420.0 million senior unsecured revolving credit facility.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As of December 30, 2023, $266.0 million was outstanding under the term loan with an effective interest rate of 6.8%. </w:t>
      </w:r>
      <w:r>
        <w:rPr>
          <w:rFonts w:ascii="Times New Roman;sans-serif" w:hAnsi="Times New Roman;sans-serif"/>
          <w:b w:val="false"/>
          <w:color w:val="000000"/>
          <w:sz w:val="20"/>
        </w:rPr>
        <w:t xml:space="preserve">During the third quarter of fiscal 2024 in connection with the acquisition of OpSens, the Company borrowed $110.0 million under the revolving credit facility, </w:t>
      </w:r>
      <w:r>
        <w:rPr>
          <w:rFonts w:ascii="Times New Roman;sans-serif" w:hAnsi="Times New Roman;sans-serif"/>
          <w:b w:val="false"/>
          <w:color w:val="000000"/>
          <w:sz w:val="20"/>
          <w:shd w:fill="FFFFFF" w:val="clear"/>
        </w:rPr>
        <w:t>with an effective interest rate of 6.7%</w:t>
      </w:r>
      <w:r>
        <w:rPr>
          <w:rFonts w:ascii="Times New Roman;sans-serif" w:hAnsi="Times New Roman;sans-serif"/>
          <w:b w:val="false"/>
          <w:color w:val="000000"/>
          <w:sz w:val="20"/>
        </w:rPr>
        <w:t>, which remains outstanding as of December 30, 2023.</w:t>
      </w:r>
      <w:r>
        <w:rPr>
          <w:color w:val="000000"/>
          <w:shd w:fill="FFFFFF" w:val="clear"/>
        </w:rPr>
        <w:t xml:space="preserve"> </w:t>
      </w:r>
      <w:r>
        <w:rPr>
          <w:rFonts w:ascii="Times New Roman;sans-serif" w:hAnsi="Times New Roman;sans-serif"/>
          <w:b w:val="false"/>
          <w:color w:val="000000"/>
          <w:sz w:val="20"/>
          <w:shd w:fill="FFFFFF" w:val="clear"/>
        </w:rPr>
        <w:t xml:space="preserve">We also had $20.1 million of uncommitted operating lines of credit to fund our global operations under which there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outstanding borrowings as of December 30, 2023. Additionally, the Company was in compliance with the leverage and interest coverage ratios specified in the credit agreement as well as all other bank covenants as of December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scheduled principal payments of $3.5 million required during the remainder of fiscal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fiscal 2022, our Board of Directors approved a revised Operational Excellence Program. We estimate that we will incur aggregate charges between $95 million and $105 million in connection with the Operational Excellence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and nine months ended December 30, 2023, we incurred $2.6 million and $6.8 million, respectively, of restructuring and restructuring related costs under this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Cash Flows</w:t>
      </w:r>
    </w:p>
    <w:tbl>
      <w:tblPr>
        <w:tblW w:w="8459" w:type="dxa"/>
        <w:jc w:val="left"/>
        <w:tblInd w:w="0" w:type="dxa"/>
        <w:tblLayout w:type="fixed"/>
        <w:tblCellMar>
          <w:top w:w="28" w:type="dxa"/>
          <w:left w:w="28" w:type="dxa"/>
          <w:bottom w:w="28" w:type="dxa"/>
          <w:right w:w="28" w:type="dxa"/>
        </w:tblCellMar>
      </w:tblPr>
      <w:tblGrid>
        <w:gridCol w:w="1902"/>
        <w:gridCol w:w="1671"/>
        <w:gridCol w:w="1677"/>
        <w:gridCol w:w="109"/>
        <w:gridCol w:w="109"/>
        <w:gridCol w:w="109"/>
        <w:gridCol w:w="211"/>
        <w:gridCol w:w="826"/>
        <w:gridCol w:w="109"/>
        <w:gridCol w:w="109"/>
        <w:gridCol w:w="109"/>
        <w:gridCol w:w="109"/>
        <w:gridCol w:w="211"/>
        <w:gridCol w:w="826"/>
        <w:gridCol w:w="109"/>
        <w:gridCol w:w="109"/>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 of exchange rate changes on cash and cash equivalents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by $75.8 million during the nine months ended December 30, 2023, as compared with the nine months ended December 31, 2022. The decrease in cash provided by operating activities was primarily the result of an increase in inventory due to replenishment of NexSys devices and decreases in accounts payable and accrued expenses, partially offset by an increase in net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by $183.6 million during the nine months ended December 30, 2023, as compared with the nine months ended December 31, 2022. The increase in cash used in investing activities was primarily the result of the acquisition of OpSens, partially offset by lower capital expenditures driven by NexSys PCS device placements that occurred during fiscal 2023 and decreased cash outflows for other investments compared to the nine months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by $200.4 million during the nine months ended December 30, 2023, as compared with the nine months ended December 31, 2022, primarily due to the borrowing under the revolving credit facility during the third quarter of fiscal 2024 in connection with the OpSens acquisition, as well as the share repurchases and higher contingent consideration payments in fiscal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Concentration of Credit Risk</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continue to monitor inflationary pressures generally and raw materials indices that may affect our procurement and production costs. Increases in the price of petroleum derivatives could result in corresponding increases in our costs to procure plastic raw materials.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Foreign Exchange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and nine months ended December 30, 2023, 25.4% and 25.0%,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 and Mexican Peso.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Standards to be Implemented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Codification (“ASC”) Update No. 2023-07, Segment Reporting (Topic 280). The new guidance requires public entities to provide expanded disclosures over significant segment expenses and additional disclosures related to the chief operating decision maker. ASC Update No. 2023-07 is effective for fiscal years beginning after December 15, 2023 and interim periods within fiscal years beginning after December 15, 2024, with early adoption permitted. The new guidance is applicable to Haemonetics beginning with the fiscal 2025 Annual Report on Form 10-K. The Company is currently evaluating the impact to its interim and annual report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ASC Update No. 2023-09, Income Taxes (Topic 740). ASC Update No. 2023-09 requires public entities to provide detailed income tax disclosures, including rate reconciliations and disaggregated income tax payment information, on an annual basis. The updated guidance is effective for fiscal years beginning after December 15, 2024 and early adoption is permitted. ASC Update No. 2023-09 is applicable to Haemonetics beginning with the fiscal 2026 Annual Report on Form 10-K and the Company is currently evaluating the impact to its annual report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Statement Regarding Forward-Looking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w:t>
      </w:r>
      <w:r>
        <w:rPr>
          <w:color w:val="212121"/>
          <w:shd w:fill="FFFFFF" w:val="clear"/>
        </w:rPr>
        <w:t> </w:t>
      </w:r>
      <w:r>
        <w:rPr>
          <w:rFonts w:ascii="Times New Roman;sans-serif" w:hAnsi="Times New Roman;sans-serif"/>
          <w:b w:val="false"/>
          <w:color w:val="000000"/>
          <w:sz w:val="20"/>
          <w:shd w:fill="FFFFFF" w:val="clear"/>
        </w:rPr>
        <w:t>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and market position and expenditures.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Because forward-looking statements are based on current beliefs, expectations and assumptions regarding future events, they are subject to uncertainties, risks and changes that are difficult to predict and many of which are outside of the Company</w:t>
      </w:r>
      <w:r>
        <w:rPr>
          <w:color w:val="000000"/>
        </w:rPr>
        <w:t>’</w:t>
      </w:r>
      <w:r>
        <w:rPr>
          <w:rFonts w:ascii="Times New Roman;sans-serif" w:hAnsi="Times New Roman;sans-serif"/>
          <w:b w:val="false"/>
          <w:color w:val="000000"/>
          <w:sz w:val="20"/>
          <w:shd w:fill="FFFFFF" w:val="clear"/>
        </w:rPr>
        <w:t xml:space="p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achieve our long-term strategic and financial-improvement goals;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Demand for and market acceptance risks for new and existing products, including material reductions in purchasing from or loss of a significant customer;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Product quality or safety concerns, leading to product recalls, withdrawals, regulatory action by the FDA (or similar non-U.S. regulatory agencies), reputational damage, declining sales or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Security breaches of our information technology systems or our products, which could impair our ability to conduct business or compromise sensitive information of the Company or its customers, suppliers and other business partners, or of customers’ patients;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Pricing pressures resulting from trends toward healthcare cost containment, including the continued consolidation among healthcare providers and other market participants;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obtain the anticipated benefits of restructuring programs that we have or may undertake, including the Operational Excellence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that the expected strategic benefits and opportunities from the Company’s acquisition of OpSens and any other planned or completed acquisitions, divestitures or other strategic investments by the Company may not be realized or may take longer to realize than expected;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impact of enhanced requirements to obtain regulatory approval in the U.S. and around the world and the associated timing and cost of product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U.S. and foreign export and import restrictions and tariffs;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meet our debt obligations and raise additional capital when desired on terms reasonably acceptable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impact of our convertible senior notes and related capped call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Geopolitical and economic conditions in China, Russia and other foreign jurisdictions where we do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execute and realize anticipated benefits from our investments in emerging economies;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effect of foreign currency fluctuations and interest rate fluctuations on our net sales, expenses and resulting margins;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impact of changes in U.S. and international tax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protect intellectual property and the outcome of patent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Costs and risks associated with product liability and other litigation claims we may be subject to now or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impact of actual or threatened public health emergencies;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retain and attract key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Market conditions impacting our stock price and/or our share repurchase program, and the possibility that such share repurchase program may be delayed, suspended or discontinued;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achieve against our corporate responsibility initiatives and meet evolving stakeholder expectations concerning corporate responsibility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Investors should understand that it is not possible to predict or identify all such factors and should not consider the risks described above and in Item 1A. Risk Factors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exposures relative to market risk are due to foreign exchange risk and 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Exchange Risk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w:t>
      </w:r>
      <w:r>
        <w:rPr>
          <w:rFonts w:ascii="Times New Roman;sans-serif" w:hAnsi="Times New Roman;sans-serif"/>
          <w:b w:val="false"/>
          <w:color w:val="000000"/>
          <w:sz w:val="20"/>
          <w:shd w:fill="FFFFFF" w:val="clear"/>
        </w:rPr>
        <w:t xml:space="preserve">t use the financial instruments for speculative or trading activities.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We estimate the change in the fair value of all forward con</w:t>
      </w:r>
      <w:r>
        <w:rPr>
          <w:rFonts w:ascii="Times New Roman;sans-serif" w:hAnsi="Times New Roman;sans-serif"/>
          <w:b w:val="false"/>
          <w:color w:val="000000"/>
          <w:sz w:val="20"/>
        </w:rPr>
        <w:t>tracts assuming both a 10% strengthening and weakening of the U.S. Dollar relative to all other major cu</w:t>
      </w:r>
      <w:r>
        <w:rPr>
          <w:rFonts w:ascii="Times New Roman;sans-serif" w:hAnsi="Times New Roman;sans-serif"/>
          <w:b w:val="false"/>
          <w:color w:val="000000"/>
          <w:sz w:val="20"/>
          <w:shd w:fill="FFFFFF" w:val="clear"/>
        </w:rPr>
        <w:t xml:space="preserve">rrencies. As of December 30, 2023, in the event of a 10% strengthening of the U.S. Dollar, the change in fair value of all forward contracts would result in a </w:t>
      </w:r>
      <w:r>
        <w:rPr>
          <w:rFonts w:ascii="Times New Roman;sans-serif" w:hAnsi="Times New Roman;sans-serif"/>
          <w:b w:val="false"/>
          <w:color w:val="000000"/>
          <w:sz w:val="20"/>
        </w:rPr>
        <w:t xml:space="preserve">$2.2 million increase in the fair value of the forward contracts, whereas a 10% weakening of the U.S. Dollar would result in a $2.7 million </w:t>
      </w:r>
      <w:r>
        <w:rPr>
          <w:rFonts w:ascii="Times New Roman;sans-serif" w:hAnsi="Times New Roman;sans-serif"/>
          <w:b w:val="false"/>
          <w:color w:val="000000"/>
          <w:sz w:val="20"/>
          <w:shd w:fill="FFFFFF" w:val="clear"/>
        </w:rPr>
        <w:t>decr</w:t>
      </w:r>
      <w:r>
        <w:rPr>
          <w:rFonts w:ascii="Times New Roman;sans-serif" w:hAnsi="Times New Roman;sans-serif"/>
          <w:b w:val="false"/>
          <w:color w:val="000000"/>
          <w:sz w:val="20"/>
        </w:rPr>
        <w:t>ease in the fair value of the forward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Our exposure to changes in interest rates is associated with borrowings under our credit facilities, all of which is variable rate debt. Total outstanding debt under our term loan as of December 30, 2023 was $266.0 million with an effective interest rate of 6.8% based on prevailing Term SOFR rates. An increase of 100 basis points in Term SOFR rates would result in additional annual interest expense of </w:t>
      </w:r>
      <w:r>
        <w:rPr>
          <w:rFonts w:ascii="Times New Roman;sans-serif" w:hAnsi="Times New Roman;sans-serif"/>
          <w:b w:val="false"/>
          <w:color w:val="000000"/>
          <w:sz w:val="20"/>
        </w:rPr>
        <w:t>$0.5 million</w:t>
      </w:r>
      <w:r>
        <w:rPr>
          <w:rFonts w:ascii="Times New Roman;sans-serif" w:hAnsi="Times New Roman;sans-serif"/>
          <w:b w:val="false"/>
          <w:color w:val="000000"/>
          <w:sz w:val="20"/>
          <w:shd w:fill="FFFFFF" w:val="clear"/>
        </w:rPr>
        <w:t xml:space="preserve">. In addition, as of December 30, 2023, there was </w:t>
      </w:r>
      <w:r>
        <w:rPr>
          <w:rFonts w:ascii="Times New Roman;sans-serif" w:hAnsi="Times New Roman;sans-serif"/>
          <w:b w:val="false"/>
          <w:color w:val="000000"/>
          <w:sz w:val="20"/>
        </w:rPr>
        <w:t>$110.0 million</w:t>
      </w:r>
      <w:r>
        <w:rPr>
          <w:color w:val="000000"/>
          <w:shd w:fill="FFFFFF" w:val="clear"/>
        </w:rPr>
        <w:t xml:space="preserve"> </w:t>
      </w:r>
      <w:r>
        <w:rPr>
          <w:rFonts w:ascii="Times New Roman;sans-serif" w:hAnsi="Times New Roman;sans-serif"/>
          <w:b w:val="false"/>
          <w:color w:val="000000"/>
          <w:sz w:val="20"/>
          <w:shd w:fill="FFFFFF" w:val="clear"/>
        </w:rPr>
        <w:t>outstanding on our revolving credit facility with an effective interest rate of 6.7%, also based on prevailing Term SOFR Rates. As of December 30, 2023</w:t>
      </w:r>
      <w:r>
        <w:rPr>
          <w:rFonts w:ascii="Times New Roman;sans-serif" w:hAnsi="Times New Roman;sans-serif"/>
          <w:b w:val="false"/>
          <w:color w:val="000000"/>
          <w:sz w:val="20"/>
        </w:rPr>
        <w:t xml:space="preserve">, the notional amount </w:t>
      </w:r>
      <w:r>
        <w:rPr>
          <w:rFonts w:ascii="Times New Roman;sans-serif" w:hAnsi="Times New Roman;sans-serif"/>
          <w:b w:val="false"/>
          <w:color w:val="000000"/>
          <w:sz w:val="20"/>
          <w:shd w:fill="FFFFFF" w:val="clear"/>
        </w:rPr>
        <w:t>on our two active in</w:t>
      </w:r>
      <w:r>
        <w:rPr>
          <w:rFonts w:ascii="Times New Roman;sans-serif" w:hAnsi="Times New Roman;sans-serif"/>
          <w:b w:val="false"/>
          <w:color w:val="000000"/>
          <w:sz w:val="20"/>
        </w:rPr>
        <w:t xml:space="preserve">terest rate swap agreements to effectively convert borrowings under our Credit Facilities from a variable rate to a fixed rate were $214.2 million. </w:t>
      </w:r>
      <w:r>
        <w:rPr>
          <w:rFonts w:ascii="Times New Roman;sans-serif" w:hAnsi="Times New Roman;sans-serif"/>
          <w:b w:val="false"/>
          <w:color w:val="000000"/>
          <w:sz w:val="20"/>
          <w:shd w:fill="FFFFFF" w:val="clear"/>
        </w:rPr>
        <w:t>These interest rate swaps are intended to mitigate the exposure to fluctuations in interest rates and qualify for hedge accounting treatment as cash flow hedges.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conducted an evaluation, as of December 30, 2023,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w:t>
      </w:r>
      <w:r>
        <w:rPr>
          <w:rFonts w:ascii="Times New Roman;sans-serif" w:hAnsi="Times New Roman;sans-serif"/>
          <w:b w:val="false"/>
          <w:color w:val="000000"/>
          <w:sz w:val="20"/>
          <w:shd w:fill="FFFFFF" w:val="clear"/>
        </w:rPr>
        <w:t xml:space="preserve">cer concluded that our disclosure controls and procedures were effective as of December 30, 2023.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changes in our internal control over financial reporting during the three months ended December 30, 2023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second quarter of fiscal 2024, we implemented the first phase of a new global enterprise resource planning (“ERP”) system, which will continue to be implemented in phases through fiscal 2025. The ERP will replace existing financial systems we have historically relied on. As each phase of the implementation occurs, we will reassess our processes and procedures, which may result in changes to our internal control over financial reporting.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Information with respect to this Item may be found in Note 14,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the Unaudited Condensed Consolidated Financial Statements in this Quarterly Report on Form 10-Q,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changes from the Risk Factors previously disclosed in our Annual Report on Form 10-K for the fiscal year ended April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30, 2023, certain of our directors and officers (as defined under Rule 16a-1(f) under the Securities Exchange Act of 1934) adopted or terminated trading arrangements for the sale of shares of our common stock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6"/>
        <w:gridCol w:w="411"/>
        <w:gridCol w:w="414"/>
        <w:gridCol w:w="122"/>
        <w:gridCol w:w="122"/>
        <w:gridCol w:w="122"/>
        <w:gridCol w:w="330"/>
        <w:gridCol w:w="330"/>
        <w:gridCol w:w="334"/>
        <w:gridCol w:w="122"/>
        <w:gridCol w:w="122"/>
        <w:gridCol w:w="122"/>
        <w:gridCol w:w="239"/>
        <w:gridCol w:w="239"/>
        <w:gridCol w:w="241"/>
        <w:gridCol w:w="122"/>
        <w:gridCol w:w="122"/>
        <w:gridCol w:w="122"/>
        <w:gridCol w:w="288"/>
        <w:gridCol w:w="288"/>
        <w:gridCol w:w="218"/>
        <w:gridCol w:w="172"/>
        <w:gridCol w:w="172"/>
        <w:gridCol w:w="172"/>
        <w:gridCol w:w="392"/>
        <w:gridCol w:w="392"/>
        <w:gridCol w:w="406"/>
        <w:gridCol w:w="122"/>
        <w:gridCol w:w="122"/>
        <w:gridCol w:w="122"/>
        <w:gridCol w:w="430"/>
        <w:gridCol w:w="430"/>
        <w:gridCol w:w="432"/>
        <w:gridCol w:w="122"/>
        <w:gridCol w:w="122"/>
        <w:gridCol w:w="122"/>
        <w:gridCol w:w="392"/>
        <w:gridCol w:w="392"/>
        <w:gridCol w:w="575"/>
      </w:tblGrid>
      <w:tr>
        <w:trPr/>
        <w:tc>
          <w:tcPr>
            <w:tcW w:w="6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Arrangement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Date</w:t>
            </w:r>
            <w:r>
              <w:rPr>
                <w:rFonts w:ascii="Times New Roman;sans-serif" w:hAnsi="Times New Roman;sans-serif"/>
                <w:b/>
                <w:color w:val="000000"/>
                <w:sz w:val="13"/>
              </w:rPr>
              <w:t>(1)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Number of Shares to be Sold</w:t>
            </w:r>
            <w:r>
              <w:rPr>
                <w:rFonts w:ascii="Times New Roman;sans-serif" w:hAnsi="Times New Roman;sans-serif"/>
                <w:b/>
                <w:color w:val="000000"/>
                <w:sz w:val="13"/>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Expiration Date</w:t>
            </w:r>
            <w:r>
              <w:rPr>
                <w:rFonts w:ascii="Times New Roman;sans-serif" w:hAnsi="Times New Roman;sans-serif"/>
                <w:b/>
                <w:color w:val="000000"/>
                <w:sz w:val="13"/>
              </w:rPr>
              <w:t>(3)</w:t>
            </w:r>
          </w:p>
        </w:tc>
      </w:tr>
      <w:tr>
        <w:trPr/>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Michelle L. Basil, EVP, General Counsel</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12/14/2023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17,567</w:t>
            </w:r>
            <w:r>
              <w:rPr>
                <w:rFonts w:ascii="Times New Roman;sans-serif" w:hAnsi="Times New Roman;sans-serif"/>
                <w:b w:val="false"/>
                <w:color w:val="000000"/>
                <w:sz w:val="13"/>
              </w:rPr>
              <w:t>(4)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8/15/2024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Intended to satisfy the affirmative defense conditions of Rule 10b5-1(c) under the Securities Exchange Act of 1934.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Not intended to satisfy the affirmative defense conditions of Rule 10b5-1(c) under the Securities Exchange Act of 1934.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Reflects the fully-executed date of each trading arrangement, which may differ from the date of first execution by an officer or director. </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number of shares of common stock sold under each trading arrangement, if any, will be net of shares withheld for applicable tax obligations upon the vesting and/or exercise of covered securities as well as for payment of the exercise price upon the exercise of stock options, which amounts are not yet determinable.</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Except as otherwise indicated by footnote, each trading arrangement expires upon the earlier of (a) completion of all authorized transactions thereunder and (b) the expiration date listed above. </w:t>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Includes 12,374 shares subject to a performance share unit (“PSU”) award previously granted to Ms. Basil on May 18, 2021. The actual number of shares to be earned under the PSU award, and subject to sale under this trading arrangement, may range from 0% to a maximum of 200% of the target award depending upon the Company’s total shareholder return relative to the components of the S&amp;P MidCap 400 index during a three-year performance period from May 18, 2021 to May 17, 2024.</w:t>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8"/>
        <w:gridCol w:w="166"/>
        <w:gridCol w:w="170"/>
        <w:gridCol w:w="2950"/>
        <w:gridCol w:w="2785"/>
        <w:gridCol w:w="3946"/>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3"/>
            <w:tcBorders/>
            <w:vAlign w:val="center"/>
          </w:tcPr>
          <w:p>
            <w:pPr>
              <w:pStyle w:val="TableContents"/>
              <w:bidi w:val="0"/>
              <w:spacing w:before="0" w:after="283"/>
              <w:jc w:val="left"/>
              <w:rPr>
                <w:sz w:val="4"/>
                <w:szCs w:val="4"/>
              </w:rPr>
            </w:pPr>
            <w:r>
              <w:rPr>
                <w:sz w:val="4"/>
                <w:szCs w:val="4"/>
              </w:rPr>
            </w:r>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3"/>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Articles of Organization of the Company, reflecting Articles of Amendment dated August 23, 1993, August 21, 2006, July 26, 2018 and July 25, 2019 (filed as Exhibit 3.1 to the Company’s Form 8-K dated July 29, 2019 and incorporated herein by reference).</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the Company, as amended through June 29, 2020 (filed as Exhibit 3.1 to the Company’s Form 8-K dated June 30, 2020 and incorporated herein by reference).</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10.1</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Arrangement Agreement, dated as of October 10, 2023, by and among the Company, OpSens Inc. and 9500-7704 Quebec Inc. (filed as Exhibit 2.1 to the Company’s Form 8-K/A dated October 12, 2023 and incorporated herein by reference) (1).</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10.2</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Voting and Support Agreement (filed as Exhibit 10.1 to the Company’s Form 8-K/A dated October 12, 2023 and incorporated herein by reference) (1).</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haefy24q310xq.htm">
              <w:r>
                <w:rPr>
                  <w:rStyle w:val="InternetLink"/>
                  <w:rFonts w:ascii="Times New Roman;sans-serif" w:hAnsi="Times New Roman;sans-serif"/>
                  <w:b w:val="false"/>
                  <w:color w:val="0000FF"/>
                  <w:sz w:val="20"/>
                  <w:u w:val="single"/>
                </w:rPr>
                <w:t>10.3*</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to Lease dated February 21, 2000, made as of December 13, 2023, by and between Santa Maria Industrial Partners, L.P. (as successor to the lease), Haemonetics Mexico Manufacturing, S. de R.L. de C.V. and the Company, in its capacity as guarantor, for property located in Tijuana, Mexico (1).</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4-haefy24q310xq.htm">
              <w:r>
                <w:rPr>
                  <w:rStyle w:val="InternetLink"/>
                  <w:rFonts w:ascii="Times New Roman;sans-serif" w:hAnsi="Times New Roman;sans-serif"/>
                  <w:b w:val="false"/>
                  <w:color w:val="0000FF"/>
                  <w:sz w:val="20"/>
                  <w:u w:val="single"/>
                </w:rPr>
                <w:t>10.4*</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 Agreement, dated as of December 18, 2018, by and between OPG 125 Summer Owner (DE) LLC and the Company (1).</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3dec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Act of 2002, of Christopher A. Simon, President and Chief Executive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3dec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of 2002, of James C. D'Arecca, Executive Vice President, Chief Financial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3dec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Christopher A. Simon, President and Chief Executive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3dec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James C. D'Arecca, Executive Vice President, Chief Financial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Haemonetics Corporation on Form 10-Q for the quarter ended July 2, 2022 formatted in inline Extensible Business Reporting Language (XBRL) includes: (i) Condensed Consolidated Statements of Income and Comprehensive Income, (ii) Condensed Consolidated Balance Sheets, (iii) Condensed Consolidated Statement of Stockholders' Equity, (iv) Condensed Consolidated Statements of Cash Flows, and (v) Notes to Condensed Consolidated Financial Statements.</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contained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0"/>
        <w:gridCol w:w="2715"/>
        <w:gridCol w:w="3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 filed with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 furnished with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portions of this exhibit are considered confidential and have been omitted as permitted under SEC rules and regulations. The Company agrees to furnish supplementally a copy of any omitted portions to the U.S. Securities and Exchange Commission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3b923a294794ac188953d5a23bec63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000" w:type="dxa"/>
        <w:jc w:val="left"/>
        <w:tblInd w:w="0" w:type="dxa"/>
        <w:tblLayout w:type="fixed"/>
        <w:tblCellMar>
          <w:top w:w="28" w:type="dxa"/>
          <w:left w:w="28" w:type="dxa"/>
          <w:bottom w:w="28" w:type="dxa"/>
          <w:right w:w="28" w:type="dxa"/>
        </w:tblCellMar>
      </w:tblPr>
      <w:tblGrid>
        <w:gridCol w:w="542"/>
        <w:gridCol w:w="478"/>
        <w:gridCol w:w="480"/>
        <w:gridCol w:w="481"/>
        <w:gridCol w:w="481"/>
        <w:gridCol w:w="481"/>
        <w:gridCol w:w="1885"/>
        <w:gridCol w:w="1885"/>
        <w:gridCol w:w="1915"/>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8, 2024</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8, 2024</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CERTAIN INFORMATION HAS BEEN OMITTED FROM THIS DOCUMENT BECAUSE IT IS NOT MATERIAL, IS THE TYPE THAT HAEMONETICS CORPORATION TREATS AS CONFIDENTIAL AND WOULD BE COMPETITIVELY HARMFUL IF PUBLICLY DISCLOSED. OMISSIONS ARE MARKED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br/>
        <w:t>Exhibit 10.3</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738"/>
        <w:gridCol w:w="1529"/>
        <w:gridCol w:w="1531"/>
        <w:gridCol w:w="109"/>
        <w:gridCol w:w="109"/>
        <w:gridCol w:w="109"/>
        <w:gridCol w:w="1486"/>
        <w:gridCol w:w="1486"/>
        <w:gridCol w:w="2108"/>
      </w:tblGrid>
      <w:tr>
        <w:trPr/>
        <w:tc>
          <w:tcPr>
            <w:tcW w:w="173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SIXTH AMENDMENT TO LEASE AGREEMENT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2"/>
              </w:rPr>
              <w:t>THIS SIXTH AMENDMENT TO LEASE AGREEMENT</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Amendment Agreement</w:t>
            </w:r>
            <w:r>
              <w:rPr>
                <w:color w:val="000000"/>
              </w:rPr>
              <w:t>”</w:t>
            </w:r>
            <w:r>
              <w:rPr>
                <w:rFonts w:ascii="Times New Roman;sans-serif" w:hAnsi="Times New Roman;sans-serif"/>
                <w:b w:val="false"/>
                <w:color w:val="000000"/>
                <w:sz w:val="22"/>
              </w:rPr>
              <w:t xml:space="preserve">) is made as of this 13 day of December, 2023, by and between </w:t>
            </w:r>
            <w:r>
              <w:rPr>
                <w:rFonts w:ascii="Times New Roman;sans-serif" w:hAnsi="Times New Roman;sans-serif"/>
                <w:b/>
                <w:color w:val="000000"/>
                <w:sz w:val="22"/>
              </w:rPr>
              <w:t>SANTA MARIA INDUSTRIAL PARTNERS, L.P.</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Landlord</w:t>
            </w:r>
            <w:r>
              <w:rPr>
                <w:color w:val="000000"/>
              </w:rPr>
              <w:t>”</w:t>
            </w:r>
            <w:r>
              <w:rPr>
                <w:rFonts w:ascii="Times New Roman;sans-serif" w:hAnsi="Times New Roman;sans-serif"/>
                <w:b w:val="false"/>
                <w:color w:val="000000"/>
                <w:sz w:val="22"/>
              </w:rPr>
              <w:t>), represented herein by Marcelo Durán Roux, as its legal representative,</w:t>
            </w:r>
            <w:r>
              <w:rPr>
                <w:color w:val="000000"/>
              </w:rPr>
              <w:t xml:space="preserve"> </w:t>
            </w:r>
            <w:r>
              <w:rPr>
                <w:rFonts w:ascii="Times New Roman;sans-serif" w:hAnsi="Times New Roman;sans-serif"/>
                <w:b/>
                <w:color w:val="000000"/>
                <w:sz w:val="22"/>
              </w:rPr>
              <w:t xml:space="preserve">HAEMONETICS MÉXICO MANUFACTURING, S. DE R.L. C.V.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Tenant</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represented herein by James D’Arecca &amp; Josep Llorens, as its legal representatives, and </w:t>
            </w:r>
            <w:r>
              <w:rPr>
                <w:rFonts w:ascii="Times New Roman;sans-serif" w:hAnsi="Times New Roman;sans-serif"/>
                <w:b/>
                <w:color w:val="000000"/>
                <w:sz w:val="22"/>
              </w:rPr>
              <w:t xml:space="preserve">HAEMONETICS CORPORATION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Guarantor</w:t>
            </w:r>
            <w:r>
              <w:rPr>
                <w:color w:val="000000"/>
              </w:rPr>
              <w:t>”</w:t>
            </w:r>
            <w:r>
              <w:rPr>
                <w:rFonts w:ascii="Times New Roman;sans-serif" w:hAnsi="Times New Roman;sans-serif"/>
                <w:b w:val="false"/>
                <w:color w:val="000000"/>
                <w:sz w:val="22"/>
              </w:rPr>
              <w:t>), represented herein by James D’Arecca, as its legal representative. Landlord and Tenant hereinafter referred to collectively as the “</w:t>
            </w:r>
            <w:r>
              <w:rPr>
                <w:rFonts w:ascii="Times New Roman;sans-serif" w:hAnsi="Times New Roman;sans-serif"/>
                <w:b w:val="false"/>
                <w:color w:val="000000"/>
                <w:sz w:val="22"/>
                <w:u w:val="single"/>
              </w:rPr>
              <w:t>Parties</w:t>
            </w:r>
            <w:r>
              <w:rPr>
                <w:color w:val="000000"/>
              </w:rPr>
              <w:t>”</w:t>
            </w:r>
            <w:r>
              <w:rPr>
                <w:rFonts w:ascii="Times New Roman;sans-serif" w:hAnsi="Times New Roman;sans-serif"/>
                <w:b w:val="false"/>
                <w:color w:val="000000"/>
                <w:sz w:val="22"/>
              </w:rPr>
              <w:t>.</w:t>
            </w:r>
          </w:p>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SEXTO CONVENIO MODIFICATORIO AL CONTRATO DE ARRENDAMIENTO</w:t>
            </w:r>
          </w:p>
          <w:p>
            <w:pPr>
              <w:pStyle w:val="TableContents"/>
              <w:bidi w:val="0"/>
              <w:spacing w:before="0" w:after="0"/>
              <w:jc w:val="left"/>
              <w:rPr/>
            </w:pPr>
            <w:r>
              <w:rPr/>
            </w:r>
          </w:p>
          <w:p>
            <w:pPr>
              <w:pStyle w:val="TableContents"/>
              <w:bidi w:val="0"/>
              <w:spacing w:lineRule="auto" w:line="240" w:before="0" w:after="0"/>
              <w:jc w:val="both"/>
              <w:rPr/>
            </w:pPr>
            <w:r>
              <w:rPr>
                <w:rFonts w:ascii="Times New Roman;sans-serif" w:hAnsi="Times New Roman;sans-serif"/>
                <w:b/>
                <w:color w:val="000000"/>
                <w:sz w:val="22"/>
              </w:rPr>
              <w:t>EL PRESENTE SEXTO CONVENIO MODIFICATORIO AL CONTRATO DE ARRENDAMIENTO</w:t>
            </w:r>
            <w:r>
              <w:rPr>
                <w:color w:val="000000"/>
              </w:rPr>
              <w:t xml:space="preserve"> </w:t>
            </w:r>
            <w:r>
              <w:rPr>
                <w:rFonts w:ascii="Times New Roman;sans-serif" w:hAnsi="Times New Roman;sans-serif"/>
                <w:b w:val="false"/>
                <w:color w:val="000000"/>
                <w:sz w:val="22"/>
              </w:rPr>
              <w:t>(el “</w:t>
            </w:r>
            <w:r>
              <w:rPr>
                <w:rFonts w:ascii="Times New Roman;sans-serif" w:hAnsi="Times New Roman;sans-serif"/>
                <w:b w:val="false"/>
                <w:color w:val="000000"/>
                <w:sz w:val="22"/>
                <w:u w:val="single"/>
              </w:rPr>
              <w:t>Convenio Modificatorio</w:t>
            </w:r>
            <w:r>
              <w:rPr>
                <w:color w:val="000000"/>
              </w:rPr>
              <w:t>”</w:t>
            </w:r>
            <w:r>
              <w:rPr>
                <w:rFonts w:ascii="Times New Roman;sans-serif" w:hAnsi="Times New Roman;sans-serif"/>
                <w:b w:val="false"/>
                <w:color w:val="000000"/>
                <w:sz w:val="22"/>
              </w:rPr>
              <w:t xml:space="preserve">) celebrado el día 13 de Diciembre de 2023, entre </w:t>
            </w:r>
            <w:r>
              <w:rPr>
                <w:rFonts w:ascii="Times New Roman;sans-serif" w:hAnsi="Times New Roman;sans-serif"/>
                <w:b/>
                <w:color w:val="000000"/>
                <w:sz w:val="22"/>
              </w:rPr>
              <w:t>SANTA MARIA INDUSTRIAL PARTNERS, L.P.</w:t>
            </w:r>
            <w:r>
              <w:rPr>
                <w:color w:val="000000"/>
              </w:rPr>
              <w:t xml:space="preserve"> </w:t>
            </w:r>
            <w:r>
              <w:rPr>
                <w:rFonts w:ascii="Times New Roman;sans-serif" w:hAnsi="Times New Roman;sans-serif"/>
                <w:b w:val="false"/>
                <w:color w:val="000000"/>
                <w:sz w:val="22"/>
              </w:rPr>
              <w:t>(la “</w:t>
            </w:r>
            <w:r>
              <w:rPr>
                <w:rFonts w:ascii="Times New Roman;sans-serif" w:hAnsi="Times New Roman;sans-serif"/>
                <w:b w:val="false"/>
                <w:color w:val="000000"/>
                <w:sz w:val="22"/>
                <w:u w:val="single"/>
              </w:rPr>
              <w:t>Arrendadora</w:t>
            </w:r>
            <w:r>
              <w:rPr>
                <w:color w:val="000000"/>
              </w:rPr>
              <w:t>”</w:t>
            </w:r>
            <w:r>
              <w:rPr>
                <w:rFonts w:ascii="Times New Roman;sans-serif" w:hAnsi="Times New Roman;sans-serif"/>
                <w:b w:val="false"/>
                <w:color w:val="000000"/>
                <w:sz w:val="22"/>
              </w:rPr>
              <w:t xml:space="preserve">), en este acto representado por Marcelo Durán Roux, en su carácter de representante legal, </w:t>
            </w:r>
            <w:r>
              <w:rPr>
                <w:rFonts w:ascii="Times New Roman;sans-serif" w:hAnsi="Times New Roman;sans-serif"/>
                <w:b/>
                <w:color w:val="000000"/>
                <w:sz w:val="22"/>
              </w:rPr>
              <w:t>HAEMONETICS MÉXICO MANUFACTURING, S. DE R.L. C.V.</w:t>
            </w:r>
            <w:r>
              <w:rPr>
                <w:color w:val="000000"/>
              </w:rPr>
              <w:t xml:space="preserve"> </w:t>
            </w:r>
            <w:r>
              <w:rPr>
                <w:rFonts w:ascii="Times New Roman;sans-serif" w:hAnsi="Times New Roman;sans-serif"/>
                <w:b w:val="false"/>
                <w:color w:val="000000"/>
                <w:sz w:val="22"/>
              </w:rPr>
              <w:t>(la “</w:t>
            </w:r>
            <w:r>
              <w:rPr>
                <w:rFonts w:ascii="Times New Roman;sans-serif" w:hAnsi="Times New Roman;sans-serif"/>
                <w:b w:val="false"/>
                <w:color w:val="000000"/>
                <w:sz w:val="22"/>
                <w:u w:val="single"/>
              </w:rPr>
              <w:t>Arrendataria</w:t>
            </w:r>
            <w:r>
              <w:rPr>
                <w:color w:val="000000"/>
              </w:rPr>
              <w:t>”</w:t>
            </w:r>
            <w:r>
              <w:rPr>
                <w:rFonts w:ascii="Times New Roman;sans-serif" w:hAnsi="Times New Roman;sans-serif"/>
                <w:b w:val="false"/>
                <w:color w:val="000000"/>
                <w:sz w:val="22"/>
              </w:rPr>
              <w:t xml:space="preserve">), en este acto representado por James D’Arecca y Josep Llorens , en su carácter de representantes legales, así como también por </w:t>
            </w:r>
            <w:r>
              <w:rPr>
                <w:rFonts w:ascii="Times New Roman;sans-serif" w:hAnsi="Times New Roman;sans-serif"/>
                <w:b/>
                <w:color w:val="000000"/>
                <w:sz w:val="22"/>
              </w:rPr>
              <w:t xml:space="preserve">HAEMONETICS CORPORATION </w:t>
            </w:r>
            <w:r>
              <w:rPr>
                <w:rFonts w:ascii="Times New Roman;sans-serif" w:hAnsi="Times New Roman;sans-serif"/>
                <w:b w:val="false"/>
                <w:color w:val="000000"/>
                <w:sz w:val="22"/>
              </w:rPr>
              <w:t>(el “</w:t>
            </w:r>
            <w:r>
              <w:rPr>
                <w:rFonts w:ascii="Times New Roman;sans-serif" w:hAnsi="Times New Roman;sans-serif"/>
                <w:b w:val="false"/>
                <w:color w:val="000000"/>
                <w:sz w:val="22"/>
                <w:u w:val="single"/>
              </w:rPr>
              <w:t>Garante</w:t>
            </w:r>
            <w:r>
              <w:rPr>
                <w:color w:val="000000"/>
              </w:rPr>
              <w:t>”</w:t>
            </w:r>
            <w:r>
              <w:rPr>
                <w:rFonts w:ascii="Times New Roman;sans-serif" w:hAnsi="Times New Roman;sans-serif"/>
                <w:b w:val="false"/>
                <w:color w:val="000000"/>
                <w:sz w:val="22"/>
              </w:rPr>
              <w:t>), en este acto representado por James D’Arecca, en su carácter de representante legal. La Arrendadora y la Arrendataria en lo sucesivo en conjunto las “</w:t>
            </w:r>
            <w:r>
              <w:rPr>
                <w:rFonts w:ascii="Times New Roman;sans-serif" w:hAnsi="Times New Roman;sans-serif"/>
                <w:b w:val="false"/>
                <w:color w:val="000000"/>
                <w:sz w:val="22"/>
                <w:u w:val="single"/>
              </w:rPr>
              <w:t>Partes</w:t>
            </w:r>
            <w:r>
              <w:rPr>
                <w:color w:val="000000"/>
              </w:rPr>
              <w:t>”</w:t>
            </w:r>
            <w:r>
              <w:rPr>
                <w:rFonts w:ascii="Times New Roman;sans-serif" w:hAnsi="Times New Roman;sans-serif"/>
                <w:b w:val="false"/>
                <w:color w:val="000000"/>
                <w:sz w:val="22"/>
              </w:rPr>
              <w:t>).</w:t>
            </w:r>
          </w:p>
          <w:p>
            <w:pPr>
              <w:pStyle w:val="TableContents"/>
              <w:bidi w:val="0"/>
              <w:spacing w:before="0" w:after="0"/>
              <w:jc w:val="both"/>
              <w:rPr/>
            </w:pPr>
            <w:r>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2"/>
              </w:rPr>
              <w:t xml:space="preserve">A. On February 21, 2000, Banco Bilbao Vizcaya-México, S.A., Institución de Banca Múltiple, Gupo Financiero BBV-Probursa, as trustee of </w:t>
            </w:r>
            <w:r>
              <w:rPr>
                <w:rFonts w:ascii="Times New Roman;sans-serif" w:hAnsi="Times New Roman;sans-serif"/>
                <w:b w:val="false"/>
                <w:i/>
                <w:color w:val="000000"/>
                <w:sz w:val="22"/>
              </w:rPr>
              <w:t>Fideicomiso Submetrópoli de Tijuana</w:t>
            </w:r>
            <w:r>
              <w:rPr>
                <w:color w:val="000000"/>
              </w:rPr>
              <w:t xml:space="preserve"> </w:t>
            </w:r>
            <w:r>
              <w:rPr>
                <w:rFonts w:ascii="Times New Roman;sans-serif" w:hAnsi="Times New Roman;sans-serif"/>
                <w:b w:val="false"/>
                <w:color w:val="000000"/>
                <w:sz w:val="22"/>
              </w:rPr>
              <w:t>and Ensatec, S.A. de C.V. entered into a certain lease agreement, as amended by that certain first amendment dated as of October 18, 2004, by that certain second amendment dated as of February 14, 2006, by that certain third amendment dated as of July 25, 2008, by that certain fourth amendment dated as of August 14, 2008, and by that certain fifth amendment dated as of January 19, 2018 (jointly, the “</w:t>
            </w:r>
            <w:r>
              <w:rPr>
                <w:rFonts w:ascii="Times New Roman;sans-serif" w:hAnsi="Times New Roman;sans-serif"/>
                <w:b w:val="false"/>
                <w:color w:val="000000"/>
                <w:sz w:val="22"/>
                <w:u w:val="single"/>
              </w:rPr>
              <w:t>Lease</w:t>
            </w:r>
            <w:r>
              <w:rPr>
                <w:color w:val="000000"/>
              </w:rPr>
              <w:t>”</w:t>
            </w:r>
            <w:r>
              <w:rPr>
                <w:rFonts w:ascii="Times New Roman;sans-serif" w:hAnsi="Times New Roman;sans-serif"/>
                <w:b w:val="false"/>
                <w:color w:val="000000"/>
                <w:sz w:val="22"/>
              </w:rPr>
              <w:t>), with respect to an industrial building located at Calle Colinas No. 11730, Parque Industrial El Florido, Sección Colinas, Tijuana, Baja California, México (the “</w:t>
            </w:r>
            <w:r>
              <w:rPr>
                <w:rFonts w:ascii="Times New Roman;sans-serif" w:hAnsi="Times New Roman;sans-serif"/>
                <w:b w:val="false"/>
                <w:color w:val="000000"/>
                <w:sz w:val="22"/>
                <w:u w:val="single"/>
              </w:rPr>
              <w:t>Property</w:t>
            </w:r>
            <w:r>
              <w:rPr>
                <w:color w:val="000000"/>
              </w:rPr>
              <w:t>”</w:t>
            </w: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DECLARACIONES</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2"/>
              </w:rPr>
              <w:t>A. Con fecha 21 de febrero de 2000, Banco Bilbao Vizcaya-México, S.A., Institución de Banca Múltiple, Gupo Financiero BBV-Probursa, como fiduciario del Fideicomiso Submetrópoli de Tijuana, y Ensatec, S.A. de C.V., celebraron cierto contrato de arrendamiento, modificado mediante cierto primer convenio modificatorio de fecha 18 de octubre de 2004, cierto segundo convenio modificatorio de fecha 14 de febrero de 2006, cierto tercer convenio modificatorio de fecha 25 de julio de 2008, cierto cuarto convenio modificatorio de fecha 14 de agosto de 2011 y cierto quinto convenio modificatorio de fecha 19 de enero de 2018 (conjuntamente el “</w:t>
            </w:r>
            <w:r>
              <w:rPr>
                <w:rFonts w:ascii="Times New Roman;sans-serif" w:hAnsi="Times New Roman;sans-serif"/>
                <w:b w:val="false"/>
                <w:color w:val="000000"/>
                <w:sz w:val="22"/>
                <w:u w:val="single"/>
              </w:rPr>
              <w:t>Arrendamiento</w:t>
            </w:r>
            <w:r>
              <w:rPr>
                <w:color w:val="000000"/>
              </w:rPr>
              <w:t>”</w:t>
            </w:r>
            <w:r>
              <w:rPr>
                <w:rFonts w:ascii="Times New Roman;sans-serif" w:hAnsi="Times New Roman;sans-serif"/>
                <w:b w:val="false"/>
                <w:color w:val="000000"/>
                <w:sz w:val="22"/>
              </w:rPr>
              <w:t>), respecto del edificio industrial ubicado en Calle Colinas No. 11730, Parque Industrial El Florido, Sección Colinas, Tijuana, Baja California, México (el “</w:t>
            </w:r>
            <w:r>
              <w:rPr>
                <w:rFonts w:ascii="Times New Roman;sans-serif" w:hAnsi="Times New Roman;sans-serif"/>
                <w:b w:val="false"/>
                <w:color w:val="000000"/>
                <w:sz w:val="22"/>
                <w:u w:val="single"/>
              </w:rPr>
              <w:t>Inmueble</w:t>
            </w:r>
            <w:r>
              <w:rPr>
                <w:color w:val="000000"/>
              </w:rPr>
              <w:t>”</w:t>
            </w:r>
            <w:r>
              <w:rPr>
                <w:rFonts w:ascii="Times New Roman;sans-serif" w:hAnsi="Times New Roman;sans-serif"/>
                <w:b w:val="false"/>
                <w:color w:val="000000"/>
                <w:sz w:val="22"/>
              </w:rPr>
              <w:t>).</w:t>
            </w:r>
          </w:p>
          <w:p>
            <w:pPr>
              <w:pStyle w:val="TableContents"/>
              <w:bidi w:val="0"/>
              <w:spacing w:before="0" w:after="0"/>
              <w:jc w:val="both"/>
              <w:rPr/>
            </w:pPr>
            <w:r>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 On November 16, 2000, Banco Bilbao Vizcaya-México, S.A., Institución de Banca Múltiple, Gupo Financiero BBV-Probursa changed its name to BBVA Bancomer Servicios, S.A., Institución de Banca Múltiple, Grupo Financiero BBVA Bancomer.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Con fecha 16 de noviembre de 2000, Banco Bilbao Vizcaya-México, S.A., Institución de Banca Múltiple, Gupo Financiero BBV-Probursa cambió su denominación a BBVA Bancomer Servicios, S.A., Institución de Banca Múltiple, Grupo Financiero BBVA Bancomer.</w:t>
            </w:r>
          </w:p>
          <w:p>
            <w:pPr>
              <w:pStyle w:val="TableContents"/>
              <w:bidi w:val="0"/>
              <w:spacing w:before="0" w:after="0"/>
              <w:jc w:val="both"/>
              <w:rPr/>
            </w:pPr>
            <w:r>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 On December 10, 2010, Promotora California de Desarrollos, S.A.P.I. de C.V. acquired all the rights and obligations of the owner (as landlord) under the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Con fecha 10 de diciembre de 2010, Promotora California de Desarrollos, S.A.P.I. de C.V. adquirió todos los derechos y obligaciones del arrendador bajo el Arrendamiento.</w:t>
            </w:r>
          </w:p>
          <w:p>
            <w:pPr>
              <w:pStyle w:val="TableContents"/>
              <w:bidi w:val="0"/>
              <w:spacing w:before="0" w:after="0"/>
              <w:jc w:val="both"/>
              <w:rPr/>
            </w:pPr>
            <w:r>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 On February 10, 2011, Procadef 1, S.A.P.I. de C.V. acquired all the rights and obligations of the owner (as landlord) under the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Con fecha 10 de febrero de 2011, Procadef 1, S.A.P.I. de C.V. adquirió todos los derechos y obligaciones del arrendador bajo el Arrendamiento.</w:t>
            </w:r>
          </w:p>
          <w:p>
            <w:pPr>
              <w:pStyle w:val="TableContents"/>
              <w:bidi w:val="0"/>
              <w:spacing w:before="0" w:after="0"/>
              <w:jc w:val="both"/>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41"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75"/>
        <w:gridCol w:w="1473"/>
        <w:gridCol w:w="1479"/>
        <w:gridCol w:w="109"/>
        <w:gridCol w:w="109"/>
        <w:gridCol w:w="109"/>
        <w:gridCol w:w="1557"/>
        <w:gridCol w:w="1529"/>
        <w:gridCol w:w="2165"/>
      </w:tblGrid>
      <w:tr>
        <w:trPr/>
        <w:tc>
          <w:tcPr>
            <w:tcW w:w="167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 On February 23, 2012, Ensatec, S.A. de C.V. assigned all the rights and obligations of tenant under the Lease to Pall Mexico Manufacturing,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 Con fecha 23 de febrero de 2012, Ensatec, S.A. de C.V. cedió rodos los derechos y obligaciones de arrendatario bajo el Arrendamiento a Pall Mexico Manufacturing, S. de R.L. de C.V.</w:t>
            </w:r>
          </w:p>
          <w:p>
            <w:pPr>
              <w:pStyle w:val="TableContents"/>
              <w:bidi w:val="0"/>
              <w:spacing w:before="0" w:after="0"/>
              <w:jc w:val="both"/>
              <w:rPr/>
            </w:pPr>
            <w:r>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 On January 29, 2013, Pall Mexico Manufacturing, S. de R.L. de C.V. changed its name to Haemonetics México Manufacturing,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 Con fecha 29 de enero de 2013, Pall Mexico Manufacturing, S. de R.L. de C.V. cambió su denominación a Haemonetics México Manufacturing, S. de R.L. de C.V.</w:t>
            </w:r>
          </w:p>
          <w:p>
            <w:pPr>
              <w:pStyle w:val="TableContents"/>
              <w:bidi w:val="0"/>
              <w:spacing w:before="0" w:after="0"/>
              <w:jc w:val="both"/>
              <w:rPr/>
            </w:pPr>
            <w:r>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 On December 10, 2013, Mega2013, S.A.P.I. de C.V. acquired all the rights and obligations of the owner (as landlord) under the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 Con fecha 10 de diciembre de 2013, Mega2013, S.A.P.I. de C.V. adquirió todos los derechos y obligaciones del arrendador bajo el Arrendamiento.</w:t>
            </w:r>
          </w:p>
          <w:p>
            <w:pPr>
              <w:pStyle w:val="TableContents"/>
              <w:bidi w:val="0"/>
              <w:spacing w:before="0" w:after="0"/>
              <w:jc w:val="both"/>
              <w:rPr/>
            </w:pPr>
            <w:r>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 On September 10, 2018, El Florido, California, S.A. de C.V. acquired all the rights and obligations of the owner (as landlord) under the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 Con fecha 10 de septiembre de 2018, El Florido, California, S.A. de C.V. adquirió todos los derechos y obligaciones del arrendador bajo el Arrendamiento.</w:t>
            </w:r>
          </w:p>
          <w:p>
            <w:pPr>
              <w:pStyle w:val="TableContents"/>
              <w:bidi w:val="0"/>
              <w:spacing w:before="0" w:after="0"/>
              <w:jc w:val="left"/>
              <w:rPr/>
            </w:pPr>
            <w:r>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On December 30, 2020, ownership over the Property was transferred for the entire benefit of Landlord through an irrevocable trust agreement, acquiring all rights and obligations as landlord under the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Con fecha 30 de diciembre de 2020, el Inmueble fue enajenado mediante fideicomiso irrevocable traslativo de dominio en el que la Arrendadora es la única fideicomisaria, adquiriendo todos los derechos y obligaciones como arrendador bajo el Arrendamiento.</w:t>
            </w:r>
          </w:p>
          <w:p>
            <w:pPr>
              <w:pStyle w:val="TableContents"/>
              <w:bidi w:val="0"/>
              <w:spacing w:before="0" w:after="0"/>
              <w:jc w:val="both"/>
              <w:rPr/>
            </w:pPr>
            <w:r>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 The Parties desire to enter into this Amendment Agreement in order to modify certain terms of the Lease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 Es la intención de las Partes celebrar el presente Convenio Modificatorio a efecto de modificar ciertos términos del Contrato de Arrendamiento.</w:t>
            </w:r>
          </w:p>
          <w:p>
            <w:pPr>
              <w:pStyle w:val="TableContents"/>
              <w:bidi w:val="0"/>
              <w:spacing w:before="0" w:after="0"/>
              <w:jc w:val="both"/>
              <w:rPr/>
            </w:pPr>
            <w:r>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2"/>
              </w:rPr>
              <w:t>NOW, THEREFORE,</w:t>
            </w:r>
            <w:r>
              <w:rPr>
                <w:color w:val="000000"/>
              </w:rPr>
              <w:t xml:space="preserve"> </w:t>
            </w:r>
            <w:r>
              <w:rPr>
                <w:rFonts w:ascii="Times New Roman;sans-serif" w:hAnsi="Times New Roman;sans-serif"/>
                <w:b w:val="false"/>
                <w:color w:val="000000"/>
                <w:sz w:val="22"/>
              </w:rPr>
              <w:t>in consideration of the above, the Parties hereby covenant and agree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2"/>
              </w:rPr>
              <w:t>POR LO TANTO</w:t>
            </w:r>
            <w:r>
              <w:rPr>
                <w:rFonts w:ascii="Times New Roman;sans-serif" w:hAnsi="Times New Roman;sans-serif"/>
                <w:b w:val="false"/>
                <w:color w:val="000000"/>
                <w:sz w:val="22"/>
              </w:rPr>
              <w:t>, en virtud de lo anterior, en este acto las Partes convienen lo siguiente:</w:t>
            </w:r>
          </w:p>
          <w:p>
            <w:pPr>
              <w:pStyle w:val="TableContents"/>
              <w:bidi w:val="0"/>
              <w:spacing w:before="0" w:after="0"/>
              <w:jc w:val="both"/>
              <w:rPr/>
            </w:pPr>
            <w:r>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1.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All capitalized terms used herein which are not otherwise defined shall have the respective meanings set forth in the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1. </w:t>
            </w:r>
            <w:r>
              <w:rPr>
                <w:rFonts w:ascii="Times New Roman;sans-serif" w:hAnsi="Times New Roman;sans-serif"/>
                <w:b w:val="false"/>
                <w:color w:val="000000"/>
                <w:sz w:val="22"/>
                <w:u w:val="single"/>
              </w:rPr>
              <w:t>Definiciones.</w:t>
            </w:r>
            <w:r>
              <w:rPr>
                <w:color w:val="000000"/>
              </w:rPr>
              <w:t xml:space="preserve"> </w:t>
            </w:r>
            <w:r>
              <w:rPr>
                <w:rFonts w:ascii="Times New Roman;sans-serif" w:hAnsi="Times New Roman;sans-serif"/>
                <w:b w:val="false"/>
                <w:color w:val="000000"/>
                <w:sz w:val="22"/>
              </w:rPr>
              <w:t>Todos los términos utilizados con mayúsculas en el presente Convenio modificatorio y que no se definan, tendrán el mismo significado que se les asigna en el Arrendamiento.</w:t>
            </w:r>
          </w:p>
          <w:p>
            <w:pPr>
              <w:pStyle w:val="TableContents"/>
              <w:bidi w:val="0"/>
              <w:spacing w:before="0" w:after="0"/>
              <w:jc w:val="both"/>
              <w:rPr/>
            </w:pPr>
            <w:r>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2. </w:t>
            </w:r>
            <w:r>
              <w:rPr>
                <w:rFonts w:ascii="Times New Roman;sans-serif" w:hAnsi="Times New Roman;sans-serif"/>
                <w:b w:val="false"/>
                <w:color w:val="000000"/>
                <w:sz w:val="22"/>
                <w:u w:val="single"/>
              </w:rPr>
              <w:t>Term</w:t>
            </w:r>
            <w:r>
              <w:rPr>
                <w:rFonts w:ascii="Times New Roman;sans-serif" w:hAnsi="Times New Roman;sans-serif"/>
                <w:b w:val="false"/>
                <w:color w:val="000000"/>
                <w:sz w:val="22"/>
              </w:rPr>
              <w:t>. The parties hereby agree to extend the term of the Lease for an additional period of five (5) years (the “</w:t>
            </w:r>
            <w:r>
              <w:rPr>
                <w:rFonts w:ascii="Times New Roman;sans-serif" w:hAnsi="Times New Roman;sans-serif"/>
                <w:b w:val="false"/>
                <w:color w:val="000000"/>
                <w:sz w:val="22"/>
                <w:u w:val="single"/>
              </w:rPr>
              <w:t>Extension Term</w:t>
            </w:r>
            <w:r>
              <w:rPr>
                <w:color w:val="000000"/>
              </w:rPr>
              <w:t>”</w:t>
            </w:r>
            <w:r>
              <w:rPr>
                <w:rFonts w:ascii="Times New Roman;sans-serif" w:hAnsi="Times New Roman;sans-serif"/>
                <w:b w:val="false"/>
                <w:color w:val="000000"/>
                <w:sz w:val="22"/>
              </w:rPr>
              <w:t xml:space="preserve">), as of the date of this Amendment Agreement, therefore, the term of the Lease expires on </w:t>
            </w:r>
            <w:r>
              <w:rPr>
                <w:rFonts w:ascii="Times New Roman;sans-serif" w:hAnsi="Times New Roman;sans-serif"/>
                <w:b/>
                <w:color w:val="000000"/>
                <w:sz w:val="22"/>
                <w:u w:val="single"/>
              </w:rPr>
              <w:t>August 16, 2028</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Expiration Date</w:t>
            </w:r>
            <w:r>
              <w:rPr>
                <w:color w:val="000000"/>
              </w:rPr>
              <w:t>”</w:t>
            </w: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2. </w:t>
            </w:r>
            <w:r>
              <w:rPr>
                <w:rFonts w:ascii="Times New Roman;sans-serif" w:hAnsi="Times New Roman;sans-serif"/>
                <w:b w:val="false"/>
                <w:color w:val="000000"/>
                <w:sz w:val="22"/>
                <w:u w:val="single"/>
              </w:rPr>
              <w:t>Vigencia</w:t>
            </w:r>
            <w:r>
              <w:rPr>
                <w:rFonts w:ascii="Times New Roman;sans-serif" w:hAnsi="Times New Roman;sans-serif"/>
                <w:b w:val="false"/>
                <w:color w:val="000000"/>
                <w:sz w:val="22"/>
              </w:rPr>
              <w:t>. Las partes en este acto acuerdan prorrogar la vigencia del Arrendamiento por un plazo adicional de 5 (cinco) años (el “</w:t>
            </w:r>
            <w:r>
              <w:rPr>
                <w:rFonts w:ascii="Times New Roman;sans-serif" w:hAnsi="Times New Roman;sans-serif"/>
                <w:b w:val="false"/>
                <w:color w:val="000000"/>
                <w:sz w:val="22"/>
                <w:u w:val="single"/>
              </w:rPr>
              <w:t>Periodo de Prórroga</w:t>
            </w:r>
            <w:r>
              <w:rPr>
                <w:color w:val="000000"/>
              </w:rPr>
              <w:t>”</w:t>
            </w:r>
            <w:r>
              <w:rPr>
                <w:rFonts w:ascii="Times New Roman;sans-serif" w:hAnsi="Times New Roman;sans-serif"/>
                <w:b w:val="false"/>
                <w:color w:val="000000"/>
                <w:sz w:val="22"/>
              </w:rPr>
              <w:t xml:space="preserve">) a partir de la fecha del presente Convenio Modificatorio, por lo que el plazo del Arrendamiento vence el </w:t>
            </w:r>
            <w:r>
              <w:rPr>
                <w:rFonts w:ascii="Times New Roman;sans-serif" w:hAnsi="Times New Roman;sans-serif"/>
                <w:b/>
                <w:color w:val="000000"/>
                <w:sz w:val="22"/>
                <w:u w:val="single"/>
              </w:rPr>
              <w:t>16 de agosto de 2028</w:t>
            </w:r>
            <w:r>
              <w:rPr>
                <w:color w:val="000000"/>
              </w:rPr>
              <w:t xml:space="preserve"> </w:t>
            </w:r>
            <w:r>
              <w:rPr>
                <w:rFonts w:ascii="Times New Roman;sans-serif" w:hAnsi="Times New Roman;sans-serif"/>
                <w:b w:val="false"/>
                <w:color w:val="000000"/>
                <w:sz w:val="22"/>
              </w:rPr>
              <w:t>(la “</w:t>
            </w:r>
            <w:r>
              <w:rPr>
                <w:rFonts w:ascii="Times New Roman;sans-serif" w:hAnsi="Times New Roman;sans-serif"/>
                <w:b w:val="false"/>
                <w:color w:val="000000"/>
                <w:sz w:val="22"/>
                <w:u w:val="single"/>
              </w:rPr>
              <w:t>Fecha de Terminación</w:t>
            </w:r>
            <w:r>
              <w:rPr>
                <w:color w:val="000000"/>
              </w:rPr>
              <w:t>”</w:t>
            </w:r>
            <w:r>
              <w:rPr>
                <w:rFonts w:ascii="Times New Roman;sans-serif" w:hAnsi="Times New Roman;sans-serif"/>
                <w:b w:val="false"/>
                <w:color w:val="000000"/>
                <w:sz w:val="22"/>
              </w:rPr>
              <w:t>).</w:t>
            </w:r>
          </w:p>
          <w:p>
            <w:pPr>
              <w:pStyle w:val="TableContents"/>
              <w:bidi w:val="0"/>
              <w:spacing w:before="0" w:after="0"/>
              <w:jc w:val="both"/>
              <w:rPr/>
            </w:pPr>
            <w:r>
              <w:rPr/>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The Parties recognize that the extension of the term established herein is the exercise by Tenant of its extension right contained at the Lease, and the parties hereby agree to delete Clauses First and Second of the Fifth Amendment Agreement, dated as of January 1, 2018 (the “</w:t>
            </w:r>
            <w:r>
              <w:rPr>
                <w:rFonts w:ascii="Times New Roman;sans-serif" w:hAnsi="Times New Roman;sans-serif"/>
                <w:b w:val="false"/>
                <w:color w:val="000000"/>
                <w:sz w:val="22"/>
                <w:u w:val="single"/>
              </w:rPr>
              <w:t>Fifth Amendment</w:t>
            </w:r>
            <w:r>
              <w:rPr>
                <w:color w:val="000000"/>
              </w:rPr>
              <w:t>”</w:t>
            </w:r>
            <w:r>
              <w:rPr>
                <w:rFonts w:ascii="Times New Roman;sans-serif" w:hAnsi="Times New Roman;sans-serif"/>
                <w:b w:val="false"/>
                <w:color w:val="000000"/>
                <w:sz w:val="22"/>
              </w:rPr>
              <w:t>) in their entirety and to revoke any reference within the Lease to the option of Tenant to extend or renew the Term and to the option to remain in the Premises for an additional period, except for the provision contained in Clause 4 of this Amendment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Las Partes reconocen que la extensión de la vigencia aquí establecida es el ejercicio de la Arrendataria a su derecho de prórroga contenido en el Arrendamiento, por lo cual acuerdan eliminar en su totalidad y dejar sin efectos la totalidad de la Cláusula Primera y Segunda del Quinto Convenio Modificatorio de fecha 1ro de Enero del 2018 (el Quinto Convenio Modificatorio) y revocar cualquier referencia que exista en el Arrendamiento a la opción de la Arrendataria de prorrogar o extender el Plazo y la opción de permanecer en el Inmueble por un periodo adicional, salvo por lo previsto en el presente Convenio Modificatorio en la siguiente clausula 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2"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34"/>
        <w:gridCol w:w="1436"/>
        <w:gridCol w:w="1439"/>
        <w:gridCol w:w="109"/>
        <w:gridCol w:w="109"/>
        <w:gridCol w:w="109"/>
        <w:gridCol w:w="1631"/>
        <w:gridCol w:w="1543"/>
        <w:gridCol w:w="2195"/>
      </w:tblGrid>
      <w:tr>
        <w:trPr/>
        <w:tc>
          <w:tcPr>
            <w:tcW w:w="163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450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3. </w:t>
            </w:r>
            <w:r>
              <w:rPr>
                <w:rFonts w:ascii="Times New Roman;sans-serif" w:hAnsi="Times New Roman;sans-serif"/>
                <w:b w:val="false"/>
                <w:color w:val="000000"/>
                <w:sz w:val="22"/>
                <w:u w:val="single"/>
              </w:rPr>
              <w:t>Monthly Rent</w:t>
            </w:r>
            <w:r>
              <w:rPr>
                <w:rFonts w:ascii="Times New Roman;sans-serif" w:hAnsi="Times New Roman;sans-serif"/>
                <w:b w:val="false"/>
                <w:color w:val="000000"/>
                <w:sz w:val="22"/>
              </w:rPr>
              <w:t xml:space="preserve">. The Parties hereby agree that as of August 17, 2023, the monthly rent to be paid by the Tenant to the Landlord shall be </w:t>
            </w:r>
            <w:r>
              <w:rPr>
                <w:rFonts w:ascii="Times New Roman;sans-serif" w:hAnsi="Times New Roman;sans-serif"/>
                <w:b/>
                <w:color w:val="000000"/>
                <w:sz w:val="22"/>
              </w:rPr>
              <w:t xml:space="preserve">USD$[***] </w:t>
            </w:r>
            <w:r>
              <w:rPr>
                <w:rFonts w:ascii="Times New Roman;sans-serif" w:hAnsi="Times New Roman;sans-serif"/>
                <w:b w:val="false"/>
                <w:color w:val="000000"/>
                <w:sz w:val="22"/>
              </w:rPr>
              <w:t>(</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United States legal currency) plus the Value Added Tax (“VAT”). Subsequently and as of September 1, 2024, in subsequent years and on each September 1 during the Extension Term, the total monthly rent payable shall be subject to annual increases of </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percent (</w:t>
            </w:r>
            <w:r>
              <w:rPr>
                <w:rFonts w:ascii="Times New Roman;sans-serif" w:hAnsi="Times New Roman;sans-serif"/>
                <w:b/>
                <w:color w:val="000000"/>
                <w:sz w:val="22"/>
              </w:rPr>
              <w:t>[***]</w:t>
            </w:r>
            <w:r>
              <w:rPr>
                <w:rFonts w:ascii="Times New Roman;sans-serif" w:hAnsi="Times New Roman;sans-serif"/>
                <w:b w:val="false"/>
                <w:color w:val="000000"/>
                <w:sz w:val="22"/>
              </w:rPr>
              <w:t>%), without the need for any other notification or communication between the Parties.</w:t>
            </w:r>
          </w:p>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3. </w:t>
            </w:r>
            <w:r>
              <w:rPr>
                <w:rFonts w:ascii="Times New Roman;sans-serif" w:hAnsi="Times New Roman;sans-serif"/>
                <w:b w:val="false"/>
                <w:color w:val="000000"/>
                <w:sz w:val="22"/>
                <w:u w:val="single"/>
              </w:rPr>
              <w:t>Renta Mensual</w:t>
            </w:r>
            <w:r>
              <w:rPr>
                <w:rFonts w:ascii="Times New Roman;sans-serif" w:hAnsi="Times New Roman;sans-serif"/>
                <w:b w:val="false"/>
                <w:color w:val="000000"/>
                <w:sz w:val="22"/>
              </w:rPr>
              <w:t xml:space="preserve">. Las Partes acuerdan que, a partir del 17 de agosto de 2023, la renta mensual a ser pagada por la Arrendataria a la Arrendadora será por la cantidad de </w:t>
            </w:r>
            <w:r>
              <w:rPr>
                <w:rFonts w:ascii="Times New Roman;sans-serif" w:hAnsi="Times New Roman;sans-serif"/>
                <w:b/>
                <w:color w:val="000000"/>
                <w:sz w:val="22"/>
              </w:rPr>
              <w:t>EUA$[***]</w:t>
            </w:r>
            <w:r>
              <w:rPr>
                <w:color w:val="000000"/>
              </w:rPr>
              <w:t xml:space="preserve"> </w:t>
            </w:r>
            <w:r>
              <w:rPr>
                <w:rFonts w:ascii="Times New Roman;sans-serif" w:hAnsi="Times New Roman;sans-serif"/>
                <w:b w:val="false"/>
                <w:color w:val="000000"/>
                <w:sz w:val="22"/>
              </w:rPr>
              <w:t>(</w:t>
            </w:r>
            <w:r>
              <w:rPr>
                <w:rFonts w:ascii="Times New Roman;sans-serif" w:hAnsi="Times New Roman;sans-serif"/>
                <w:b/>
                <w:color w:val="000000"/>
                <w:sz w:val="22"/>
              </w:rPr>
              <w:t xml:space="preserve">[***] </w:t>
            </w:r>
            <w:r>
              <w:rPr>
                <w:rFonts w:ascii="Times New Roman;sans-serif" w:hAnsi="Times New Roman;sans-serif"/>
                <w:b w:val="false"/>
                <w:color w:val="000000"/>
                <w:sz w:val="22"/>
              </w:rPr>
              <w:t>moneda de curso legal en los Estados Unidos de América) más el Impuesto al Valor Agregado (“</w:t>
            </w:r>
            <w:r>
              <w:rPr>
                <w:rFonts w:ascii="Times New Roman;sans-serif" w:hAnsi="Times New Roman;sans-serif"/>
                <w:b w:val="false"/>
                <w:color w:val="000000"/>
                <w:sz w:val="22"/>
                <w:u w:val="single"/>
              </w:rPr>
              <w:t>IVA</w:t>
            </w:r>
            <w:r>
              <w:rPr>
                <w:color w:val="000000"/>
              </w:rPr>
              <w:t>”</w:t>
            </w:r>
            <w:r>
              <w:rPr>
                <w:rFonts w:ascii="Times New Roman;sans-serif" w:hAnsi="Times New Roman;sans-serif"/>
                <w:b w:val="false"/>
                <w:color w:val="000000"/>
                <w:sz w:val="22"/>
              </w:rPr>
              <w:t xml:space="preserve">). Posteriormente y a partir del 1 de septiembre de 2024, y en años subsecuentes, cada 1 de septiembre durante el Periodo de Prórroga, la renta mensual pagadera estará sujeta a incrementos anuales de </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por ciento (</w:t>
            </w:r>
            <w:r>
              <w:rPr>
                <w:rFonts w:ascii="Times New Roman;sans-serif" w:hAnsi="Times New Roman;sans-serif"/>
                <w:b/>
                <w:color w:val="000000"/>
                <w:sz w:val="22"/>
              </w:rPr>
              <w:t>[***]</w:t>
            </w:r>
            <w:r>
              <w:rPr>
                <w:rFonts w:ascii="Times New Roman;sans-serif" w:hAnsi="Times New Roman;sans-serif"/>
                <w:b w:val="false"/>
                <w:color w:val="000000"/>
                <w:sz w:val="22"/>
              </w:rPr>
              <w:t xml:space="preserve">%), sin necesidad de ninguna otra notificación o comunicación entre las Partes. </w:t>
            </w:r>
          </w:p>
          <w:p>
            <w:pPr>
              <w:pStyle w:val="TableContents"/>
              <w:bidi w:val="0"/>
              <w:spacing w:before="0" w:after="0"/>
              <w:jc w:val="both"/>
              <w:rPr/>
            </w:pPr>
            <w:r>
              <w:rPr/>
            </w:r>
          </w:p>
        </w:tc>
      </w:tr>
      <w:tr>
        <w:trPr/>
        <w:tc>
          <w:tcPr>
            <w:tcW w:w="4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rent is paid in Mexican Pesos, currency of legal tender in the United Mexican States, such will be paid at the rate of exchange in effect for selling Mexican Pesos to purchase United States Dollars, according to the rate published in the Official Journal of the Federation (Diario Oficial de la Federación) on the date Tenant pays Landlord such rent. If Tenant elects to pay rent in Mexican Pesos, Tenant will be obligated to pay, in addition thereto and as an administrative fee, an amount equal to ten percent (10%) of any such rent payment, plus applicable value added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En caso de que la renta sea pagada en Pesos mexicanos, moneda del curso legal en los Estados Unidos Mexicanos, esta será pagada de acuerdo con el tipo de cambio publicado en el Diario Oficial de la Federación en la fecha en que la Arrendataria realice el pago a la Arrendadora en cuyo caso, la Arrendataria estará obligada a pagar adicionalmente, por concepto de honorarios administrativos, un importe igual al 10% (diez por ciento) de la renta, más el impuesto al valor agregado.</w:t>
            </w:r>
          </w:p>
          <w:p>
            <w:pPr>
              <w:pStyle w:val="TableContents"/>
              <w:bidi w:val="0"/>
              <w:spacing w:before="0" w:after="0"/>
              <w:jc w:val="both"/>
              <w:rPr/>
            </w:pPr>
            <w:r>
              <w:rPr/>
            </w:r>
          </w:p>
        </w:tc>
      </w:tr>
      <w:tr>
        <w:trPr/>
        <w:tc>
          <w:tcPr>
            <w:tcW w:w="450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4. </w:t>
            </w:r>
            <w:r>
              <w:rPr>
                <w:rFonts w:ascii="Times New Roman;sans-serif" w:hAnsi="Times New Roman;sans-serif"/>
                <w:b w:val="false"/>
                <w:color w:val="000000"/>
                <w:sz w:val="22"/>
                <w:u w:val="single"/>
              </w:rPr>
              <w:t>Additional Extension Term</w:t>
            </w:r>
            <w:r>
              <w:rPr>
                <w:rFonts w:ascii="Times New Roman;sans-serif" w:hAnsi="Times New Roman;sans-serif"/>
                <w:b w:val="false"/>
                <w:color w:val="000000"/>
                <w:sz w:val="22"/>
              </w:rPr>
              <w:t>. Provided that (i) the Lease shall be in full force and effect in accordance with the terms of the Lease and this Amendment Agreement, and (ii) no event of default shall be continuing thereunder, and (iii) Tenant and Guarantor shall be at least as creditworthy as on the date hereof Tenant shall have the right to extend the term of the Lease for one (1) period of five (5) years (“</w:t>
            </w:r>
            <w:r>
              <w:rPr>
                <w:rFonts w:ascii="Times New Roman;sans-serif" w:hAnsi="Times New Roman;sans-serif"/>
                <w:b w:val="false"/>
                <w:color w:val="000000"/>
                <w:sz w:val="22"/>
                <w:u w:val="single"/>
              </w:rPr>
              <w:t>Additional Extension Term</w:t>
            </w:r>
            <w:r>
              <w:rPr>
                <w:color w:val="000000"/>
              </w:rPr>
              <w:t>”</w:t>
            </w:r>
            <w:r>
              <w:rPr>
                <w:rFonts w:ascii="Times New Roman;sans-serif" w:hAnsi="Times New Roman;sans-serif"/>
                <w:b w:val="false"/>
                <w:color w:val="000000"/>
                <w:sz w:val="22"/>
              </w:rPr>
              <w:t>). Tenant shall exercise its option hereunder by giving Landlord written notice of such election (along with reasonable evidence that it and Guarantor remain at least as creditworthy as on the date hereof) no later than 8 (eight) months prior to the Expiration Date. Once the Landlord has been notified, the Parties will, within the 30 (thirty) calendar days following the delivery of said notice and evidence, Landlord and Tenant shall , execute an amendment agreement to the Lease to state that this Lease and the Term have been extended accordingly.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4. </w:t>
            </w:r>
            <w:r>
              <w:rPr>
                <w:rFonts w:ascii="Times New Roman;sans-serif" w:hAnsi="Times New Roman;sans-serif"/>
                <w:b w:val="false"/>
                <w:color w:val="000000"/>
                <w:sz w:val="22"/>
                <w:u w:val="single"/>
              </w:rPr>
              <w:t>Periodo de Prórroga Adicional</w:t>
            </w:r>
            <w:r>
              <w:rPr>
                <w:rFonts w:ascii="Times New Roman;sans-serif" w:hAnsi="Times New Roman;sans-serif"/>
                <w:b w:val="false"/>
                <w:color w:val="000000"/>
                <w:sz w:val="22"/>
              </w:rPr>
              <w:t>. Siempre que: (i) el Arrendamiento esté vigente y con plenos efectos de conformidad con lo establecido en el Arrendamiento y con el presente Convenio Modificatorio; y (ii) no haya ocurrido y continúe un incumplimiento conforme al mismo;y (iii) la Arrendataria y el Garante cuenten con una capacidad crediticia cuando menos como la que tienen a la fecha del presente , la Arrendataria tendrá derecho a prorrogar la vigencia del Arrendamiento por 1 (un) periodo de 5 (cinco) años (el “</w:t>
            </w:r>
            <w:r>
              <w:rPr>
                <w:rFonts w:ascii="Times New Roman;sans-serif" w:hAnsi="Times New Roman;sans-serif"/>
                <w:b w:val="false"/>
                <w:color w:val="000000"/>
                <w:sz w:val="22"/>
                <w:u w:val="single"/>
              </w:rPr>
              <w:t>Periodo de Prórroga Adicional</w:t>
            </w:r>
            <w:r>
              <w:rPr>
                <w:color w:val="000000"/>
              </w:rPr>
              <w:t>”</w:t>
            </w:r>
            <w:r>
              <w:rPr>
                <w:rFonts w:ascii="Times New Roman;sans-serif" w:hAnsi="Times New Roman;sans-serif"/>
                <w:b w:val="false"/>
                <w:color w:val="000000"/>
                <w:sz w:val="22"/>
              </w:rPr>
              <w:t>). La Arrendataria ejercerá su opción aquí mencionada notificando por escrito a la Arrendadora de dicha elección (junto con evidencia razonable de que tanto ella como el Garante siguen contando cuando menos con la capacidad crediticia que tenían a la fecha del presente), a más tardar 8 (ocho) meses antes de la Fecha de Terminación. Una vez notificada la Arrendadora, las Partes dentro de los 30 (treinta) días naturales siguientes a la entrega de dicho aviso y evidencia, la Arrendadora y la Arrendataria , se reunirán para suscribir un nuevo convenio modificatorio al Arrendamiento para dejar constancia de que este Arrendamiento y la Vigencia han sido prorrogados en consecuencia.</w:t>
            </w:r>
          </w:p>
          <w:p>
            <w:pPr>
              <w:pStyle w:val="TableContents"/>
              <w:bidi w:val="0"/>
              <w:spacing w:lineRule="auto" w:line="240" w:before="0" w:after="0"/>
              <w:jc w:val="both"/>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3"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21"/>
        <w:gridCol w:w="1423"/>
        <w:gridCol w:w="1430"/>
        <w:gridCol w:w="109"/>
        <w:gridCol w:w="109"/>
        <w:gridCol w:w="109"/>
        <w:gridCol w:w="1580"/>
        <w:gridCol w:w="1580"/>
        <w:gridCol w:w="2244"/>
      </w:tblGrid>
      <w:tr>
        <w:trPr/>
        <w:tc>
          <w:tcPr>
            <w:tcW w:w="162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All of the terms, covenants and conditions of this Lease and the Amendment Agreement shall continue in full force and effect during the Additional Extension Term, except that (i) annual increases during the Additional Extension Term shall be as set forth in Subsection (B) of this clause, and (ii) monthly base rent for the first year of each Additional Extension Term shall be the greater of (a) the base rent plus annual increases escalated as contemplated at this Lease for such first year, and (b) the then annual market rental rate per square meter for recent lease renewals comparable industrial buildings located in the Tijuana, Baja California, multiplied by the Leaseable Square Meters (as defined below) of the Building. The Leaseable Square Meters of the Building shall include all of the warehouse, production, support, utility, office, cafeteria, locker room, and other closed building areas then present within the Premises at the time of the renewal notice, but shall not include any parking, maneuvering or guard house areas. Such annual market rental rate shall be determined as follows. Within 30 days after Tenant’s exercise of its option to extend, Landlord will propose to Tenant the market rental rate. Within 30 days thereafter, Tenant will either accept such determination (with no response on Tenant’s part during such period being deemed acceptance) or, if Tenant disagrees with such determination, Tenant will provide in writing to Landlord Tenant’s determination of the market rental rate. If, within 30 days thereafter, the parties are not able to agree on the market rental rate, within twenty (20) days after such failure to agree, Landlord and Tenant shall together appoint a MAI (or Mexican equivalent) appraiser having at least five (5) years' experience in industrial and warehouse leasing in the vicinity of Tijuana, Baja California,. If the Parties are not able to agree upon the designation of the appraiser, then the appraiser will be appointed by the American Arbitration Association (or its successor) from its qualified panel of arbitrators, which appraiser shall, to the extent practicable, have the qualifications set forth above. Within forty-five (45) days after his appointment, the appraiser will determine the fair market rental value of the Premises applicable to the Additional Extension Term and shall choose whichever of the fair market rental values set forth in Landlord's initial proposal or Tenant’s response is closer to such determination, which shall, for all purposes hereunder, be deemed the fair market rental rate. The determination of the appraiser shall be binding, final and conclusive on the parties. The fees and expenses of the appraiser and all costs incurred in connection with the appointment of the appraiser will be shared equally by Landlord and Tenant (in the amount of 50% each).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Todos los términos, acuerdos y condiciones del Arrendamiento y de este Convenio Modificatorio continuarán vigentes y surtiendo plenos efectos durante el Periodo de Prórroga Adicional, excepto que (i) los incrementos anuales de la Renta Base durante la el Periodo de Prórroga Adicional será conforme a lo pactado en el inciso (B) de la presente Clausula, y (ii) la renta mensual pagadera más el incremento anual correspondiente por el primer año del Periodo de Prórroga Adicional será lo que resulte mayor de (a) la Renta Base más el incremento anual como se contempla en el Arrendamiento por dicho primer año, y (b) el entonces valor de renta de mercado anual por metro cuadrado para renovaciones de arrendamientos de edificios industriales comparables ubicados en Tijuana, Baja California, multiplicado por los Metros Cuadrados Alquilables (como se define en el siguiente enunciado) del Inmueble. Los Metros Cuadrados Alquilables del Edificio incluirán todas las áreas de almacén, producción, soporte, servicios públicos, oficinas, cafetería, vestuarios y otras áreas cerradas del edificio que se encuentren dentro del Inmueble al momento del aviso de renovación, pero no incluirán ninguna de las áreas de estacionamiento, patio de maniobras o caseta de vigilancia. Dicho valor de renta anual de mercado será determinado como se describe a continuación. Dentro de los 30 días siguientes a que la Arrendataria ejerza su opción de prorrogar la Vigencia, la Arrendadora propondrá a la Arrendataria el valor de renta del mercado; dentro de los 30 días a partir de entonces, la Arrendataria podrá aceptar dicha determinación (la falta de respuesta será considerada como aceptación durante dicho período) o, si la Arrendataria no está de acuerdo con dicha determinación, la Arrendataria manifestará por escrito a la Arrendadora, la determinación de la Arrendataria del valor de renta del mercado. Si, luego de los 30 días siguientes, las partes no se ponen de acuerdo sobre el mercado, alquiler, valor, dentro de veinte (20) días después de dicho fracaso para ponerse de acuerdo, las Partes deberán juntos señalar un valuador MAI (o el equivalente mexicano) que cuente con al menos cinco (5) años de experiencia en arrendamientos industriales y de almacenes en los alrededores de Tijuana, Baja California. Si la Arrendadora y la Arrendataria no logran ponerse de acuerdo en designar un valuador, entonces el valuador será nombrado por un panel de árbitros de la Asociación Americana de Arbitraje (o su sucesor) para definir que valuador reúne, en la medida de lo posible, los requisitos establecidos anteriormente. Dentro de un término de cuarenta y cinco (45) días siguientes a su consulta, el valuador determinará el valor justo de renta del Inmueble que sea aplicable a la Periodo de Prórroga Adicional y seleccionará cualesquier de los valores del mercado de rentas establecidos en la propuesta inicial de la Arrendadora o la respuesta de la Arrendataria que se acerque más a dicha determinación, la cual deberá, para todos los efectos señalados en el presente Arrendamiento, ser considerada, como el valor de renta justa del mercado. La determinación del valuador será vinculativa, final y determinante para las Partes. Los honorarios y gastos del valuador y todos los costos incurridos en relación con el nombramiento del valuador serán compartidos en un porcentaje del 50% y 50% entre la Arrendadora y la Arrendataria.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4"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79"/>
        <w:gridCol w:w="1323"/>
        <w:gridCol w:w="1327"/>
        <w:gridCol w:w="109"/>
        <w:gridCol w:w="109"/>
        <w:gridCol w:w="109"/>
        <w:gridCol w:w="1648"/>
        <w:gridCol w:w="1489"/>
        <w:gridCol w:w="2112"/>
      </w:tblGrid>
      <w:tr>
        <w:trPr/>
        <w:tc>
          <w:tcPr>
            <w:tcW w:w="197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r>
      <w:tr>
        <w:trPr/>
        <w:tc>
          <w:tcPr>
            <w:tcW w:w="4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 The monthly base rent payable during the Additional Extension Term shall be subject to escalation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 La renta mensual base pagadera durante el Periodo de Prórroga Adicional estará sujeta a escalonamiento como a continuación se indica:</w:t>
            </w:r>
          </w:p>
        </w:tc>
      </w:tr>
      <w:tr>
        <w:trPr/>
        <w:tc>
          <w:tcPr>
            <w:tcW w:w="4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Amendment Agreement and the Lease, the following terms shall have the following meanings.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Para los fines de este Convenio Modificatorio y el Arrendamiento, los siguientes términos tendrán los siguientes significados.</w:t>
            </w:r>
          </w:p>
          <w:p>
            <w:pPr>
              <w:pStyle w:val="TableContents"/>
              <w:bidi w:val="0"/>
              <w:spacing w:before="0" w:after="0"/>
              <w:jc w:val="both"/>
              <w:rPr/>
            </w:pPr>
            <w:r>
              <w:rPr/>
            </w:r>
          </w:p>
        </w:tc>
      </w:tr>
      <w:tr>
        <w:trPr/>
        <w:tc>
          <w:tcPr>
            <w:tcW w:w="462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w:t>
            </w:r>
            <w:r>
              <w:rPr>
                <w:rFonts w:ascii="Times New Roman;sans-serif" w:hAnsi="Times New Roman;sans-serif"/>
                <w:b w:val="false"/>
                <w:color w:val="000000"/>
                <w:sz w:val="22"/>
                <w:u w:val="single"/>
              </w:rPr>
              <w:t>Base Index</w:t>
            </w:r>
            <w:r>
              <w:rPr>
                <w:color w:val="000000"/>
              </w:rPr>
              <w:t xml:space="preserve">” </w:t>
            </w:r>
            <w:r>
              <w:rPr>
                <w:rFonts w:ascii="Times New Roman;sans-serif" w:hAnsi="Times New Roman;sans-serif"/>
                <w:b w:val="false"/>
                <w:color w:val="000000"/>
                <w:sz w:val="22"/>
              </w:rPr>
              <w:t>shall mean the CPI Index for the second month previous to the month in which the Additional Extension Term begins.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w:t>
            </w:r>
            <w:r>
              <w:rPr>
                <w:rFonts w:ascii="Times New Roman;sans-serif" w:hAnsi="Times New Roman;sans-serif"/>
                <w:b w:val="false"/>
                <w:color w:val="000000"/>
                <w:sz w:val="22"/>
                <w:u w:val="single"/>
              </w:rPr>
              <w:t>Índice Base</w:t>
            </w:r>
            <w:r>
              <w:rPr>
                <w:color w:val="000000"/>
              </w:rPr>
              <w:t xml:space="preserve">” </w:t>
            </w:r>
            <w:r>
              <w:rPr>
                <w:rFonts w:ascii="Times New Roman;sans-serif" w:hAnsi="Times New Roman;sans-serif"/>
                <w:b w:val="false"/>
                <w:color w:val="000000"/>
                <w:sz w:val="22"/>
              </w:rPr>
              <w:t>significa el Índice IPC para el segundo mes previo al mes en que inicie el Periodo de Prórroga Adicional.</w:t>
            </w:r>
          </w:p>
          <w:p>
            <w:pPr>
              <w:pStyle w:val="TableContents"/>
              <w:bidi w:val="0"/>
              <w:spacing w:before="0" w:after="0"/>
              <w:jc w:val="both"/>
              <w:rPr/>
            </w:pPr>
            <w:r>
              <w:rPr/>
            </w:r>
          </w:p>
        </w:tc>
      </w:tr>
      <w:tr>
        <w:trPr/>
        <w:tc>
          <w:tcPr>
            <w:tcW w:w="462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w:t>
            </w:r>
            <w:r>
              <w:rPr>
                <w:rFonts w:ascii="Times New Roman;sans-serif" w:hAnsi="Times New Roman;sans-serif"/>
                <w:b w:val="false"/>
                <w:color w:val="000000"/>
                <w:sz w:val="22"/>
                <w:u w:val="single"/>
              </w:rPr>
              <w:t>CPI Charges</w:t>
            </w:r>
            <w:r>
              <w:rPr>
                <w:color w:val="000000"/>
              </w:rPr>
              <w:t xml:space="preserve">” </w:t>
            </w:r>
            <w:r>
              <w:rPr>
                <w:rFonts w:ascii="Times New Roman;sans-serif" w:hAnsi="Times New Roman;sans-serif"/>
                <w:b w:val="false"/>
                <w:color w:val="000000"/>
                <w:sz w:val="22"/>
              </w:rPr>
              <w:t>shall mean the annual rental adjustment calculated and payable in accordance with this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w:t>
            </w:r>
            <w:r>
              <w:rPr>
                <w:rFonts w:ascii="Times New Roman;sans-serif" w:hAnsi="Times New Roman;sans-serif"/>
                <w:b w:val="false"/>
                <w:color w:val="000000"/>
                <w:sz w:val="22"/>
                <w:u w:val="single"/>
              </w:rPr>
              <w:t>Cargos IPC</w:t>
            </w:r>
            <w:r>
              <w:rPr>
                <w:color w:val="000000"/>
              </w:rPr>
              <w:t xml:space="preserve">” </w:t>
            </w:r>
            <w:r>
              <w:rPr>
                <w:rFonts w:ascii="Times New Roman;sans-serif" w:hAnsi="Times New Roman;sans-serif"/>
                <w:b w:val="false"/>
                <w:color w:val="000000"/>
                <w:sz w:val="22"/>
              </w:rPr>
              <w:t>significa el ajuste anual de la renta calculado y pagadero en los términos de la presente cláusula.</w:t>
            </w:r>
          </w:p>
          <w:p>
            <w:pPr>
              <w:pStyle w:val="TableContents"/>
              <w:bidi w:val="0"/>
              <w:spacing w:before="0" w:after="0"/>
              <w:jc w:val="both"/>
              <w:rPr/>
            </w:pPr>
            <w:r>
              <w:rPr/>
            </w:r>
          </w:p>
        </w:tc>
      </w:tr>
      <w:tr>
        <w:trPr/>
        <w:tc>
          <w:tcPr>
            <w:tcW w:w="462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w:t>
            </w:r>
            <w:r>
              <w:rPr>
                <w:rFonts w:ascii="Times New Roman;sans-serif" w:hAnsi="Times New Roman;sans-serif"/>
                <w:b w:val="false"/>
                <w:color w:val="000000"/>
                <w:sz w:val="22"/>
                <w:u w:val="single"/>
              </w:rPr>
              <w:t>CPI Index</w:t>
            </w:r>
            <w:r>
              <w:rPr>
                <w:color w:val="000000"/>
              </w:rPr>
              <w:t xml:space="preserve">” </w:t>
            </w:r>
            <w:r>
              <w:rPr>
                <w:rFonts w:ascii="Times New Roman;sans-serif" w:hAnsi="Times New Roman;sans-serif"/>
                <w:b w:val="false"/>
                <w:color w:val="000000"/>
                <w:sz w:val="22"/>
              </w:rPr>
              <w:t>shall mean the Consumer Price Index presently designated as the United States Department of Labor, Bureau of Labor Statistics Consumer Price Index for all Urban Consumers, U.S. City Average, “All Items” (1982-1984 equals 100). In the event that the statistics are not available or in the event that publication of the Consumer Price Index is modified or discontinued in its entirety, the adjustment provided for herein shall be made on the basis of an index chosen by Landlord as a comparable and recognized index of purchasing power of the United States consumer dollar published by the U.S. Department of Labor or other governmental agency. In the event that the CPI Index is not published for the months required for the calculation set forth herein, the parties shall utilize the Consumer Price Index of the previous month preceding the month required for such calculation.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w:t>
            </w:r>
            <w:r>
              <w:rPr>
                <w:rFonts w:ascii="Times New Roman;sans-serif" w:hAnsi="Times New Roman;sans-serif"/>
                <w:b w:val="false"/>
                <w:color w:val="000000"/>
                <w:sz w:val="22"/>
                <w:u w:val="single"/>
              </w:rPr>
              <w:t>Índice IPC</w:t>
            </w:r>
            <w:r>
              <w:rPr>
                <w:color w:val="000000"/>
              </w:rPr>
              <w:t xml:space="preserve">” </w:t>
            </w:r>
            <w:r>
              <w:rPr>
                <w:rFonts w:ascii="Times New Roman;sans-serif" w:hAnsi="Times New Roman;sans-serif"/>
                <w:b w:val="false"/>
                <w:color w:val="000000"/>
                <w:sz w:val="22"/>
              </w:rPr>
              <w:t>significa el Índice de Precios al Consumidor designado actualmente por el Departamento de Trabajo de los Estados Unidos, Departamento de Estadísticas Laborales e Índice de Precios al Consumidor para todos los Consumidores Urbanos, Promedio de Ciudades Estadounidenses, “Todos los Artículos” (1982-1984 igual a 100). En caso de que las estadísticas no estén disponibles o en caso de que la publicación del Índice de Precios al Consumidor sea modificada o interrumpida en su totalidad, el ajuste aquí señalado se llevará a cabo con base en el índice que elija la Arrendadora como un índice comparable y reconocido del poder adquisitivo en dólares de los consumidores en los Estados Unidos, publicado por el Departamento de Trabajo de los Estados Unidos o por otra autoridad. En caso de que el Índice IPC no sea publicado para los meses requeridos para realizar el cálculo aquí señalado, las partes utilizarán el Índice de Precios al Consumidor del mes previo al mes en el que deba hacerse el cálculo.</w:t>
            </w:r>
          </w:p>
          <w:p>
            <w:pPr>
              <w:pStyle w:val="TableContents"/>
              <w:bidi w:val="0"/>
              <w:spacing w:before="0" w:after="0"/>
              <w:jc w:val="both"/>
              <w:rPr/>
            </w:pPr>
            <w:r>
              <w:rPr/>
            </w:r>
          </w:p>
        </w:tc>
      </w:tr>
      <w:tr>
        <w:trPr/>
        <w:tc>
          <w:tcPr>
            <w:tcW w:w="462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w:t>
            </w:r>
            <w:r>
              <w:rPr>
                <w:rFonts w:ascii="Times New Roman;sans-serif" w:hAnsi="Times New Roman;sans-serif"/>
                <w:b w:val="false"/>
                <w:color w:val="000000"/>
                <w:sz w:val="22"/>
                <w:u w:val="single"/>
              </w:rPr>
              <w:t>Additional Extension Year</w:t>
            </w:r>
            <w:r>
              <w:rPr>
                <w:color w:val="000000"/>
              </w:rPr>
              <w:t xml:space="preserve">” </w:t>
            </w:r>
            <w:r>
              <w:rPr>
                <w:rFonts w:ascii="Times New Roman;sans-serif" w:hAnsi="Times New Roman;sans-serif"/>
                <w:b w:val="false"/>
                <w:color w:val="000000"/>
                <w:sz w:val="22"/>
              </w:rPr>
              <w:t>shall mean each twelve (12) month period during the Additional Extension Term from the day of the beginning thereof (or the date in which the succeeding Additional Extension Years begin) and ending on the date which shall be one day prior to the beginning of the thirteenth month from the commencement of the Additional Extension Term (or the date corresponding to the commencement of the Additional Extension Years succeeding the first of them) except that the last Additional Extension Year shall end on the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w:t>
            </w:r>
            <w:r>
              <w:rPr>
                <w:rFonts w:ascii="Times New Roman;sans-serif" w:hAnsi="Times New Roman;sans-serif"/>
                <w:b w:val="false"/>
                <w:color w:val="000000"/>
                <w:sz w:val="22"/>
                <w:u w:val="single"/>
              </w:rPr>
              <w:t>Año de Prórroga Adicional</w:t>
            </w:r>
            <w:r>
              <w:rPr>
                <w:color w:val="000000"/>
              </w:rPr>
              <w:t xml:space="preserve">” </w:t>
            </w:r>
            <w:r>
              <w:rPr>
                <w:rFonts w:ascii="Times New Roman;sans-serif" w:hAnsi="Times New Roman;sans-serif"/>
                <w:b w:val="false"/>
                <w:color w:val="000000"/>
                <w:sz w:val="22"/>
              </w:rPr>
              <w:t>significa cada período de 12 (doce) meses durante el Periodo de Prórroga Adicional, que iniciará el día en que éste comience (o en la fecha que inicien los subsecuentes Años de Prórroga Adicional) y que finaliza en la fecha que será un día antes del inicio del décimo tercer mes a partir del inicio del Periodo de Prórroga Adicional (o de la fecha que corresponda a la fecha de inicio de los Años de Prórroga Adicional siguientes al primero de ellos), con excepción del último Año de Prórroga Adicional, el cual finalizará en la Fecha de Terminación.</w:t>
            </w:r>
          </w:p>
          <w:p>
            <w:pPr>
              <w:pStyle w:val="TableContents"/>
              <w:bidi w:val="0"/>
              <w:spacing w:before="0" w:after="0"/>
              <w:jc w:val="both"/>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5"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54"/>
        <w:gridCol w:w="1539"/>
        <w:gridCol w:w="1545"/>
        <w:gridCol w:w="109"/>
        <w:gridCol w:w="109"/>
        <w:gridCol w:w="109"/>
        <w:gridCol w:w="1472"/>
        <w:gridCol w:w="1472"/>
        <w:gridCol w:w="2096"/>
      </w:tblGrid>
      <w:tr>
        <w:trPr/>
        <w:tc>
          <w:tcPr>
            <w:tcW w:w="17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48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payment of monthly rent payable, from and after the commencement of the second Additional Extension Year, Tenant shall pay CPI Charges, along with applicable value added tax, in monthly installments in the same manner and at the same time as payment of monthly rent. As soon as practicable after the end of the first Additional Extension Year and each succeeding Additional Extension Year during the term of the Lease, Landlord shall notify Tenant in writing of the amount of monthly CPI Charges payable by Tenant to Landlord each month in addition to monthly rent payable for each month of the then current Additional Extension Year. CPI Charges for any Additional Extension Year shall be calculated by multiplying the monthly rent payable by a fraction, the numerator of which shall be the CPI Index for the second month previous to the first month of such Additional Extension Year less the Base Index, and the denominator of which shall be the Base Index. Notwithstanding anything contained in this Amendment Agreement or in the Lease to the contrary, in no event shall the sum of the monthly rent payable and CPI Charges payable in any Additional Extension Year increase at a rate less than three and one-half (3.5%) percent over the sum of the monthly rent payable and CPI Charges payable in the previous Additional Extension Year. Tenant shall continue making such monthly payments, in addition to monthly rent payable, until receipt of notice from Landlord of the actual CPI Charges due from Tenant for such Additional Extension Year. Tenant shall pay Landlord on the first day of each succeeding month of such Additional Extension Year the adjusted amount due for such month until the commencement of the succeeding Additional Extension Year. The failure or delay by Landlord to deliver a notice with respect to CPI Charges for any Additional Extension Year shall not be deemed a waiver of Landlord's right to deliver such notice or to collect CPI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Además del pago de la renta mensual pagadera, a partir del inicio del segundo Año de Prórroga Adicional, la Arrendataria deberá pagar los Cargos IPC así como el impuesto al valor agregado aplicable, en mensualidades de la misma forma y al mismo tiempo en que pague la renta mensual. Tan pronto como sea posible después del término del primer Año de Prórroga Adicional y cada Año de Prórroga Adicional siguiente durante la vigencia del Arrendamiento, la Arrendadora notificará a la Arrendataria por escrito el importe mensual de los Cargos IPC que deberá pagar la Arrendataria a la Arrendadora cada mes, además de la renta mensual pagadera para cada mes del Año de Prórroga Adicional vigente en ese momento. Los Cargos IPC para cualquier Año de Prórroga Adicional serán calculados multiplicando la renta mensual pagadera por una fracción, cuyo numerador será el Índice IPC del segundo mes previo al primer mes de dicho Año de Prórroga Adicional, menos el Índice Base, y cuyo denominador será el Índice Base. No obstante cualquier disposición en contrario contenida en este Convenio Modificatorio o en el Arrendamiento, en ningún caso la suma de la renta mensual pagadera y los Cargos IPC que deban pagarse en cualquier Año de Prórroga Adicional, aumentarán en un porcentaje de menos del </w:t>
            </w:r>
            <w:r>
              <w:rPr>
                <w:rFonts w:ascii="Times New Roman;sans-serif" w:hAnsi="Times New Roman;sans-serif"/>
                <w:b/>
                <w:color w:val="000000"/>
                <w:sz w:val="22"/>
              </w:rPr>
              <w:t>[***]</w:t>
            </w:r>
            <w:r>
              <w:rPr>
                <w:rFonts w:ascii="Times New Roman;sans-serif" w:hAnsi="Times New Roman;sans-serif"/>
                <w:b w:val="false"/>
                <w:color w:val="000000"/>
                <w:sz w:val="22"/>
              </w:rPr>
              <w:t>% (</w:t>
            </w:r>
            <w:r>
              <w:rPr>
                <w:rFonts w:ascii="Times New Roman;sans-serif" w:hAnsi="Times New Roman;sans-serif"/>
                <w:b/>
                <w:color w:val="000000"/>
                <w:sz w:val="22"/>
              </w:rPr>
              <w:t>[***]</w:t>
            </w:r>
            <w:r>
              <w:rPr>
                <w:rFonts w:ascii="Times New Roman;sans-serif" w:hAnsi="Times New Roman;sans-serif"/>
                <w:b w:val="false"/>
                <w:color w:val="000000"/>
                <w:sz w:val="22"/>
              </w:rPr>
              <w:t>) de la suma de la renta mensual pagadera y los Cargos IPC pagaderos durante el Año de Prórroga Adicional previo. La Arrendataria seguirá pagando las mensualidades mencionadas, además de la renta mensual pagadera, hasta que reciba aviso de la Arrendadora sobre los Cargos IPC reales que adeude la Arrendataria para dicho Año de Prórroga Adicional. La Arrendataria pagará a la Arrendadora el primer día de cada mes siguiente al Año de Prórroga Adicional el importe ajustado insoluto para dicho mes, hasta el inicio del Año de Prórroga Adicional siguiente. El incumplimiento o mora por parte de la Arrendadora en entregar el aviso respecto de los Cargos IPC para cualquier Año de Prórroga Adicional, no será considerado como la renuncia del derecho de la Arrendadora de entregar el aviso o de cobrar los Cargos IPC.</w:t>
            </w:r>
          </w:p>
          <w:p>
            <w:pPr>
              <w:pStyle w:val="TableContents"/>
              <w:bidi w:val="0"/>
              <w:spacing w:before="0" w:after="0"/>
              <w:jc w:val="both"/>
              <w:rPr/>
            </w:pPr>
            <w:r>
              <w:rPr/>
            </w:r>
          </w:p>
        </w:tc>
      </w:tr>
      <w:tr>
        <w:trPr/>
        <w:tc>
          <w:tcPr>
            <w:tcW w:w="483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5. </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Notwithstanding Tenants obligation to contract all of the Insurances contained in clause Twelve of the Lease, Parties hereby agree that Landlord additionally will maintain during the Term of the Lease an all risk insurance to cover the Buildings replacement value and that Tenant shall reimburse Landlord in a yearly manner the premium of such insurance up to a maximum amount of USD$</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(the Reimbursement CAP) for the first year of this Extension Term. Such Reimbursement CAP shall increase at a rate of </w:t>
            </w:r>
            <w:r>
              <w:rPr>
                <w:rFonts w:ascii="Times New Roman;sans-serif" w:hAnsi="Times New Roman;sans-serif"/>
                <w:b/>
                <w:color w:val="000000"/>
                <w:sz w:val="22"/>
              </w:rPr>
              <w:t>[***]</w:t>
            </w:r>
            <w:r>
              <w:rPr>
                <w:rFonts w:ascii="Times New Roman;sans-serif" w:hAnsi="Times New Roman;sans-serif"/>
                <w:b w:val="false"/>
                <w:color w:val="000000"/>
                <w:sz w:val="22"/>
              </w:rPr>
              <w:t xml:space="preserve">% annually during the Term of the Lease.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5. </w:t>
            </w:r>
            <w:r>
              <w:rPr>
                <w:rFonts w:ascii="Times New Roman;sans-serif" w:hAnsi="Times New Roman;sans-serif"/>
                <w:b w:val="false"/>
                <w:color w:val="000000"/>
                <w:sz w:val="22"/>
                <w:u w:val="single"/>
              </w:rPr>
              <w:t>Seguro</w:t>
            </w:r>
            <w:r>
              <w:rPr>
                <w:rFonts w:ascii="Times New Roman;sans-serif" w:hAnsi="Times New Roman;sans-serif"/>
                <w:b w:val="false"/>
                <w:color w:val="000000"/>
                <w:sz w:val="22"/>
              </w:rPr>
              <w:t>. Sin perjuicio de que es obligación de la Arrendataria contratar los seguros contenidos en la Clausula Décima Segunda, las Partes reconocen que la Arrendadora, por así convenir sus intereses, adicionalmente mantendrá durante la vigencia del Arrendamiento un seguro de todo riesgo por el valor de reposición del Edificio y la Arrendataria a partir de este momento se compromete a reembolsar anualmente a la Arrendadora la prima de dicho seguro hasta por la cantidad de USD$</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(el Tope de Reembolso) para el primer año de éste Periodo de Prorroga. Dicho Tope de Reembolso será incrementado a una tasa del </w:t>
            </w:r>
            <w:r>
              <w:rPr>
                <w:rFonts w:ascii="Times New Roman;sans-serif" w:hAnsi="Times New Roman;sans-serif"/>
                <w:b/>
                <w:color w:val="000000"/>
                <w:sz w:val="22"/>
              </w:rPr>
              <w:t>[***]</w:t>
            </w:r>
            <w:r>
              <w:rPr>
                <w:rFonts w:ascii="Times New Roman;sans-serif" w:hAnsi="Times New Roman;sans-serif"/>
                <w:b w:val="false"/>
                <w:color w:val="000000"/>
                <w:sz w:val="22"/>
              </w:rPr>
              <w:t xml:space="preserve">% anual durante la Vigencia del Arrendamiento. </w:t>
            </w:r>
          </w:p>
          <w:p>
            <w:pPr>
              <w:pStyle w:val="TableContents"/>
              <w:bidi w:val="0"/>
              <w:spacing w:before="0" w:after="0"/>
              <w:jc w:val="both"/>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6"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51"/>
        <w:gridCol w:w="1451"/>
        <w:gridCol w:w="1454"/>
        <w:gridCol w:w="109"/>
        <w:gridCol w:w="109"/>
        <w:gridCol w:w="109"/>
        <w:gridCol w:w="1556"/>
        <w:gridCol w:w="1556"/>
        <w:gridCol w:w="2210"/>
      </w:tblGrid>
      <w:tr>
        <w:trPr/>
        <w:tc>
          <w:tcPr>
            <w:tcW w:w="16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455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shd w:fill="FFFFFF" w:val="clear"/>
              </w:rPr>
              <w:t xml:space="preserve">6. </w:t>
            </w:r>
            <w:r>
              <w:rPr>
                <w:rFonts w:ascii="Times New Roman;sans-serif" w:hAnsi="Times New Roman;sans-serif"/>
                <w:b w:val="false"/>
                <w:color w:val="000000"/>
                <w:sz w:val="22"/>
                <w:u w:val="single"/>
                <w:shd w:fill="FFFFFF" w:val="clear"/>
              </w:rPr>
              <w:t>Insurance Reimbursement</w:t>
            </w:r>
            <w:r>
              <w:rPr>
                <w:rFonts w:ascii="Times New Roman;sans-serif" w:hAnsi="Times New Roman;sans-serif"/>
                <w:b w:val="false"/>
                <w:color w:val="000000"/>
                <w:sz w:val="22"/>
                <w:shd w:fill="FFFFFF" w:val="clear"/>
              </w:rPr>
              <w:t xml:space="preserve">.  Tenant shall, within ten (10) business days after invoice therefor (accompanied by appropriate back-up), reimburse Landlord for any premiums for all risk insurance maintained by Landlord pursuant to </w:t>
            </w:r>
            <w:r>
              <w:rPr>
                <w:rFonts w:ascii="Times New Roman;sans-serif" w:hAnsi="Times New Roman;sans-serif"/>
                <w:b/>
                <w:color w:val="000000"/>
                <w:sz w:val="22"/>
                <w:shd w:fill="FFFFFF" w:val="clear"/>
              </w:rPr>
              <w:t xml:space="preserve">Clause 5 </w:t>
            </w:r>
            <w:r>
              <w:rPr>
                <w:rFonts w:ascii="Times New Roman;sans-serif" w:hAnsi="Times New Roman;sans-serif"/>
                <w:b w:val="false"/>
                <w:color w:val="000000"/>
                <w:sz w:val="22"/>
                <w:shd w:fill="FFFFFF" w:val="clear"/>
              </w:rPr>
              <w:t xml:space="preserve">herein, </w:t>
            </w:r>
            <w:r>
              <w:rPr>
                <w:rFonts w:ascii="Times New Roman;sans-serif" w:hAnsi="Times New Roman;sans-serif"/>
                <w:b w:val="false"/>
                <w:color w:val="000000"/>
                <w:sz w:val="22"/>
              </w:rPr>
              <w:t>up to the Reimbursement CAP subject to the yearly increases contained in the above clause.</w:t>
            </w:r>
            <w:r>
              <w:rPr>
                <w:color w:val="000000"/>
                <w:shd w:fill="FFFFFF" w:val="clear"/>
              </w:rPr>
              <w:t xml:space="preserve">  </w:t>
            </w:r>
            <w:r>
              <w:rPr>
                <w:rFonts w:ascii="Times New Roman;sans-serif" w:hAnsi="Times New Roman;sans-serif"/>
                <w:b w:val="false"/>
                <w:color w:val="000000"/>
                <w:sz w:val="22"/>
                <w:shd w:fill="FFFFFF" w:val="clear"/>
              </w:rPr>
              <w:t>Amounts not paid within such ten (10) business day period shall bear interest at the rate set forth in Clause 7.4 of the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6. </w:t>
            </w:r>
            <w:r>
              <w:rPr>
                <w:rFonts w:ascii="Times New Roman;sans-serif" w:hAnsi="Times New Roman;sans-serif"/>
                <w:b w:val="false"/>
                <w:color w:val="000000"/>
                <w:sz w:val="22"/>
                <w:u w:val="single"/>
              </w:rPr>
              <w:t>Reembolso de Seguro</w:t>
            </w:r>
            <w:r>
              <w:rPr>
                <w:rFonts w:ascii="Times New Roman;sans-serif" w:hAnsi="Times New Roman;sans-serif"/>
                <w:b w:val="false"/>
                <w:color w:val="000000"/>
                <w:sz w:val="22"/>
              </w:rPr>
              <w:t>. La Arrendataria, dentro de los 10 (diez) días hábiles siguientes a la fecha de la factura correspondiente (misma que deberá acompañarse de la copia correspondiente) deberá rembolsar a la Arrendadora las primas por el seguro de todo riesgo que tiene contratado la Arrendadora en los términos de la Clausula 5 aquí contenida, hasta por el Tope del Reembolso, sujeto a los incrementos contenidos en la cláusula que antecede. Los importes no pagados durante dicho período de 10 (diez) días hábiles estarán sujetos a un interés a la tasa establecida en la Cláusula 7.4 del Arrendamiento.</w:t>
            </w:r>
          </w:p>
          <w:p>
            <w:pPr>
              <w:pStyle w:val="TableContents"/>
              <w:bidi w:val="0"/>
              <w:spacing w:before="0" w:after="0"/>
              <w:jc w:val="left"/>
              <w:rPr/>
            </w:pPr>
            <w:r>
              <w:rPr/>
            </w:r>
          </w:p>
        </w:tc>
      </w:tr>
      <w:tr>
        <w:trPr/>
        <w:tc>
          <w:tcPr>
            <w:tcW w:w="455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6. </w:t>
            </w:r>
            <w:r>
              <w:rPr>
                <w:rFonts w:ascii="Times New Roman;sans-serif" w:hAnsi="Times New Roman;sans-serif"/>
                <w:b w:val="false"/>
                <w:color w:val="000000"/>
                <w:sz w:val="22"/>
                <w:u w:val="single"/>
              </w:rPr>
              <w:t>Maintenance Report</w:t>
            </w:r>
            <w:r>
              <w:rPr>
                <w:rFonts w:ascii="Times New Roman;sans-serif" w:hAnsi="Times New Roman;sans-serif"/>
                <w:b w:val="false"/>
                <w:color w:val="000000"/>
                <w:sz w:val="22"/>
              </w:rPr>
              <w:t xml:space="preserve">. Both parties agree to carry out an inspection visit to the Building at least once each year during the Term of the Lease so that Landlord can evaluate and/or follow up compliance with Tenant’s obligations arising from Clause 6.1 and hereby undertake to execute a report based on the form attached hereto as </w:t>
            </w:r>
            <w:r>
              <w:rPr>
                <w:rFonts w:ascii="Times New Roman;sans-serif" w:hAnsi="Times New Roman;sans-serif"/>
                <w:b/>
                <w:color w:val="000000"/>
                <w:sz w:val="22"/>
                <w:u w:val="single"/>
              </w:rPr>
              <w:t>Exhibit “N”</w:t>
            </w:r>
            <w:r>
              <w:rPr>
                <w:color w:val="000000"/>
              </w:rPr>
              <w:t xml:space="preserve"> </w:t>
            </w:r>
            <w:r>
              <w:rPr>
                <w:rFonts w:ascii="Times New Roman;sans-serif" w:hAnsi="Times New Roman;sans-serif"/>
                <w:b w:val="false"/>
                <w:color w:val="000000"/>
                <w:sz w:val="22"/>
              </w:rPr>
              <w:t>on which representatives of the Parties will record the pending obligations to be performed by Tenant that arise from said visits.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6. </w:t>
            </w:r>
            <w:r>
              <w:rPr>
                <w:rFonts w:ascii="Times New Roman;sans-serif" w:hAnsi="Times New Roman;sans-serif"/>
                <w:b w:val="false"/>
                <w:color w:val="000000"/>
                <w:sz w:val="22"/>
                <w:u w:val="single"/>
              </w:rPr>
              <w:t>Reporte de Mantenimiento</w:t>
            </w:r>
            <w:r>
              <w:rPr>
                <w:rFonts w:ascii="Times New Roman;sans-serif" w:hAnsi="Times New Roman;sans-serif"/>
                <w:b w:val="false"/>
                <w:color w:val="000000"/>
                <w:sz w:val="22"/>
              </w:rPr>
              <w:t xml:space="preserve">. Las Partes convienen en realizar una visita de inspección al Inmueble por lo menos una vez cada año durante la Vigencia del Contrato, a efecto de que la Arrendadora pueda evaluar y/o dar seguimiento al cumplimiento de las obligaciones de la Arrendataria contenidas en la Cláusula 6.1 y se obligan a suscribir un acta con base en el formato que se adjunta al presente como </w:t>
            </w:r>
            <w:r>
              <w:rPr>
                <w:rFonts w:ascii="Times New Roman;sans-serif" w:hAnsi="Times New Roman;sans-serif"/>
                <w:b/>
                <w:color w:val="000000"/>
                <w:sz w:val="22"/>
                <w:u w:val="single"/>
              </w:rPr>
              <w:t>Anexo “N”</w:t>
            </w:r>
            <w:r>
              <w:rPr>
                <w:color w:val="000000"/>
              </w:rPr>
              <w:t xml:space="preserve"> </w:t>
            </w:r>
            <w:r>
              <w:rPr>
                <w:rFonts w:ascii="Times New Roman;sans-serif" w:hAnsi="Times New Roman;sans-serif"/>
                <w:b w:val="false"/>
                <w:color w:val="000000"/>
                <w:sz w:val="22"/>
              </w:rPr>
              <w:t>mediante el cual representantes de las Partes harán constar las obligaciones pendientes de hacer que se deriven de dichos recorridos.</w:t>
            </w:r>
          </w:p>
          <w:p>
            <w:pPr>
              <w:pStyle w:val="TableContents"/>
              <w:bidi w:val="0"/>
              <w:spacing w:before="0" w:after="0"/>
              <w:jc w:val="left"/>
              <w:rPr/>
            </w:pPr>
            <w:r>
              <w:rPr/>
            </w:r>
          </w:p>
        </w:tc>
      </w:tr>
      <w:tr>
        <w:trPr/>
        <w:tc>
          <w:tcPr>
            <w:tcW w:w="455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7. </w:t>
            </w:r>
            <w:r>
              <w:rPr>
                <w:rFonts w:ascii="Times New Roman;sans-serif" w:hAnsi="Times New Roman;sans-serif"/>
                <w:b w:val="false"/>
                <w:color w:val="000000"/>
                <w:sz w:val="22"/>
                <w:u w:val="single"/>
              </w:rPr>
              <w:t>Brokers</w:t>
            </w:r>
            <w:r>
              <w:rPr>
                <w:rFonts w:ascii="Times New Roman;sans-serif" w:hAnsi="Times New Roman;sans-serif"/>
                <w:b w:val="false"/>
                <w:color w:val="000000"/>
                <w:sz w:val="22"/>
              </w:rPr>
              <w:t>. Tenant represents and warrants to Landlord that it shall be solely liable for the payment of any commissions to Tenant’s brokers or advisors. Tenant shall defend, indemnify and hold Landlord harmless from and against any and all liability, loss, damage, expense, claim, action, demand, suit or obligation arising out of or relating to a breach of the foregoing representation and such obligations shall survive the expiration or sooner termination of this Amendment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7. </w:t>
            </w:r>
            <w:r>
              <w:rPr>
                <w:rFonts w:ascii="Times New Roman;sans-serif" w:hAnsi="Times New Roman;sans-serif"/>
                <w:b w:val="false"/>
                <w:color w:val="000000"/>
                <w:sz w:val="22"/>
                <w:u w:val="single"/>
              </w:rPr>
              <w:t>Corredores</w:t>
            </w:r>
            <w:r>
              <w:rPr>
                <w:rFonts w:ascii="Times New Roman;sans-serif" w:hAnsi="Times New Roman;sans-serif"/>
                <w:b w:val="false"/>
                <w:color w:val="000000"/>
                <w:sz w:val="22"/>
              </w:rPr>
              <w:t>. La Arrendataria declara y garantiza a la Arrendadora que será la única responsable por el pago de cualesquier comisiones a sus corredores o asesores. La Arrendataria defenderá, indemnizará y sacará en paz y a salvo a la Arrendadora de toda responsabilidad, pérdida, daño, gasto, reclamación, acción, demanda, litigio u obligación derivada o relacionada con el cumplimiento a las declaraciones señaladas anteriormente y tales obligaciones prevalecerán a la expiración o terminación anticipada del presente Convenio Modificatorio.</w:t>
            </w:r>
          </w:p>
          <w:p>
            <w:pPr>
              <w:pStyle w:val="TableContents"/>
              <w:bidi w:val="0"/>
              <w:spacing w:before="0" w:after="0"/>
              <w:jc w:val="left"/>
              <w:rPr/>
            </w:pPr>
            <w:r>
              <w:rPr/>
            </w:r>
          </w:p>
        </w:tc>
      </w:tr>
      <w:tr>
        <w:trPr/>
        <w:tc>
          <w:tcPr>
            <w:tcW w:w="455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8. </w:t>
            </w:r>
            <w:r>
              <w:rPr>
                <w:rFonts w:ascii="Times New Roman;sans-serif" w:hAnsi="Times New Roman;sans-serif"/>
                <w:b w:val="false"/>
                <w:color w:val="000000"/>
                <w:sz w:val="22"/>
                <w:u w:val="single"/>
              </w:rPr>
              <w:t>Declarations in Scope of the Ley Anti-Lavado.</w:t>
            </w:r>
            <w:r>
              <w:rPr>
                <w:color w:val="000000"/>
              </w:rPr>
              <w:t xml:space="preserve"> </w:t>
            </w:r>
            <w:r>
              <w:rPr>
                <w:rFonts w:ascii="Times New Roman;sans-serif" w:hAnsi="Times New Roman;sans-serif"/>
                <w:b w:val="false"/>
                <w:color w:val="000000"/>
                <w:sz w:val="22"/>
              </w:rPr>
              <w:t>In order to comply with the obligations of the Federal Law for the Prevention and Identification of Operations with Illicit Resources (</w:t>
            </w:r>
            <w:r>
              <w:rPr>
                <w:rFonts w:ascii="Times New Roman;sans-serif" w:hAnsi="Times New Roman;sans-serif"/>
                <w:b w:val="false"/>
                <w:i/>
                <w:color w:val="000000"/>
                <w:sz w:val="22"/>
              </w:rPr>
              <w:t>Ley Federal para la Prevención e Identificación de Operaciones con Recursos de Porcedencia Ilícita</w:t>
            </w:r>
            <w:r>
              <w:rPr>
                <w:rFonts w:ascii="Times New Roman;sans-serif" w:hAnsi="Times New Roman;sans-serif"/>
                <w:b w:val="false"/>
                <w:color w:val="000000"/>
                <w:sz w:val="22"/>
              </w:rPr>
              <w:t>) (hereinafter the “</w:t>
            </w:r>
            <w:r>
              <w:rPr>
                <w:rFonts w:ascii="Times New Roman;sans-serif" w:hAnsi="Times New Roman;sans-serif"/>
                <w:b w:val="false"/>
                <w:color w:val="000000"/>
                <w:sz w:val="22"/>
                <w:u w:val="single"/>
              </w:rPr>
              <w:t xml:space="preserve">Ley Anti-Lavado”), </w:t>
            </w:r>
            <w:r>
              <w:rPr>
                <w:rFonts w:ascii="Times New Roman;sans-serif" w:hAnsi="Times New Roman;sans-serif"/>
                <w:b w:val="false"/>
                <w:color w:val="000000"/>
                <w:sz w:val="22"/>
              </w:rPr>
              <w:t>Tenant agrees to the following:</w:t>
            </w:r>
          </w:p>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8. </w:t>
            </w:r>
            <w:r>
              <w:rPr>
                <w:rFonts w:ascii="Times New Roman;sans-serif" w:hAnsi="Times New Roman;sans-serif"/>
                <w:b w:val="false"/>
                <w:color w:val="000000"/>
                <w:sz w:val="22"/>
                <w:u w:val="single"/>
              </w:rPr>
              <w:t>Declaraciones Ley Antilavado</w:t>
            </w:r>
            <w:r>
              <w:rPr>
                <w:rFonts w:ascii="Times New Roman;sans-serif" w:hAnsi="Times New Roman;sans-serif"/>
                <w:b w:val="false"/>
                <w:color w:val="000000"/>
                <w:sz w:val="22"/>
              </w:rPr>
              <w:t>. A fin de dar cumplimiento con las obligaciones derivadas de la Ley Federal para la Prevención e Identificación de Operaciones con Recursos de Procedencia Ilícita (en lo sucesivo la “</w:t>
            </w:r>
            <w:r>
              <w:rPr>
                <w:rFonts w:ascii="Times New Roman;sans-serif" w:hAnsi="Times New Roman;sans-serif"/>
                <w:b w:val="false"/>
                <w:color w:val="000000"/>
                <w:sz w:val="22"/>
                <w:u w:val="single"/>
              </w:rPr>
              <w:t>Ley Anti-Lavado</w:t>
            </w:r>
            <w:r>
              <w:rPr>
                <w:color w:val="000000"/>
              </w:rPr>
              <w:t>”</w:t>
            </w:r>
            <w:r>
              <w:rPr>
                <w:rFonts w:ascii="Times New Roman;sans-serif" w:hAnsi="Times New Roman;sans-serif"/>
                <w:b w:val="false"/>
                <w:color w:val="000000"/>
                <w:sz w:val="22"/>
              </w:rPr>
              <w:t>), la Arrendataria se obliga a lo siguiente:</w:t>
            </w:r>
          </w:p>
        </w:tc>
      </w:tr>
      <w:tr>
        <w:trPr/>
        <w:tc>
          <w:tcPr>
            <w:tcW w:w="455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(i) Deliver to Landlord a copy of the Tax Identity Card (</w:t>
            </w:r>
            <w:r>
              <w:rPr>
                <w:rFonts w:ascii="Times New Roman;sans-serif" w:hAnsi="Times New Roman;sans-serif"/>
                <w:b w:val="false"/>
                <w:i/>
                <w:color w:val="000000"/>
                <w:sz w:val="22"/>
              </w:rPr>
              <w:t>Cédula de Identificación Fiscal</w:t>
            </w:r>
            <w:r>
              <w:rPr>
                <w:rFonts w:ascii="Times New Roman;sans-serif" w:hAnsi="Times New Roman;sans-serif"/>
                <w:b w:val="false"/>
                <w:color w:val="000000"/>
                <w:sz w:val="22"/>
              </w:rPr>
              <w:t>), and any actualization of data before the Tax Administration Service (Servicio de Administración Tributaria), in the month in which the change is made.</w:t>
            </w:r>
          </w:p>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Entregar a la Arrendadora copia de la cédula de identificación fiscal y de cualquier actualización de datos ante el Servicio de Administración Tributaria, dentro del mes en que se realice el cambio.</w:t>
            </w:r>
          </w:p>
        </w:tc>
      </w:tr>
      <w:tr>
        <w:trPr/>
        <w:tc>
          <w:tcPr>
            <w:tcW w:w="455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(ii) Provide Landlord (i) a copy of an official identification of its representatives, (ii) a copy of the Unique Population Registry Key (</w:t>
            </w:r>
            <w:r>
              <w:rPr>
                <w:rFonts w:ascii="Times New Roman;sans-serif" w:hAnsi="Times New Roman;sans-serif"/>
                <w:b w:val="false"/>
                <w:i/>
                <w:color w:val="000000"/>
                <w:sz w:val="22"/>
              </w:rPr>
              <w:t>CURP</w:t>
            </w:r>
            <w:r>
              <w:rPr>
                <w:rFonts w:ascii="Times New Roman;sans-serif" w:hAnsi="Times New Roman;sans-serif"/>
                <w:b w:val="false"/>
                <w:color w:val="000000"/>
                <w:sz w:val="22"/>
              </w:rPr>
              <w:t>), or a copy of the Tax Identification Card (C</w:t>
            </w:r>
            <w:r>
              <w:rPr>
                <w:rFonts w:ascii="Times New Roman;sans-serif" w:hAnsi="Times New Roman;sans-serif"/>
                <w:b w:val="false"/>
                <w:i/>
                <w:color w:val="000000"/>
                <w:sz w:val="22"/>
              </w:rPr>
              <w:t>édula de Identificación Fiscal</w:t>
            </w:r>
            <w:r>
              <w:rPr>
                <w:rFonts w:ascii="Times New Roman;sans-serif" w:hAnsi="Times New Roman;sans-serif"/>
                <w:b w:val="false"/>
                <w:color w:val="000000"/>
                <w:sz w:val="22"/>
              </w:rPr>
              <w:t>) of their representatives, in addition Tenant shall deliver to Landlord a copy of the above documents in case of a change of representatives, within the month in which the change is made.</w:t>
            </w:r>
          </w:p>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 Entregar a la Arrendadora (i) copia de identificación oficial de sus apoderados, (ii) copia de la Clave Única de Registro Poblacional (CURP), o copia de la cédula de identificación fiscal de sus apoderados, así mismo entregará copia de los documentos mencionados anteriormente en caso de algún cambio de apoderado, dentro del mes en que se realice dicho cambio.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86"/>
        <w:gridCol w:w="1418"/>
        <w:gridCol w:w="1424"/>
        <w:gridCol w:w="109"/>
        <w:gridCol w:w="109"/>
        <w:gridCol w:w="109"/>
        <w:gridCol w:w="1644"/>
        <w:gridCol w:w="1532"/>
        <w:gridCol w:w="2174"/>
      </w:tblGrid>
      <w:tr>
        <w:trPr/>
        <w:tc>
          <w:tcPr>
            <w:tcW w:w="1686"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(iii) Deliver to Landlord a copy of the Tax Identity Card of the Controlling Beneficiary, or the articles of incorporation of the Controlling Beneficiary; in addition Tenant shall deliver to Landlord a copy of the documents mentioned here, in case of any change in the Controlling Beneficiary or Beneficiaries, within the month in which the change is made.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(iii) Entregar a la Arrendadora copia de la cédula de identificación fiscal del o de los Beneficiarios Controladores, o acta constitutiva de los Beneficiarios Controladores; así mismo entregará copia de los documentos que aquí se menciona en caso de algún cambio de Beneficiario Controlador, dentro del mes en que se realice dicho cambio.</w:t>
            </w:r>
          </w:p>
          <w:p>
            <w:pPr>
              <w:pStyle w:val="TableContents"/>
              <w:bidi w:val="0"/>
              <w:spacing w:before="0" w:after="0"/>
              <w:jc w:val="both"/>
              <w:rPr/>
            </w:pPr>
            <w:r>
              <w:rPr/>
            </w:r>
          </w:p>
        </w:tc>
      </w:tr>
      <w:tr>
        <w:trPr/>
        <w:tc>
          <w:tcPr>
            <w:tcW w:w="452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(iv) Simultaneously with the execution of this Amendment Agreement, Tenant shall deliver to Landlord the document identified as Declarations in Scope of the Ley Anti-Lavado, in the format attached hereto as </w:t>
            </w:r>
            <w:r>
              <w:rPr>
                <w:rFonts w:ascii="Times New Roman;sans-serif" w:hAnsi="Times New Roman;sans-serif"/>
                <w:b w:val="false"/>
                <w:color w:val="000000"/>
                <w:sz w:val="22"/>
                <w:u w:val="single"/>
              </w:rPr>
              <w:t>Exhibit “L”</w:t>
            </w:r>
            <w:r>
              <w:rPr>
                <w:rFonts w:ascii="Times New Roman;sans-serif" w:hAnsi="Times New Roman;sans-serif"/>
                <w:b w:val="false"/>
                <w:color w:val="000000"/>
                <w:sz w:val="22"/>
              </w:rPr>
              <w:t xml:space="preserve">, which shall be signed by the Tenant under oath; by which Tenant also agrees to deliver to Landlord within the month in which a change is made to the information previously provided in the Declarations in Scope of the Ley Anti-Lavado, the corresponding update in the format contained in </w:t>
            </w:r>
            <w:r>
              <w:rPr>
                <w:rFonts w:ascii="Times New Roman;sans-serif" w:hAnsi="Times New Roman;sans-serif"/>
                <w:b w:val="false"/>
                <w:color w:val="000000"/>
                <w:sz w:val="22"/>
                <w:u w:val="single"/>
              </w:rPr>
              <w:t>Exhibit “L”</w:t>
            </w:r>
            <w:r>
              <w:rPr>
                <w:rFonts w:ascii="Times New Roman;sans-serif" w:hAnsi="Times New Roman;sans-serif"/>
                <w:b w:val="false"/>
                <w:color w:val="000000"/>
                <w:sz w:val="22"/>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(iv) Simultáneamente a la firma del presente Contrato Modificatorio, la Arrendataria entregará a la Arrendadora el documento identificado como Declaraciones en Alcance a la Ley Anti-Lavado, en el formato que se adjunta al presente Convenio Modificatorio como </w:t>
            </w:r>
            <w:r>
              <w:rPr>
                <w:rFonts w:ascii="Times New Roman;sans-serif" w:hAnsi="Times New Roman;sans-serif"/>
                <w:b w:val="false"/>
                <w:color w:val="000000"/>
                <w:sz w:val="22"/>
                <w:u w:val="single"/>
              </w:rPr>
              <w:t>Anexo “L”</w:t>
            </w:r>
            <w:r>
              <w:rPr>
                <w:rFonts w:ascii="Times New Roman;sans-serif" w:hAnsi="Times New Roman;sans-serif"/>
                <w:b w:val="false"/>
                <w:color w:val="000000"/>
                <w:sz w:val="22"/>
              </w:rPr>
              <w:t xml:space="preserve">, mismo que es suscrito por la Arrendataria bajo protesta de decir verdad; y por medio del cual se compromete a entregar a la Arrendadora, dentro del mes en que ocurra algún cambio a la información previamente proporcionada en las Declaraciones en Alcance a la Ley Anti-Lavado, la actualización correspondiente en el formato contenido en el </w:t>
            </w:r>
            <w:r>
              <w:rPr>
                <w:rFonts w:ascii="Times New Roman;sans-serif" w:hAnsi="Times New Roman;sans-serif"/>
                <w:b w:val="false"/>
                <w:color w:val="000000"/>
                <w:sz w:val="22"/>
                <w:u w:val="single"/>
              </w:rPr>
              <w:t>Anexo “L”</w:t>
            </w:r>
            <w:r>
              <w:rPr>
                <w:rFonts w:ascii="Times New Roman;sans-serif" w:hAnsi="Times New Roman;sans-serif"/>
                <w:b w:val="false"/>
                <w:color w:val="000000"/>
                <w:sz w:val="22"/>
              </w:rPr>
              <w:t>.</w:t>
            </w:r>
          </w:p>
          <w:p>
            <w:pPr>
              <w:pStyle w:val="TableContents"/>
              <w:bidi w:val="0"/>
              <w:spacing w:before="0" w:after="0"/>
              <w:jc w:val="both"/>
              <w:rPr/>
            </w:pPr>
            <w:r>
              <w:rPr/>
            </w:r>
          </w:p>
        </w:tc>
      </w:tr>
      <w:tr>
        <w:trPr/>
        <w:tc>
          <w:tcPr>
            <w:tcW w:w="452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(v) Tenant agrees to deliver to Landlord the updates of the Declarations in Scope of the Ley Anti-Lavado, which is attached to the present Amendment Agreement. as </w:t>
            </w:r>
            <w:r>
              <w:rPr>
                <w:rFonts w:ascii="Times New Roman;sans-serif" w:hAnsi="Times New Roman;sans-serif"/>
                <w:b w:val="false"/>
                <w:color w:val="000000"/>
                <w:sz w:val="22"/>
                <w:u w:val="single"/>
              </w:rPr>
              <w:t>Exhibit “L”</w:t>
            </w:r>
            <w:r>
              <w:rPr>
                <w:rFonts w:ascii="Times New Roman;sans-serif" w:hAnsi="Times New Roman;sans-serif"/>
                <w:b w:val="false"/>
                <w:color w:val="000000"/>
                <w:sz w:val="22"/>
              </w:rPr>
              <w:t>, at the request of the Landlord, within twenty (20) business days following such request.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(v)  La Arrendataria se obliga a entregar a la Arrendadora la actualización a las Declaraciones en Alcance a la Ley Anti-lavado en el formato que se adjunta al presente Convenio Modificatorio como </w:t>
            </w:r>
            <w:r>
              <w:rPr>
                <w:rFonts w:ascii="Times New Roman;sans-serif" w:hAnsi="Times New Roman;sans-serif"/>
                <w:b w:val="false"/>
                <w:color w:val="000000"/>
                <w:sz w:val="22"/>
                <w:u w:val="single"/>
              </w:rPr>
              <w:t>Anexo “L”</w:t>
            </w:r>
            <w:r>
              <w:rPr>
                <w:rFonts w:ascii="Times New Roman;sans-serif" w:hAnsi="Times New Roman;sans-serif"/>
                <w:b w:val="false"/>
                <w:color w:val="000000"/>
                <w:sz w:val="22"/>
              </w:rPr>
              <w:t>, a solicitud de la Arrendadora, dentro de los 20 (veinte) días hábiles siguientes a dicha solicitud.</w:t>
            </w:r>
          </w:p>
          <w:p>
            <w:pPr>
              <w:pStyle w:val="TableContents"/>
              <w:bidi w:val="0"/>
              <w:spacing w:before="0" w:after="0"/>
              <w:jc w:val="both"/>
              <w:rPr/>
            </w:pPr>
            <w:r>
              <w:rPr/>
            </w:r>
          </w:p>
        </w:tc>
      </w:tr>
      <w:tr>
        <w:trPr/>
        <w:tc>
          <w:tcPr>
            <w:tcW w:w="45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(vi) Tenant agrees to provide Landlord with any and all additional information reasonably required by the Landlord in order to comply with the obligations under the Ley Anti-Lavado.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(vi) La Arrendataria se obliga a proporcionar a la Arrendadora cualquier información adicional que sea razonablemente requerida por la Arrendadora para dar cumplimiento con las obligaciones contenidas en la Ley Anti-Lavado</w:t>
            </w:r>
          </w:p>
          <w:p>
            <w:pPr>
              <w:pStyle w:val="TableContents"/>
              <w:bidi w:val="0"/>
              <w:spacing w:before="0" w:after="0"/>
              <w:jc w:val="both"/>
              <w:rPr/>
            </w:pPr>
            <w:r>
              <w:rPr/>
            </w:r>
          </w:p>
        </w:tc>
      </w:tr>
      <w:tr>
        <w:trPr/>
        <w:tc>
          <w:tcPr>
            <w:tcW w:w="452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9. </w:t>
            </w:r>
            <w:r>
              <w:rPr>
                <w:rFonts w:ascii="Times New Roman;sans-serif" w:hAnsi="Times New Roman;sans-serif"/>
                <w:b w:val="false"/>
                <w:color w:val="000000"/>
                <w:sz w:val="22"/>
                <w:u w:val="single"/>
              </w:rPr>
              <w:t>Guarantor</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Guarantor hereby consents on the terms of this Amendment Agreement, and expressly acknowledges and agrees that the Guaranty of Lease granted by the same in favor of Landlord on October 5, 2012, shall remain valid, in full force and effects after this Amendment Agreement.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9. </w:t>
            </w:r>
            <w:r>
              <w:rPr>
                <w:rFonts w:ascii="Times New Roman;sans-serif" w:hAnsi="Times New Roman;sans-serif"/>
                <w:b w:val="false"/>
                <w:color w:val="000000"/>
                <w:sz w:val="22"/>
                <w:u w:val="single"/>
              </w:rPr>
              <w:t>Garante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El Garante</w:t>
            </w:r>
            <w:r>
              <w:rPr>
                <w:color w:val="000000"/>
              </w:rPr>
              <w:t xml:space="preserve"> </w:t>
            </w:r>
            <w:r>
              <w:rPr>
                <w:rFonts w:ascii="Times New Roman;sans-serif" w:hAnsi="Times New Roman;sans-serif"/>
                <w:b w:val="false"/>
                <w:color w:val="000000"/>
                <w:sz w:val="22"/>
              </w:rPr>
              <w:t>en este acto consiente en los términos de este Convenio Modificatorio, y expresamente reconoce y acepta que la Garantía de Arrendamiento que otorgó con fecha 5 de octubre de 2012, permanecerá válida, vigente y con plenos efectos legales aun después de este Convenio Modificatorio.</w:t>
            </w:r>
          </w:p>
          <w:p>
            <w:pPr>
              <w:pStyle w:val="TableContents"/>
              <w:bidi w:val="0"/>
              <w:spacing w:before="0" w:after="0"/>
              <w:jc w:val="both"/>
              <w:rPr/>
            </w:pPr>
            <w:r>
              <w:rPr/>
            </w:r>
          </w:p>
        </w:tc>
      </w:tr>
      <w:tr>
        <w:trPr/>
        <w:tc>
          <w:tcPr>
            <w:tcW w:w="452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10. </w:t>
            </w:r>
            <w:r>
              <w:rPr>
                <w:rFonts w:ascii="Times New Roman;sans-serif" w:hAnsi="Times New Roman;sans-serif"/>
                <w:b w:val="false"/>
                <w:color w:val="000000"/>
                <w:sz w:val="22"/>
                <w:u w:val="single"/>
              </w:rPr>
              <w:t>No Other Modification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Except as modified by this Amendment Agreement, the Lease and all covenants, agreements, terms and conditions thereof (including, without limitation, the recitals) shall remain in full force and effect and are hereby in all respects ratified and confirmed.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10. </w:t>
            </w:r>
            <w:r>
              <w:rPr>
                <w:rFonts w:ascii="Times New Roman;sans-serif" w:hAnsi="Times New Roman;sans-serif"/>
                <w:b w:val="false"/>
                <w:color w:val="000000"/>
                <w:sz w:val="22"/>
                <w:u w:val="single"/>
              </w:rPr>
              <w:t>Ninguna otra modificación</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 excepción de lo Estipulado por este Convenio Modificatorio, el Arrendamiento y todos los convenios, contratos, términos, condiciones del mismo (incluyendo, sin limitación, las declaraciones) deberán mantenerse en pleno vigor y efecto y por medio del presente en todos sus puntos se ratifican y confirman.</w:t>
            </w:r>
          </w:p>
          <w:p>
            <w:pPr>
              <w:pStyle w:val="TableContents"/>
              <w:bidi w:val="0"/>
              <w:spacing w:before="0" w:after="0"/>
              <w:jc w:val="both"/>
              <w:rPr/>
            </w:pPr>
            <w:r>
              <w:rPr/>
            </w:r>
          </w:p>
        </w:tc>
      </w:tr>
      <w:tr>
        <w:trPr/>
        <w:tc>
          <w:tcPr>
            <w:tcW w:w="452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11.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This Amendment Agreement has been prepared in English and Spanish. In case of conflicts in the translation or interpretation thereof, the Spanish version will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11. </w:t>
            </w:r>
            <w:r>
              <w:rPr>
                <w:rFonts w:ascii="Times New Roman;sans-serif" w:hAnsi="Times New Roman;sans-serif"/>
                <w:b w:val="false"/>
                <w:color w:val="000000"/>
                <w:sz w:val="22"/>
                <w:u w:val="single"/>
              </w:rPr>
              <w:t>Idioma</w:t>
            </w:r>
            <w:r>
              <w:rPr>
                <w:rFonts w:ascii="Times New Roman;sans-serif" w:hAnsi="Times New Roman;sans-serif"/>
                <w:b w:val="false"/>
                <w:color w:val="000000"/>
                <w:sz w:val="22"/>
              </w:rPr>
              <w:t>. Este Convenio Modificatorio ha sido preparado en inglés y en español. En caso de conflicto en la traducción o interpretación, la versión en español será la que prevalecerá.</w:t>
            </w:r>
          </w:p>
          <w:p>
            <w:pPr>
              <w:pStyle w:val="TableContents"/>
              <w:bidi w:val="0"/>
              <w:spacing w:before="0" w:after="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40"/>
        <w:gridCol w:w="1399"/>
        <w:gridCol w:w="1406"/>
        <w:gridCol w:w="109"/>
        <w:gridCol w:w="109"/>
        <w:gridCol w:w="109"/>
        <w:gridCol w:w="1561"/>
        <w:gridCol w:w="1519"/>
        <w:gridCol w:w="2153"/>
      </w:tblGrid>
      <w:tr>
        <w:trPr/>
        <w:tc>
          <w:tcPr>
            <w:tcW w:w="184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12. </w:t>
            </w:r>
            <w:r>
              <w:rPr>
                <w:rFonts w:ascii="Times New Roman;sans-serif" w:hAnsi="Times New Roman;sans-serif"/>
                <w:b w:val="false"/>
                <w:color w:val="000000"/>
                <w:sz w:val="22"/>
                <w:u w:val="single"/>
              </w:rPr>
              <w:t>Jurisdiction</w:t>
            </w:r>
            <w:r>
              <w:rPr>
                <w:rFonts w:ascii="Times New Roman;sans-serif" w:hAnsi="Times New Roman;sans-serif"/>
                <w:b w:val="false"/>
                <w:color w:val="000000"/>
                <w:sz w:val="22"/>
              </w:rPr>
              <w:t>. Any dispute, controversy or claim arising out of or related to this Amendment Agreement or a breach hereof, shall be resolved pursuant to the applicable laws and under the jurisdiction of the competent courts of Tijuana, Baja California,, to which the Parties hereby expressly agree to submit, waiving any other jurisdiction which might be applicable by reason of their present or future domiciles or otherwise.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 xml:space="preserve">12. </w:t>
            </w:r>
            <w:r>
              <w:rPr>
                <w:rFonts w:ascii="Times New Roman;sans-serif" w:hAnsi="Times New Roman;sans-serif"/>
                <w:b w:val="false"/>
                <w:color w:val="000000"/>
                <w:sz w:val="22"/>
                <w:u w:val="single"/>
              </w:rPr>
              <w:t>Jurisdicción</w:t>
            </w:r>
            <w:r>
              <w:rPr>
                <w:rFonts w:ascii="Times New Roman;sans-serif" w:hAnsi="Times New Roman;sans-serif"/>
                <w:b w:val="false"/>
                <w:color w:val="000000"/>
                <w:sz w:val="22"/>
              </w:rPr>
              <w:t>. Para cualquier disputa, controversia o reclamación derivada o relacionada con el presente Convenio Modificatorio o el incumplimiento con el mismo, será resuelto por las leyes aplicables y los Tribunales competentes de Tijuana, Baja California, y las Partes en este acto acuerdan someterse a la jurisdicción de dichos tribunales, renunciando a cualquier otro fuero que pudiera corresponderles por motivo de sus domicilios presente o futuros, o por cualquier otro motivo.</w:t>
            </w:r>
          </w:p>
          <w:p>
            <w:pPr>
              <w:pStyle w:val="TableContents"/>
              <w:bidi w:val="0"/>
              <w:spacing w:before="0" w:after="0"/>
              <w:jc w:val="both"/>
              <w:rPr/>
            </w:pPr>
            <w:r>
              <w:rPr/>
            </w:r>
          </w:p>
        </w:tc>
      </w:tr>
      <w:tr>
        <w:trPr/>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have executed this Amendment Agreement as of the day and year first above written, with retroactive effect as of August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2"/>
              </w:rPr>
              <w:t xml:space="preserve">EN VIRTUD DE LO CUAL, </w:t>
            </w:r>
            <w:r>
              <w:rPr>
                <w:rFonts w:ascii="Times New Roman;sans-serif" w:hAnsi="Times New Roman;sans-serif"/>
                <w:b w:val="false"/>
                <w:color w:val="000000"/>
                <w:sz w:val="22"/>
              </w:rPr>
              <w:t>las Partes celebran el presente Convenio Modificatorio en la fecha antes mencionada, "con efectes retroactives al dia 17 de agosto del ano 2023."</w:t>
            </w:r>
          </w:p>
          <w:p>
            <w:pPr>
              <w:pStyle w:val="TableContents"/>
              <w:bidi w:val="0"/>
              <w:spacing w:before="0" w:after="0"/>
              <w:jc w:val="left"/>
              <w:rPr/>
            </w:pPr>
            <w:r>
              <w:rPr/>
            </w:r>
          </w:p>
        </w:tc>
      </w:tr>
      <w:tr>
        <w:trPr/>
        <w:tc>
          <w:tcPr>
            <w:tcW w:w="464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Landlord / Arrendadora:</w:t>
            </w:r>
          </w:p>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Santa Maria Industrial Partners, L.P.</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rPr>
              <w:t xml:space="preserve">By/Por: </w:t>
            </w:r>
            <w:r>
              <w:rPr>
                <w:rFonts w:ascii="Times New Roman;sans-serif" w:hAnsi="Times New Roman;sans-serif"/>
                <w:b w:val="false"/>
                <w:color w:val="000000"/>
                <w:sz w:val="22"/>
                <w:u w:val="single"/>
              </w:rPr>
              <w:t>/s/ Marcelo Durán Roux</w:t>
            </w:r>
            <w:r>
              <w:rPr>
                <w:color w:val="000000"/>
              </w:rPr>
              <w:t xml:space="preserve">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Name/Nombre: Marcelo Durán Roux</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Its/Su: Representante Legal / Legal Representative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Tenant / Arrendataria:</w:t>
            </w:r>
          </w:p>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Haemonetics México Manufacturing, S. de R.L. de C.V.</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rPr>
              <w:t xml:space="preserve">By/Por: </w:t>
            </w:r>
            <w:r>
              <w:rPr>
                <w:rFonts w:ascii="Times New Roman;sans-serif" w:hAnsi="Times New Roman;sans-serif"/>
                <w:b w:val="false"/>
                <w:color w:val="000000"/>
                <w:sz w:val="22"/>
                <w:u w:val="single"/>
              </w:rPr>
              <w:t>/s/ James D’Arecca</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Name/Nombre: James D’Arecca</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Its/Su: Representante Legal / Legal Representative</w:t>
            </w:r>
          </w:p>
          <w:p>
            <w:pPr>
              <w:pStyle w:val="TableContents"/>
              <w:bidi w:val="0"/>
              <w:spacing w:before="0" w:after="0"/>
              <w:jc w:val="left"/>
              <w:rPr/>
            </w:pPr>
            <w:r>
              <w:rPr/>
            </w:r>
          </w:p>
        </w:tc>
      </w:tr>
      <w:tr>
        <w:trPr/>
        <w:tc>
          <w:tcPr>
            <w:tcW w:w="46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Guarantor / Garante:</w:t>
            </w:r>
          </w:p>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Haemonetics Corporation</w:t>
            </w:r>
          </w:p>
          <w:p>
            <w:pPr>
              <w:pStyle w:val="TableContents"/>
              <w:bidi w:val="0"/>
              <w:spacing w:before="0" w:after="0"/>
              <w:jc w:val="center"/>
              <w:rPr/>
            </w:pPr>
            <w:r>
              <w:rPr/>
            </w:r>
          </w:p>
          <w:p>
            <w:pPr>
              <w:pStyle w:val="TableContents"/>
              <w:bidi w:val="0"/>
              <w:spacing w:lineRule="auto" w:line="240" w:before="0" w:after="0"/>
              <w:jc w:val="left"/>
              <w:rPr/>
            </w:pPr>
            <w:r>
              <w:rPr>
                <w:rFonts w:ascii="Times New Roman;sans-serif" w:hAnsi="Times New Roman;sans-serif"/>
                <w:b w:val="false"/>
                <w:color w:val="000000"/>
                <w:sz w:val="22"/>
              </w:rPr>
              <w:t xml:space="preserve">By/Por: </w:t>
            </w:r>
            <w:r>
              <w:rPr>
                <w:rFonts w:ascii="Times New Roman;sans-serif" w:hAnsi="Times New Roman;sans-serif"/>
                <w:b w:val="false"/>
                <w:color w:val="000000"/>
                <w:sz w:val="22"/>
                <w:u w:val="single"/>
              </w:rPr>
              <w:t>/s/ James D’Arecca</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Name/Nombre: James D’Arecca</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Its/Su: 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By/Por: </w:t>
            </w:r>
            <w:r>
              <w:rPr>
                <w:rFonts w:ascii="Times New Roman;sans-serif" w:hAnsi="Times New Roman;sans-serif"/>
                <w:b w:val="false"/>
                <w:color w:val="000000"/>
                <w:sz w:val="22"/>
                <w:u w:val="single"/>
              </w:rPr>
              <w:t>/s/ Josep Llorens</w:t>
            </w:r>
            <w:r>
              <w:rPr>
                <w:color w:val="000000"/>
              </w:rPr>
              <w:t xml:space="preserve">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Name/Nombre: Josep Llorens</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Its/Su: Representante Legal / Legal Representative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right"/>
        <w:rPr/>
      </w:pPr>
      <w:r>
        <w:rPr/>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CERTAIN INFORMATION HAS BEEN OMITTED FROM THIS DOCUMENT BECAUSE IT IS NOT MATERIAL, IS THE TYPE THAT HAEMONETICS CORPORATION TREATS AS CONFIDENTIAL AND WOULD BE COMPETITIVELY HARMFUL IF PUBLICLY DISCLOSED. OMISSIONS ARE MARKED [***].</w:t>
      </w:r>
    </w:p>
    <w:p>
      <w:pPr>
        <w:pStyle w:val="TextBody"/>
        <w:bidi w:val="0"/>
        <w:spacing w:lineRule="auto" w:line="240" w:before="0" w:after="240"/>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10.4</w:t>
      </w:r>
    </w:p>
    <w:p>
      <w:pPr>
        <w:pStyle w:val="TextBody"/>
        <w:bidi w:val="0"/>
        <w:spacing w:before="0" w:after="240"/>
        <w:ind w:left="0" w:right="0" w:firstLine="720"/>
        <w:jc w:val="left"/>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125 SUMMER STREET</w:t>
        <w:br/>
        <w:t>BOSTON, MA</w:t>
      </w:r>
    </w:p>
    <w:p>
      <w:pPr>
        <w:pStyle w:val="TextBody"/>
        <w:bidi w:val="0"/>
        <w:spacing w:before="0" w:after="240"/>
        <w:ind w:left="0" w:right="0" w:firstLine="720"/>
        <w:jc w:val="left"/>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OFFICE LEASE AGREEMENT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BETWEEN</w:t>
      </w:r>
    </w:p>
    <w:p>
      <w:pPr>
        <w:pStyle w:val="TextBody"/>
        <w:bidi w:val="0"/>
        <w:spacing w:before="0" w:after="240"/>
        <w:ind w:left="0" w:right="0" w:firstLine="720"/>
        <w:jc w:val="left"/>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OPG 125 SUMMER OWNER (DE) LLC, </w:t>
        <w:br/>
        <w:t>a Delaware limited liability company,</w:t>
        <w:br/>
        <w:t>AS LANDLORD</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before="0" w:after="240"/>
        <w:ind w:left="0" w:right="0" w:firstLine="720"/>
        <w:jc w:val="left"/>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HAEMONETICS CORPORATION,</w:t>
        <w:br/>
        <w:t>a Massachusetts corporation,</w:t>
        <w:br/>
        <w:t>AS TENANT</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OFFICE LEASE AGREEMENT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TABLE OF CONTENTS</w:t>
      </w:r>
    </w:p>
    <w:p>
      <w:pPr>
        <w:pStyle w:val="TextBody"/>
        <w:bidi w:val="0"/>
        <w:spacing w:before="120" w:after="120"/>
        <w:jc w:val="left"/>
        <w:rPr/>
      </w:pPr>
      <w:r>
        <w:rPr/>
      </w:r>
    </w:p>
    <w:tbl>
      <w:tblPr>
        <w:tblW w:w="9340" w:type="dxa"/>
        <w:jc w:val="left"/>
        <w:tblInd w:w="0" w:type="dxa"/>
        <w:tblLayout w:type="fixed"/>
        <w:tblCellMar>
          <w:top w:w="28" w:type="dxa"/>
          <w:left w:w="28" w:type="dxa"/>
          <w:bottom w:w="28" w:type="dxa"/>
          <w:right w:w="28" w:type="dxa"/>
        </w:tblCellMar>
      </w:tblPr>
      <w:tblGrid>
        <w:gridCol w:w="151"/>
        <w:gridCol w:w="134"/>
        <w:gridCol w:w="135"/>
        <w:gridCol w:w="2849"/>
        <w:gridCol w:w="2849"/>
        <w:gridCol w:w="2831"/>
        <w:gridCol w:w="114"/>
        <w:gridCol w:w="114"/>
        <w:gridCol w:w="16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Basic Lease Information</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2.</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Lease Grant</w:t>
            </w:r>
            <w:r>
              <w:rPr>
                <w:rFonts w:ascii="Times New Roman;sans-serif" w:hAnsi="Times New Roman;sans-serif"/>
                <w:b/>
                <w:color w:val="000000"/>
                <w:sz w:val="22"/>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4</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3.</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Term and Commencement Date</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4.</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Rent</w:t>
            </w: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5.</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Compliance with Laws; Use</w:t>
            </w: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6.</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Letter of Credit</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7.</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Building Services</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8.</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Alterations</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9.</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Repairs and Maintenance</w:t>
            </w: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12</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10.</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Entry by Landlord</w:t>
            </w: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11.</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Assignment and Subletting</w:t>
            </w:r>
            <w:r>
              <w:rPr>
                <w:rFonts w:ascii="Times New Roman;sans-serif" w:hAnsi="Times New Roman;sans-serif"/>
                <w:b/>
                <w:color w:val="000000"/>
                <w:sz w:val="22"/>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12.</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Notices</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13.</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Indemnity and Insurance</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14.</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Casualty Damage</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15.</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Condemnation</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19</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16.</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Events of Default</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17.</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Limitation of Liability</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18.</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Holding Over</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24</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19.</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Surrender of Premise</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24</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20.</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Subordination to Mortgages; Estoppel Certificate</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25</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21.</w:t>
            </w:r>
          </w:p>
        </w:tc>
        <w:tc>
          <w:tcPr>
            <w:tcW w:w="8529" w:type="dxa"/>
            <w:gridSpan w:val="3"/>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color w:val="000000"/>
                <w:sz w:val="22"/>
                <w:u w:val="single"/>
              </w:rPr>
              <w:t>Miscellaneous</w:t>
            </w:r>
            <w:r>
              <w:rPr>
                <w:color w:val="000000"/>
              </w:rPr>
              <w:t>……………………………………………………………………………</w:t>
            </w:r>
            <w:r>
              <w:rPr>
                <w:rFonts w:ascii="Times New Roman;sans-serif" w:hAnsi="Times New Roman;sans-serif"/>
                <w:b/>
                <w:color w:val="000000"/>
                <w:sz w:val="22"/>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26</w:t>
            </w:r>
          </w:p>
        </w:tc>
      </w:tr>
    </w:tbl>
    <w:p>
      <w:pPr>
        <w:pStyle w:val="TextBody"/>
        <w:bidi w:val="0"/>
        <w:spacing w:before="120" w:after="12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OFFICE LEASE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This Office Lease Agreement (this “</w:t>
      </w:r>
      <w:r>
        <w:rPr>
          <w:rFonts w:ascii="Times New Roman;sans-serif" w:hAnsi="Times New Roman;sans-serif"/>
          <w:b w:val="false"/>
          <w:color w:val="000000"/>
          <w:sz w:val="22"/>
          <w:u w:val="single"/>
        </w:rPr>
        <w:t>Lease</w:t>
      </w:r>
      <w:r>
        <w:rPr>
          <w:color w:val="000000"/>
        </w:rPr>
        <w:t>”</w:t>
      </w:r>
      <w:r>
        <w:rPr>
          <w:rFonts w:ascii="Times New Roman;sans-serif" w:hAnsi="Times New Roman;sans-serif"/>
          <w:b w:val="false"/>
          <w:color w:val="000000"/>
          <w:sz w:val="22"/>
        </w:rPr>
        <w:t>) is made and entered into as of December 18, 2018 (the “</w:t>
      </w:r>
      <w:r>
        <w:rPr>
          <w:rFonts w:ascii="Times New Roman;sans-serif" w:hAnsi="Times New Roman;sans-serif"/>
          <w:b w:val="false"/>
          <w:color w:val="000000"/>
          <w:sz w:val="22"/>
          <w:u w:val="single"/>
        </w:rPr>
        <w:t>Effective Date</w:t>
      </w:r>
      <w:r>
        <w:rPr>
          <w:color w:val="000000"/>
        </w:rPr>
        <w:t>”</w:t>
      </w:r>
      <w:r>
        <w:rPr>
          <w:rFonts w:ascii="Times New Roman;sans-serif" w:hAnsi="Times New Roman;sans-serif"/>
          <w:b w:val="false"/>
          <w:color w:val="000000"/>
          <w:sz w:val="22"/>
        </w:rPr>
        <w:t>), by and between OPG 125 SUMMER OWNER (DE) LLC, a Delaware limited liability company (“</w:t>
      </w:r>
      <w:r>
        <w:rPr>
          <w:rFonts w:ascii="Times New Roman;sans-serif" w:hAnsi="Times New Roman;sans-serif"/>
          <w:b w:val="false"/>
          <w:color w:val="000000"/>
          <w:sz w:val="22"/>
          <w:u w:val="single"/>
        </w:rPr>
        <w:t>Landlord</w:t>
      </w:r>
      <w:r>
        <w:rPr>
          <w:color w:val="000000"/>
        </w:rPr>
        <w:t>”</w:t>
      </w:r>
      <w:r>
        <w:rPr>
          <w:rFonts w:ascii="Times New Roman;sans-serif" w:hAnsi="Times New Roman;sans-serif"/>
          <w:b w:val="false"/>
          <w:color w:val="000000"/>
          <w:sz w:val="22"/>
        </w:rPr>
        <w:t>), and HAEMONETICS CORPORATION, a Massachusetts corporation (“</w:t>
      </w:r>
      <w:r>
        <w:rPr>
          <w:rFonts w:ascii="Times New Roman;sans-serif" w:hAnsi="Times New Roman;sans-serif"/>
          <w:b w:val="false"/>
          <w:color w:val="000000"/>
          <w:sz w:val="22"/>
          <w:u w:val="single"/>
        </w:rPr>
        <w:t>Tenant</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720"/>
        <w:jc w:val="left"/>
        <w:rPr/>
      </w:pPr>
      <w:r>
        <w:rPr>
          <w:rFonts w:ascii="Times New Roman;sans-serif" w:hAnsi="Times New Roman;sans-serif"/>
          <w:b/>
          <w:color w:val="010000"/>
          <w:sz w:val="22"/>
        </w:rPr>
        <w:t>1.</w:t>
      </w:r>
      <w:r>
        <w:rPr>
          <w:rFonts w:ascii="Times New Roman;sans-serif" w:hAnsi="Times New Roman;sans-serif"/>
          <w:b/>
          <w:color w:val="000000"/>
          <w:sz w:val="22"/>
        </w:rPr>
        <w:t>Basic Lease Information.</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1.01</w:t>
      </w:r>
      <w:r>
        <w:rPr>
          <w:color w:val="000000"/>
        </w:rPr>
        <w:t>“</w:t>
      </w:r>
      <w:r>
        <w:rPr>
          <w:rFonts w:ascii="Times New Roman;sans-serif" w:hAnsi="Times New Roman;sans-serif"/>
          <w:b w:val="false"/>
          <w:color w:val="000000"/>
          <w:sz w:val="22"/>
          <w:u w:val="single"/>
        </w:rPr>
        <w:t>Building</w:t>
      </w:r>
      <w:r>
        <w:rPr>
          <w:color w:val="000000"/>
        </w:rPr>
        <w:t xml:space="preserve">” </w:t>
      </w:r>
      <w:r>
        <w:rPr>
          <w:rFonts w:ascii="Times New Roman;sans-serif" w:hAnsi="Times New Roman;sans-serif"/>
          <w:b w:val="false"/>
          <w:color w:val="000000"/>
          <w:sz w:val="22"/>
        </w:rPr>
        <w:t>shall mean the building located at 125 Summer Street, Boston, MA 02110 and commonly known as 125 Summer Street. The “</w:t>
      </w:r>
      <w:r>
        <w:rPr>
          <w:rFonts w:ascii="Times New Roman;sans-serif" w:hAnsi="Times New Roman;sans-serif"/>
          <w:b w:val="false"/>
          <w:color w:val="000000"/>
          <w:sz w:val="22"/>
          <w:u w:val="single"/>
        </w:rPr>
        <w:t>Rentable Floor Area of the Building</w:t>
      </w:r>
      <w:r>
        <w:rPr>
          <w:color w:val="000000"/>
        </w:rPr>
        <w:t xml:space="preserve">” </w:t>
      </w:r>
      <w:r>
        <w:rPr>
          <w:rFonts w:ascii="Times New Roman;sans-serif" w:hAnsi="Times New Roman;sans-serif"/>
          <w:b w:val="false"/>
          <w:color w:val="000000"/>
          <w:sz w:val="22"/>
        </w:rPr>
        <w:t>is deemed to be 475,482 square feet.</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1.02</w:t>
      </w:r>
      <w:r>
        <w:rPr>
          <w:color w:val="000000"/>
        </w:rPr>
        <w:t>“</w:t>
      </w:r>
      <w:r>
        <w:rPr>
          <w:rFonts w:ascii="Times New Roman;sans-serif" w:hAnsi="Times New Roman;sans-serif"/>
          <w:b w:val="false"/>
          <w:color w:val="000000"/>
          <w:sz w:val="22"/>
          <w:u w:val="single"/>
        </w:rPr>
        <w:t>Premises</w:t>
      </w:r>
      <w:r>
        <w:rPr>
          <w:color w:val="000000"/>
        </w:rPr>
        <w:t xml:space="preserve">” </w:t>
      </w:r>
      <w:r>
        <w:rPr>
          <w:rFonts w:ascii="Times New Roman;sans-serif" w:hAnsi="Times New Roman;sans-serif"/>
          <w:b w:val="false"/>
          <w:color w:val="000000"/>
          <w:sz w:val="22"/>
        </w:rPr>
        <w:t xml:space="preserve">shall mean the areas shown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to this Lease. The Premises are located on (a) a portion of the sixteenth (16th) floor of the Building and known as Suite 1620 (the “</w:t>
      </w:r>
      <w:r>
        <w:rPr>
          <w:rFonts w:ascii="Times New Roman;sans-serif" w:hAnsi="Times New Roman;sans-serif"/>
          <w:b w:val="false"/>
          <w:color w:val="000000"/>
          <w:sz w:val="22"/>
          <w:u w:val="single"/>
        </w:rPr>
        <w:t>16th Floor Premises</w:t>
      </w:r>
      <w:r>
        <w:rPr>
          <w:color w:val="000000"/>
        </w:rPr>
        <w:t>”</w:t>
      </w:r>
      <w:r>
        <w:rPr>
          <w:rFonts w:ascii="Times New Roman;sans-serif" w:hAnsi="Times New Roman;sans-serif"/>
          <w:b w:val="false"/>
          <w:color w:val="000000"/>
          <w:sz w:val="22"/>
        </w:rPr>
        <w:t>), (b) a portion of the seventeenth (17th) floor of the Building and known as Suite 1701 (the “</w:t>
      </w:r>
      <w:r>
        <w:rPr>
          <w:rFonts w:ascii="Times New Roman;sans-serif" w:hAnsi="Times New Roman;sans-serif"/>
          <w:b w:val="false"/>
          <w:color w:val="000000"/>
          <w:sz w:val="22"/>
          <w:u w:val="single"/>
        </w:rPr>
        <w:t>17th Floor Premises</w:t>
      </w:r>
      <w:r>
        <w:rPr>
          <w:color w:val="000000"/>
        </w:rPr>
        <w:t>”</w:t>
      </w:r>
      <w:r>
        <w:rPr>
          <w:rFonts w:ascii="Times New Roman;sans-serif" w:hAnsi="Times New Roman;sans-serif"/>
          <w:b w:val="false"/>
          <w:color w:val="000000"/>
          <w:sz w:val="22"/>
        </w:rPr>
        <w:t>), (c) the entire eighteenth (18th) floor of the Building and known as Suite 1800 (the “</w:t>
      </w:r>
      <w:r>
        <w:rPr>
          <w:rFonts w:ascii="Times New Roman;sans-serif" w:hAnsi="Times New Roman;sans-serif"/>
          <w:b w:val="false"/>
          <w:color w:val="000000"/>
          <w:sz w:val="22"/>
          <w:u w:val="single"/>
        </w:rPr>
        <w:t>18th Floor Premises</w:t>
      </w:r>
      <w:r>
        <w:rPr>
          <w:color w:val="000000"/>
        </w:rPr>
        <w:t>”</w:t>
      </w:r>
      <w:r>
        <w:rPr>
          <w:rFonts w:ascii="Times New Roman;sans-serif" w:hAnsi="Times New Roman;sans-serif"/>
          <w:b w:val="false"/>
          <w:color w:val="000000"/>
          <w:sz w:val="22"/>
        </w:rPr>
        <w:t>), and (d) the entire nineteenth (19th) floor of the Building and known as Suite 1900 (the “</w:t>
      </w:r>
      <w:r>
        <w:rPr>
          <w:rFonts w:ascii="Times New Roman;sans-serif" w:hAnsi="Times New Roman;sans-serif"/>
          <w:b w:val="false"/>
          <w:color w:val="000000"/>
          <w:sz w:val="22"/>
          <w:u w:val="single"/>
        </w:rPr>
        <w:t>19th Floor Premises</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1.03</w:t>
      </w:r>
      <w:r>
        <w:rPr>
          <w:color w:val="000000"/>
        </w:rPr>
        <w:t>“</w:t>
      </w:r>
      <w:r>
        <w:rPr>
          <w:rFonts w:ascii="Times New Roman;sans-serif" w:hAnsi="Times New Roman;sans-serif"/>
          <w:b w:val="false"/>
          <w:color w:val="000000"/>
          <w:sz w:val="22"/>
          <w:u w:val="single"/>
        </w:rPr>
        <w:t>Rentable Floor Area of the Premises</w:t>
      </w:r>
      <w:r>
        <w:rPr>
          <w:color w:val="000000"/>
        </w:rPr>
        <w:t>”</w:t>
      </w:r>
      <w:r>
        <w:rPr>
          <w:rFonts w:ascii="Times New Roman;sans-serif" w:hAnsi="Times New Roman;sans-serif"/>
          <w:b w:val="false"/>
          <w:color w:val="000000"/>
          <w:sz w:val="22"/>
        </w:rPr>
        <w:t>: 62,066 square feet, consisting of (a) 10,617 square feet on the sixteenth (16th) floor of the Building, (b) 9,066 square feet on the seventeenth (17th) floor of the Building, (c) 21,228 square feet on the eighteenth (18th) floor of the Building, and (d) 21,155 square feet on the nineteenth (19th) floor of the Building.</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1.04</w:t>
      </w:r>
      <w:r>
        <w:rPr>
          <w:color w:val="000000"/>
        </w:rPr>
        <w:t>“</w:t>
      </w:r>
      <w:r>
        <w:rPr>
          <w:rFonts w:ascii="Times New Roman;sans-serif" w:hAnsi="Times New Roman;sans-serif"/>
          <w:b w:val="false"/>
          <w:color w:val="000000"/>
          <w:sz w:val="22"/>
          <w:u w:val="single"/>
        </w:rPr>
        <w:t>Estimated Delivery Date</w:t>
      </w:r>
      <w:r>
        <w:rPr>
          <w:color w:val="000000"/>
        </w:rPr>
        <w:t>”</w:t>
      </w:r>
      <w:r>
        <w:rPr>
          <w:rFonts w:ascii="Times New Roman;sans-serif" w:hAnsi="Times New Roman;sans-serif"/>
          <w:b w:val="false"/>
          <w:color w:val="000000"/>
          <w:sz w:val="22"/>
        </w:rPr>
        <w:t>: October 1, 2019.</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1.05</w:t>
      </w:r>
      <w:r>
        <w:rPr>
          <w:color w:val="000000"/>
        </w:rPr>
        <w:t>“</w:t>
      </w:r>
      <w:r>
        <w:rPr>
          <w:rFonts w:ascii="Times New Roman;sans-serif" w:hAnsi="Times New Roman;sans-serif"/>
          <w:b w:val="false"/>
          <w:color w:val="000000"/>
          <w:sz w:val="22"/>
          <w:u w:val="single"/>
        </w:rPr>
        <w:t>Term</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Term Commencement Date</w:t>
      </w:r>
      <w:r>
        <w:rPr>
          <w:color w:val="000000"/>
        </w:rPr>
        <w:t>”</w:t>
      </w:r>
      <w:r>
        <w:rPr>
          <w:rFonts w:ascii="Times New Roman;sans-serif" w:hAnsi="Times New Roman;sans-serif"/>
          <w:b w:val="false"/>
          <w:color w:val="000000"/>
          <w:sz w:val="22"/>
        </w:rPr>
        <w:t>: See Section 3.01.</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1.06</w:t>
      </w:r>
      <w:r>
        <w:rPr>
          <w:color w:val="000000"/>
        </w:rPr>
        <w:t>“</w:t>
      </w:r>
      <w:r>
        <w:rPr>
          <w:rFonts w:ascii="Times New Roman;sans-serif" w:hAnsi="Times New Roman;sans-serif"/>
          <w:b w:val="false"/>
          <w:color w:val="000000"/>
          <w:sz w:val="22"/>
          <w:u w:val="single"/>
        </w:rPr>
        <w:t>Rent Commencement Date</w:t>
      </w:r>
      <w:r>
        <w:rPr>
          <w:color w:val="000000"/>
        </w:rPr>
        <w:t>”</w:t>
      </w:r>
      <w:r>
        <w:rPr>
          <w:rFonts w:ascii="Times New Roman;sans-serif" w:hAnsi="Times New Roman;sans-serif"/>
          <w:b w:val="false"/>
          <w:color w:val="000000"/>
          <w:sz w:val="22"/>
        </w:rPr>
        <w:t xml:space="preserve">: June 1, 2020, subject to adjustment as provided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1.07</w:t>
      </w:r>
      <w:r>
        <w:rPr>
          <w:color w:val="000000"/>
        </w:rPr>
        <w:t>“</w:t>
      </w:r>
      <w:r>
        <w:rPr>
          <w:rFonts w:ascii="Times New Roman;sans-serif" w:hAnsi="Times New Roman;sans-serif"/>
          <w:b w:val="false"/>
          <w:color w:val="000000"/>
          <w:sz w:val="22"/>
          <w:u w:val="single"/>
        </w:rPr>
        <w:t>Term Expiration Date</w:t>
      </w:r>
      <w:r>
        <w:rPr>
          <w:color w:val="000000"/>
        </w:rPr>
        <w:t>”</w:t>
      </w:r>
      <w:r>
        <w:rPr>
          <w:rFonts w:ascii="Times New Roman;sans-serif" w:hAnsi="Times New Roman;sans-serif"/>
          <w:b w:val="false"/>
          <w:color w:val="000000"/>
          <w:sz w:val="22"/>
        </w:rPr>
        <w:t xml:space="preserve">: The last day of the month in which the twelfth (12th) anniversary of the Rent Commencement Date occurs. </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1.08</w:t>
      </w:r>
      <w:r>
        <w:rPr>
          <w:color w:val="000000"/>
        </w:rPr>
        <w:t>“</w:t>
      </w:r>
      <w:r>
        <w:rPr>
          <w:rFonts w:ascii="Times New Roman;sans-serif" w:hAnsi="Times New Roman;sans-serif"/>
          <w:b w:val="false"/>
          <w:color w:val="000000"/>
          <w:sz w:val="22"/>
          <w:u w:val="single"/>
        </w:rPr>
        <w:t>Base Rent</w:t>
      </w:r>
      <w:r>
        <w:rPr>
          <w:color w:val="000000"/>
        </w:rPr>
        <w:t>”</w:t>
      </w:r>
      <w:r>
        <w:rPr>
          <w:rFonts w:ascii="Times New Roman;sans-serif" w:hAnsi="Times New Roman;sans-serif"/>
          <w:b w:val="false"/>
          <w:color w:val="000000"/>
          <w:sz w:val="22"/>
        </w:rPr>
        <w:t>:</w:t>
      </w:r>
    </w:p>
    <w:tbl>
      <w:tblPr>
        <w:tblW w:w="7004" w:type="dxa"/>
        <w:jc w:val="left"/>
        <w:tblInd w:w="0" w:type="dxa"/>
        <w:tblLayout w:type="fixed"/>
        <w:tblCellMar>
          <w:top w:w="28" w:type="dxa"/>
          <w:left w:w="28" w:type="dxa"/>
          <w:bottom w:w="28" w:type="dxa"/>
          <w:right w:w="28" w:type="dxa"/>
        </w:tblCellMar>
      </w:tblPr>
      <w:tblGrid>
        <w:gridCol w:w="521"/>
        <w:gridCol w:w="458"/>
        <w:gridCol w:w="461"/>
        <w:gridCol w:w="1458"/>
        <w:gridCol w:w="1458"/>
        <w:gridCol w:w="1463"/>
        <w:gridCol w:w="347"/>
        <w:gridCol w:w="347"/>
        <w:gridCol w:w="491"/>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Period</w:t>
            </w:r>
          </w:p>
        </w:tc>
        <w:tc>
          <w:tcPr>
            <w:tcW w:w="437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Annual Base Rent Rate</w:t>
              <w:br/>
              <w:t>Per Square Foot of Rentable Floor Area *</w:t>
            </w:r>
          </w:p>
        </w:tc>
        <w:tc>
          <w:tcPr>
            <w:tcW w:w="118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 xml:space="preserve">Monthly </w:t>
              <w:br/>
              <w:t>Base Rent</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1:</w:t>
            </w:r>
          </w:p>
        </w:tc>
        <w:tc>
          <w:tcPr>
            <w:tcW w:w="437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8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2:</w:t>
            </w:r>
          </w:p>
        </w:tc>
        <w:tc>
          <w:tcPr>
            <w:tcW w:w="437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8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3:</w:t>
            </w:r>
          </w:p>
        </w:tc>
        <w:tc>
          <w:tcPr>
            <w:tcW w:w="437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8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4:</w:t>
            </w:r>
          </w:p>
        </w:tc>
        <w:tc>
          <w:tcPr>
            <w:tcW w:w="437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8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5:</w:t>
            </w:r>
          </w:p>
        </w:tc>
        <w:tc>
          <w:tcPr>
            <w:tcW w:w="437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8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440"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6:</w:t>
            </w:r>
          </w:p>
        </w:tc>
        <w:tc>
          <w:tcPr>
            <w:tcW w:w="437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8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440"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7:</w:t>
            </w:r>
          </w:p>
        </w:tc>
        <w:tc>
          <w:tcPr>
            <w:tcW w:w="437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18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073" w:type="dxa"/>
        <w:jc w:val="left"/>
        <w:tblInd w:w="0" w:type="dxa"/>
        <w:tblLayout w:type="fixed"/>
        <w:tblCellMar>
          <w:top w:w="28" w:type="dxa"/>
          <w:left w:w="28" w:type="dxa"/>
          <w:bottom w:w="28" w:type="dxa"/>
          <w:right w:w="28" w:type="dxa"/>
        </w:tblCellMar>
      </w:tblPr>
      <w:tblGrid>
        <w:gridCol w:w="565"/>
        <w:gridCol w:w="496"/>
        <w:gridCol w:w="498"/>
        <w:gridCol w:w="245"/>
        <w:gridCol w:w="245"/>
        <w:gridCol w:w="245"/>
        <w:gridCol w:w="228"/>
        <w:gridCol w:w="228"/>
        <w:gridCol w:w="323"/>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8:</w:t>
            </w:r>
          </w:p>
        </w:tc>
        <w:tc>
          <w:tcPr>
            <w:tcW w:w="7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7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55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9:</w:t>
            </w:r>
          </w:p>
        </w:tc>
        <w:tc>
          <w:tcPr>
            <w:tcW w:w="7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7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55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10:</w:t>
            </w:r>
          </w:p>
        </w:tc>
        <w:tc>
          <w:tcPr>
            <w:tcW w:w="7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7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55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11:</w:t>
            </w:r>
          </w:p>
        </w:tc>
        <w:tc>
          <w:tcPr>
            <w:tcW w:w="73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77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55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Lease Year 12:</w:t>
            </w:r>
          </w:p>
        </w:tc>
        <w:tc>
          <w:tcPr>
            <w:tcW w:w="73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77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bidi w:val="0"/>
        <w:spacing w:lineRule="auto" w:line="240"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the Rent Waiver Period under Section 4.01 below.</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used above, the first “Lease Year” shall commence on the Term Commencement Date and end on the day immediately preceding the first anniversary of the Rent Commencement Date (provided that if the Rent Commencement Date does not occur on the first day of a calendar month, the first Lease Year shall further include the balance of the calendar month in which such first anniversary occurs), and each subsequent Lease Year shall mean each successive period of twelve (12) calendar months following the first Lease Year during the initial Term, provided that the last Lease Year of the initial Term shall end on the Term Expiration Date set forth above for the initial Term.</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1.09</w:t>
      </w:r>
      <w:r>
        <w:rPr>
          <w:color w:val="000000"/>
        </w:rPr>
        <w:t>“</w:t>
      </w:r>
      <w:r>
        <w:rPr>
          <w:rFonts w:ascii="Times New Roman;sans-serif" w:hAnsi="Times New Roman;sans-serif"/>
          <w:b w:val="false"/>
          <w:color w:val="000000"/>
          <w:sz w:val="22"/>
          <w:u w:val="single"/>
        </w:rPr>
        <w:t>Tenant’s Proportionate Share</w:t>
      </w:r>
      <w:r>
        <w:rPr>
          <w:color w:val="000000"/>
        </w:rPr>
        <w:t>”</w:t>
      </w:r>
      <w:r>
        <w:rPr>
          <w:rFonts w:ascii="Times New Roman;sans-serif" w:hAnsi="Times New Roman;sans-serif"/>
          <w:b w:val="false"/>
          <w:color w:val="000000"/>
          <w:sz w:val="22"/>
        </w:rPr>
        <w:t>: 13.05% for the initial Premises.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1.10</w:t>
      </w:r>
      <w:r>
        <w:rPr>
          <w:color w:val="000000"/>
        </w:rPr>
        <w:t>“</w:t>
      </w:r>
      <w:r>
        <w:rPr>
          <w:rFonts w:ascii="Times New Roman;sans-serif" w:hAnsi="Times New Roman;sans-serif"/>
          <w:b w:val="false"/>
          <w:color w:val="000000"/>
          <w:sz w:val="22"/>
          <w:u w:val="single"/>
        </w:rPr>
        <w:t>Base Year</w:t>
      </w:r>
      <w:r>
        <w:rPr>
          <w:color w:val="000000"/>
        </w:rPr>
        <w:t xml:space="preserve">” </w:t>
      </w:r>
      <w:r>
        <w:rPr>
          <w:rFonts w:ascii="Times New Roman;sans-serif" w:hAnsi="Times New Roman;sans-serif"/>
          <w:b w:val="false"/>
          <w:color w:val="000000"/>
          <w:sz w:val="22"/>
        </w:rPr>
        <w:t xml:space="preserve">for Expenses (as defined in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xml:space="preserve">): Calendar year 2019, adjusted to reflect a fully occupied Building. </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2"/>
          <w:u w:val="single"/>
        </w:rPr>
        <w:t>Base Year</w:t>
      </w:r>
      <w:r>
        <w:rPr>
          <w:color w:val="000000"/>
        </w:rPr>
        <w:t xml:space="preserve">” </w:t>
      </w:r>
      <w:r>
        <w:rPr>
          <w:rFonts w:ascii="Times New Roman;sans-serif" w:hAnsi="Times New Roman;sans-serif"/>
          <w:b w:val="false"/>
          <w:color w:val="000000"/>
          <w:sz w:val="22"/>
        </w:rPr>
        <w:t>for Taxes (as defined in Exhibit B): Fiscal Year 2020 (i.e., July 1, 2019 to June 30, 2020) adjusted to reflect a fully assessed, fully occupied Building. For purposes hereof, “Fiscal Year” shall mean the Base Year for Taxes and each period of July 1 to June 30 thereafter.</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1.11</w:t>
      </w:r>
      <w:r>
        <w:rPr>
          <w:color w:val="000000"/>
        </w:rPr>
        <w:t>“</w:t>
      </w:r>
      <w:r>
        <w:rPr>
          <w:rFonts w:ascii="Times New Roman;sans-serif" w:hAnsi="Times New Roman;sans-serif"/>
          <w:b w:val="false"/>
          <w:color w:val="000000"/>
          <w:sz w:val="22"/>
          <w:u w:val="single"/>
        </w:rPr>
        <w:t>Tenant Work Allowance</w:t>
      </w:r>
      <w:r>
        <w:rPr>
          <w:color w:val="000000"/>
        </w:rPr>
        <w:t>”</w:t>
      </w:r>
      <w:r>
        <w:rPr>
          <w:rFonts w:ascii="Times New Roman;sans-serif" w:hAnsi="Times New Roman;sans-serif"/>
          <w:b w:val="false"/>
          <w:color w:val="000000"/>
          <w:sz w:val="22"/>
        </w:rPr>
        <w:t>: $</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2"/>
        </w:rPr>
        <w:t>(based on $</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2"/>
        </w:rPr>
        <w:t>per square foot of Rentable Floor Area of the Premises, plus $</w:t>
      </w:r>
      <w:r>
        <w:rPr>
          <w:rFonts w:ascii="Times New Roman;sans-serif" w:hAnsi="Times New Roman;sans-serif"/>
          <w:b w:val="false"/>
          <w:color w:val="000000"/>
          <w:sz w:val="24"/>
        </w:rPr>
        <w:t>[***]</w:t>
      </w:r>
      <w:r>
        <w:rPr>
          <w:rFonts w:ascii="Times New Roman;sans-serif" w:hAnsi="Times New Roman;sans-serif"/>
          <w:b w:val="false"/>
          <w:color w:val="000000"/>
          <w:sz w:val="22"/>
        </w:rPr>
        <w:t xml:space="preserve">), as further described in the attached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1.12</w:t>
      </w:r>
      <w:r>
        <w:rPr>
          <w:rFonts w:ascii="Times New Roman;sans-serif" w:hAnsi="Times New Roman;sans-serif"/>
          <w:b w:val="false"/>
          <w:color w:val="000000"/>
          <w:sz w:val="22"/>
          <w:u w:val="single"/>
        </w:rPr>
        <w:t>Additional Provisions</w:t>
      </w:r>
      <w:r>
        <w:rPr>
          <w:rFonts w:ascii="Times New Roman;sans-serif" w:hAnsi="Times New Roman;sans-serif"/>
          <w:b w:val="false"/>
          <w:color w:val="000000"/>
          <w:sz w:val="22"/>
        </w:rPr>
        <w:t xml:space="preserve">: See </w:t>
      </w:r>
      <w:r>
        <w:rPr>
          <w:rFonts w:ascii="Times New Roman;sans-serif" w:hAnsi="Times New Roman;sans-serif"/>
          <w:b w:val="false"/>
          <w:color w:val="000000"/>
          <w:sz w:val="22"/>
          <w:u w:val="single"/>
        </w:rPr>
        <w:t>Exhibit F</w:t>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1.Parking</w:t>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2.Extension Options</w:t>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3.Right of First Offer</w:t>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4.Hazardous Materials</w:t>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5.Dedicated Venting System</w:t>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6.Generator</w:t>
      </w:r>
    </w:p>
    <w:p>
      <w:pPr>
        <w:pStyle w:val="TextBody"/>
        <w:bidi w:val="0"/>
        <w:spacing w:lineRule="auto" w:line="240"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7.Negative Condition</w:t>
      </w:r>
    </w:p>
    <w:p>
      <w:pPr>
        <w:pStyle w:val="TextBody"/>
        <w:bidi w:val="0"/>
        <w:spacing w:before="0" w:after="0"/>
        <w:jc w:val="left"/>
        <w:rPr/>
      </w:pPr>
      <w:r>
        <w:rPr/>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1.13</w:t>
      </w: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shall mean the letter of credit in the amount of $</w:t>
      </w:r>
      <w:r>
        <w:rPr>
          <w:rFonts w:ascii="Times New Roman;sans-serif" w:hAnsi="Times New Roman;sans-serif"/>
          <w:b w:val="false"/>
          <w:color w:val="000000"/>
          <w:sz w:val="24"/>
        </w:rPr>
        <w:t>[***]</w:t>
      </w:r>
      <w:r>
        <w:rPr>
          <w:rFonts w:ascii="Times New Roman;sans-serif" w:hAnsi="Times New Roman;sans-serif"/>
          <w:b w:val="false"/>
          <w:color w:val="000000"/>
          <w:sz w:val="22"/>
        </w:rPr>
        <w:t xml:space="preserve">, as provided in Section 6 and </w:t>
      </w:r>
      <w:r>
        <w:rPr>
          <w:rFonts w:ascii="Times New Roman;sans-serif" w:hAnsi="Times New Roman;sans-serif"/>
          <w:b w:val="false"/>
          <w:color w:val="000000"/>
          <w:sz w:val="22"/>
          <w:u w:val="single"/>
        </w:rPr>
        <w:t>Exhibit G</w:t>
      </w:r>
      <w:r>
        <w:rPr>
          <w:color w:val="000000"/>
        </w:rPr>
        <w:t xml:space="preserve"> </w:t>
      </w:r>
      <w:r>
        <w:rPr>
          <w:rFonts w:ascii="Times New Roman;sans-serif" w:hAnsi="Times New Roman;sans-serif"/>
          <w:b w:val="false"/>
          <w:color w:val="000000"/>
          <w:sz w:val="22"/>
        </w:rPr>
        <w:t xml:space="preserve">attached hereto and subject to reduction as provided in </w:t>
      </w:r>
      <w:r>
        <w:rPr>
          <w:rFonts w:ascii="Times New Roman;sans-serif" w:hAnsi="Times New Roman;sans-serif"/>
          <w:b w:val="false"/>
          <w:color w:val="000000"/>
          <w:sz w:val="22"/>
          <w:u w:val="single"/>
        </w:rPr>
        <w:t>Exhibit G</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1.14</w:t>
      </w:r>
      <w:r>
        <w:rPr>
          <w:color w:val="000000"/>
        </w:rPr>
        <w:t>“</w:t>
      </w:r>
      <w:r>
        <w:rPr>
          <w:rFonts w:ascii="Times New Roman;sans-serif" w:hAnsi="Times New Roman;sans-serif"/>
          <w:b w:val="false"/>
          <w:color w:val="000000"/>
          <w:sz w:val="22"/>
          <w:u w:val="single"/>
        </w:rPr>
        <w:t>Broker</w:t>
      </w:r>
      <w:r>
        <w:rPr>
          <w:color w:val="000000"/>
        </w:rPr>
        <w:t>”</w:t>
      </w:r>
      <w:r>
        <w:rPr>
          <w:rFonts w:ascii="Times New Roman;sans-serif" w:hAnsi="Times New Roman;sans-serif"/>
          <w:b w:val="false"/>
          <w:color w:val="000000"/>
          <w:sz w:val="22"/>
        </w:rPr>
        <w:t>: Cushman &amp; Wakefield (“</w:t>
      </w:r>
      <w:r>
        <w:rPr>
          <w:rFonts w:ascii="Times New Roman;sans-serif" w:hAnsi="Times New Roman;sans-serif"/>
          <w:b w:val="false"/>
          <w:color w:val="000000"/>
          <w:sz w:val="22"/>
          <w:u w:val="single"/>
        </w:rPr>
        <w:t>Tenant’s Broker</w:t>
      </w:r>
      <w:r>
        <w:rPr>
          <w:color w:val="000000"/>
        </w:rPr>
        <w:t>”</w:t>
      </w:r>
      <w:r>
        <w:rPr>
          <w:rFonts w:ascii="Times New Roman;sans-serif" w:hAnsi="Times New Roman;sans-serif"/>
          <w:b w:val="false"/>
          <w:color w:val="000000"/>
          <w:sz w:val="22"/>
        </w:rPr>
        <w:t>), which represented Tenant in connection with this Lease.</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1.15</w:t>
      </w:r>
      <w:r>
        <w:rPr>
          <w:color w:val="000000"/>
        </w:rPr>
        <w:t>“</w:t>
      </w:r>
      <w:r>
        <w:rPr>
          <w:rFonts w:ascii="Times New Roman;sans-serif" w:hAnsi="Times New Roman;sans-serif"/>
          <w:b w:val="false"/>
          <w:color w:val="000000"/>
          <w:sz w:val="22"/>
          <w:u w:val="single"/>
        </w:rPr>
        <w:t>Permitted Use</w:t>
      </w:r>
      <w:r>
        <w:rPr>
          <w:color w:val="000000"/>
        </w:rPr>
        <w:t>”</w:t>
      </w:r>
      <w:r>
        <w:rPr>
          <w:rFonts w:ascii="Times New Roman;sans-serif" w:hAnsi="Times New Roman;sans-serif"/>
          <w:b w:val="false"/>
          <w:color w:val="000000"/>
          <w:sz w:val="22"/>
        </w:rPr>
        <w:t xml:space="preserve">: Any general office (which may include, without limitation, employee training, employee lunch room and kitchen facilities with vending machines for Tenant’s exclusive use), research and development, laboratory (including medical laboratory), and/or storage uses, including, but not limited to, administrative offices and other lawful uses reasonably related to or incidental to such specified uses to the extent not otherwise prohibited by the terms and conditions of this Lease, provided that such uses shall be permitted under applicable zoning. The parties acknowledge and agree that the foregoing sentence shall not limit or otherwise affect Landlord’s obligation to process a change of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use in the certificate of occupancy for the Building to expressly allow laboratory use on or at the 16</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floor of the Building as provided in </w:t>
      </w:r>
      <w:r>
        <w:rPr>
          <w:rFonts w:ascii="Times New Roman;sans-serif" w:hAnsi="Times New Roman;sans-serif"/>
          <w:b w:val="false"/>
          <w:color w:val="000000"/>
          <w:sz w:val="22"/>
          <w:u w:val="single"/>
        </w:rPr>
        <w:t>Section 5</w:t>
      </w:r>
      <w:r>
        <w:rPr>
          <w:rFonts w:ascii="Times New Roman;sans-serif" w:hAnsi="Times New Roman;sans-serif"/>
          <w:b w:val="false"/>
          <w:color w:val="000000"/>
          <w:sz w:val="22"/>
        </w:rPr>
        <w:t>.</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1.16</w:t>
      </w:r>
      <w:r>
        <w:rPr>
          <w:color w:val="000000"/>
          <w:u w:val="single"/>
        </w:rPr>
        <w:t>“</w:t>
      </w:r>
      <w:r>
        <w:rPr>
          <w:rFonts w:ascii="Times New Roman;sans-serif" w:hAnsi="Times New Roman;sans-serif"/>
          <w:b w:val="false"/>
          <w:color w:val="000000"/>
          <w:sz w:val="22"/>
          <w:u w:val="single"/>
        </w:rPr>
        <w:t>Notice Address(es)”</w:t>
      </w:r>
      <w:r>
        <w:rPr>
          <w:rFonts w:ascii="Times New Roman;sans-serif" w:hAnsi="Times New Roman;sans-serif"/>
          <w:b w:val="false"/>
          <w:color w:val="000000"/>
          <w:sz w:val="22"/>
        </w:rPr>
        <w:t>:</w:t>
      </w:r>
    </w:p>
    <w:tbl>
      <w:tblPr>
        <w:tblW w:w="9075" w:type="dxa"/>
        <w:jc w:val="left"/>
        <w:tblInd w:w="0" w:type="dxa"/>
        <w:tblLayout w:type="fixed"/>
        <w:tblCellMar>
          <w:top w:w="28" w:type="dxa"/>
          <w:left w:w="28" w:type="dxa"/>
          <w:bottom w:w="28" w:type="dxa"/>
          <w:right w:w="28" w:type="dxa"/>
        </w:tblCellMar>
      </w:tblPr>
      <w:tblGrid>
        <w:gridCol w:w="1269"/>
        <w:gridCol w:w="1118"/>
        <w:gridCol w:w="1123"/>
        <w:gridCol w:w="1629"/>
        <w:gridCol w:w="1629"/>
        <w:gridCol w:w="2307"/>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Landlord:</w:t>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Tenant:</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OPG 125 Summer Owner (DE) LLC</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 Oxford Properties Group</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125 Summer Street</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Boston, MA 02110</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Director of Leasing</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OPG 125 Summer Owner (DE) LLC</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 Oxford Properties Group</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125 Summer Street</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Boston, Massachusetts 02110</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Director of Legal</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tc>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u w:val="single"/>
              </w:rPr>
              <w:t>Prior to the Term Commencement Date</w:t>
            </w:r>
            <w:r>
              <w:rPr>
                <w:rFonts w:ascii="Times New Roman;sans-serif" w:hAnsi="Times New Roman;sans-serif"/>
                <w:b w:val="false"/>
                <w:color w:val="000000"/>
                <w:sz w:val="22"/>
              </w:rPr>
              <w:t>:</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Corporation</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400 Wood Road</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Braintree, MA 02184-9114</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SVP, Global Business Services</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u w:val="single"/>
              </w:rPr>
              <w:t>With a copy to</w:t>
            </w:r>
            <w:r>
              <w:rPr>
                <w:rFonts w:ascii="Times New Roman;sans-serif" w:hAnsi="Times New Roman;sans-serif"/>
                <w:b w:val="false"/>
                <w:color w:val="000000"/>
                <w:sz w:val="22"/>
              </w:rPr>
              <w:t>:</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Corporation</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400 Wood Road</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Braintree, MA 02184-9114</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Executive Vice President and General Counsel</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u w:val="single"/>
              </w:rPr>
              <w:t>From and after the Term Commencement Date</w:t>
            </w:r>
            <w:r>
              <w:rPr>
                <w:rFonts w:ascii="Times New Roman;sans-serif" w:hAnsi="Times New Roman;sans-serif"/>
                <w:b w:val="false"/>
                <w:color w:val="000000"/>
                <w:sz w:val="22"/>
              </w:rPr>
              <w:t>:</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Corporation</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125 Summer Street</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Boston, Massachusetts 02110</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SVP, Global Business Services</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2"/>
                <w:u w:val="single"/>
              </w:rPr>
              <w:t>With a copy to</w:t>
            </w:r>
            <w:r>
              <w:rPr>
                <w:rFonts w:ascii="Times New Roman;sans-serif" w:hAnsi="Times New Roman;sans-serif"/>
                <w:b w:val="false"/>
                <w:color w:val="000000"/>
                <w:sz w:val="22"/>
              </w:rPr>
              <w:t>:</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Corporation</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125 Summer Street</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Boston, Massachusetts 02110</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Executive Vice President and General Counsel</w:t>
            </w:r>
          </w:p>
          <w:p>
            <w:pPr>
              <w:pStyle w:val="TableContents"/>
              <w:bidi w:val="0"/>
              <w:spacing w:lineRule="auto" w:line="240" w:before="0" w:after="0"/>
              <w:jc w:val="left"/>
              <w:rPr>
                <w:color w:val="000000"/>
              </w:rPr>
            </w:pPr>
            <w:r>
              <w:rPr>
                <w:color w:val="000000"/>
              </w:rPr>
              <w:t> </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hanging="720"/>
        <w:jc w:val="both"/>
        <w:rPr/>
      </w:pPr>
      <w:r>
        <w:rPr>
          <w:rFonts w:ascii="Times New Roman;sans-serif" w:hAnsi="Times New Roman;sans-serif"/>
          <w:b w:val="false"/>
          <w:color w:val="010000"/>
          <w:sz w:val="22"/>
        </w:rPr>
        <w:t>1.17</w:t>
      </w:r>
      <w:r>
        <w:rPr>
          <w:color w:val="000000"/>
        </w:rPr>
        <w:t>“</w:t>
      </w:r>
      <w:r>
        <w:rPr>
          <w:rFonts w:ascii="Times New Roman;sans-serif" w:hAnsi="Times New Roman;sans-serif"/>
          <w:b w:val="false"/>
          <w:color w:val="000000"/>
          <w:sz w:val="22"/>
          <w:u w:val="single"/>
        </w:rPr>
        <w:t>Business Day(s)</w:t>
      </w:r>
      <w:r>
        <w:rPr>
          <w:color w:val="000000"/>
        </w:rPr>
        <w:t xml:space="preserve">” </w:t>
      </w:r>
      <w:r>
        <w:rPr>
          <w:rFonts w:ascii="Times New Roman;sans-serif" w:hAnsi="Times New Roman;sans-serif"/>
          <w:b w:val="false"/>
          <w:color w:val="000000"/>
          <w:sz w:val="22"/>
        </w:rPr>
        <w:t>are Monday through Friday of each week, exclusive of New Year’s Day, Presidents Day, Memorial Day, Independence Day, Labor Day, Thanksgiving Day and Christmas Day (“</w:t>
      </w:r>
      <w:r>
        <w:rPr>
          <w:rFonts w:ascii="Times New Roman;sans-serif" w:hAnsi="Times New Roman;sans-serif"/>
          <w:b w:val="false"/>
          <w:color w:val="000000"/>
          <w:sz w:val="22"/>
          <w:u w:val="single"/>
        </w:rPr>
        <w:t>Holidays</w:t>
      </w:r>
      <w:r>
        <w:rPr>
          <w:color w:val="000000"/>
        </w:rPr>
        <w:t>”</w:t>
      </w:r>
      <w:r>
        <w:rPr>
          <w:rFonts w:ascii="Times New Roman;sans-serif" w:hAnsi="Times New Roman;sans-serif"/>
          <w:b w:val="false"/>
          <w:color w:val="000000"/>
          <w:sz w:val="22"/>
        </w:rPr>
        <w:t>). Landlord may designate additional Holidays that are commonly recognized by other office buildings in the area where the Building is located. “</w:t>
      </w:r>
      <w:r>
        <w:rPr>
          <w:rFonts w:ascii="Times New Roman;sans-serif" w:hAnsi="Times New Roman;sans-serif"/>
          <w:b w:val="false"/>
          <w:color w:val="000000"/>
          <w:sz w:val="22"/>
          <w:u w:val="single"/>
        </w:rPr>
        <w:t>Building Service Hours</w:t>
      </w:r>
      <w:r>
        <w:rPr>
          <w:color w:val="000000"/>
        </w:rPr>
        <w:t xml:space="preserve">” </w:t>
      </w:r>
      <w:r>
        <w:rPr>
          <w:rFonts w:ascii="Times New Roman;sans-serif" w:hAnsi="Times New Roman;sans-serif"/>
          <w:b w:val="false"/>
          <w:color w:val="000000"/>
          <w:sz w:val="22"/>
        </w:rPr>
        <w:t>are 8:00 a.m. to 6:00 p.m. on Business Days and, upon Tenant’s request, 8:00 a.m. to 1:00 p.m. on Saturdays (excluding Holidays).</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1.18</w:t>
      </w:r>
      <w:r>
        <w:rPr>
          <w:color w:val="000000"/>
        </w:rPr>
        <w:t>“</w:t>
      </w:r>
      <w:r>
        <w:rPr>
          <w:rFonts w:ascii="Times New Roman;sans-serif" w:hAnsi="Times New Roman;sans-serif"/>
          <w:b w:val="false"/>
          <w:color w:val="000000"/>
          <w:sz w:val="22"/>
          <w:u w:val="single"/>
        </w:rPr>
        <w:t>Property</w:t>
      </w:r>
      <w:r>
        <w:rPr>
          <w:color w:val="000000"/>
        </w:rPr>
        <w:t xml:space="preserve">” </w:t>
      </w:r>
      <w:r>
        <w:rPr>
          <w:rFonts w:ascii="Times New Roman;sans-serif" w:hAnsi="Times New Roman;sans-serif"/>
          <w:b w:val="false"/>
          <w:color w:val="000000"/>
          <w:sz w:val="22"/>
        </w:rPr>
        <w:t xml:space="preserve">means the Building and the parcel(s) of land on which it is located, more particularly described in </w:t>
      </w:r>
      <w:r>
        <w:rPr>
          <w:rFonts w:ascii="Times New Roman;sans-serif" w:hAnsi="Times New Roman;sans-serif"/>
          <w:b w:val="false"/>
          <w:color w:val="000000"/>
          <w:sz w:val="22"/>
          <w:u w:val="single"/>
        </w:rPr>
        <w:t>Exhibit A-1</w:t>
      </w:r>
      <w:r>
        <w:rPr>
          <w:color w:val="000000"/>
        </w:rPr>
        <w:t xml:space="preserve"> </w:t>
      </w:r>
      <w:r>
        <w:rPr>
          <w:rFonts w:ascii="Times New Roman;sans-serif" w:hAnsi="Times New Roman;sans-serif"/>
          <w:b w:val="false"/>
          <w:color w:val="000000"/>
          <w:sz w:val="22"/>
        </w:rPr>
        <w:t xml:space="preserve">attached hereto, and, at Landlord’s discretion, the parking facilities and other improvements, if any, serving the Building and the parcel(s) of land on which they are located. </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1.19</w:t>
      </w:r>
      <w:r>
        <w:rPr>
          <w:rFonts w:ascii="Times New Roman;sans-serif" w:hAnsi="Times New Roman;sans-serif"/>
          <w:b w:val="false"/>
          <w:color w:val="000000"/>
          <w:sz w:val="22"/>
          <w:u w:val="single"/>
        </w:rPr>
        <w:t>Other Defined Terms</w:t>
      </w:r>
      <w:r>
        <w:rPr>
          <w:rFonts w:ascii="Times New Roman;sans-serif" w:hAnsi="Times New Roman;sans-serif"/>
          <w:b w:val="false"/>
          <w:color w:val="000000"/>
          <w:sz w:val="22"/>
        </w:rPr>
        <w:t>: Other capitalized terms shall have the meanings set forth in the Lease and its Exhibits below. References in this Lease to numbered Sections shall be deemed to refer to the numbered Sections of this Lease, unless otherwise specified.</w:t>
      </w:r>
    </w:p>
    <w:p>
      <w:pPr>
        <w:pStyle w:val="TextBody"/>
        <w:bidi w:val="0"/>
        <w:spacing w:lineRule="auto" w:line="240" w:before="0" w:after="240"/>
        <w:ind w:left="0" w:right="0" w:hanging="720"/>
        <w:jc w:val="both"/>
        <w:rPr/>
      </w:pPr>
      <w:r>
        <w:rPr>
          <w:rFonts w:ascii="Times New Roman;sans-serif" w:hAnsi="Times New Roman;sans-serif"/>
          <w:b w:val="false"/>
          <w:color w:val="010000"/>
          <w:sz w:val="22"/>
        </w:rPr>
        <w:t>1.20</w:t>
      </w:r>
      <w:r>
        <w:rPr>
          <w:rFonts w:ascii="Times New Roman;sans-serif" w:hAnsi="Times New Roman;sans-serif"/>
          <w:b w:val="false"/>
          <w:color w:val="000000"/>
          <w:sz w:val="22"/>
          <w:u w:val="single"/>
        </w:rPr>
        <w:t>Exhibits</w:t>
      </w:r>
      <w:r>
        <w:rPr>
          <w:rFonts w:ascii="Times New Roman;sans-serif" w:hAnsi="Times New Roman;sans-serif"/>
          <w:b w:val="false"/>
          <w:color w:val="000000"/>
          <w:sz w:val="22"/>
        </w:rPr>
        <w:t>: The following exhibits and attachments are incorporated into and made a part of this Lease:</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(Outline and Location of Premises) </w:t>
      </w:r>
    </w:p>
    <w:p>
      <w:pPr>
        <w:pStyle w:val="TextBody"/>
        <w:bidi w:val="0"/>
        <w:spacing w:lineRule="auto" w:line="240" w:before="0" w:after="0"/>
        <w:jc w:val="left"/>
        <w:rPr/>
      </w:pPr>
      <w:r>
        <w:rPr>
          <w:rFonts w:ascii="Times New Roman;sans-serif" w:hAnsi="Times New Roman;sans-serif"/>
          <w:b w:val="false"/>
          <w:color w:val="000000"/>
          <w:sz w:val="22"/>
          <w:u w:val="single"/>
        </w:rPr>
        <w:t>Exhibit A-1</w:t>
      </w:r>
      <w:r>
        <w:rPr>
          <w:color w:val="000000"/>
        </w:rPr>
        <w:t xml:space="preserve"> </w:t>
      </w:r>
      <w:r>
        <w:rPr>
          <w:rFonts w:ascii="Times New Roman;sans-serif" w:hAnsi="Times New Roman;sans-serif"/>
          <w:b w:val="false"/>
          <w:color w:val="000000"/>
          <w:sz w:val="22"/>
        </w:rPr>
        <w:t>(Description of the Property)</w:t>
      </w:r>
    </w:p>
    <w:p>
      <w:pPr>
        <w:pStyle w:val="TextBody"/>
        <w:bidi w:val="0"/>
        <w:spacing w:lineRule="auto" w:line="240" w:before="0" w:after="0"/>
        <w:jc w:val="left"/>
        <w:rPr/>
      </w:pP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(Expenses and Taxes) </w:t>
      </w:r>
    </w:p>
    <w:p>
      <w:pPr>
        <w:pStyle w:val="TextBody"/>
        <w:bidi w:val="0"/>
        <w:spacing w:lineRule="auto" w:line="240" w:before="0" w:after="0"/>
        <w:jc w:val="left"/>
        <w:rPr/>
      </w:pP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(Work Letter)</w:t>
      </w:r>
    </w:p>
    <w:p>
      <w:pPr>
        <w:pStyle w:val="TextBody"/>
        <w:bidi w:val="0"/>
        <w:spacing w:lineRule="auto" w:line="240" w:before="0" w:after="0"/>
        <w:jc w:val="left"/>
        <w:rPr/>
      </w:pP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(Commencement Letter)</w:t>
      </w:r>
    </w:p>
    <w:p>
      <w:pPr>
        <w:pStyle w:val="TextBody"/>
        <w:bidi w:val="0"/>
        <w:spacing w:lineRule="auto" w:line="240" w:before="0" w:after="0"/>
        <w:jc w:val="left"/>
        <w:rPr/>
      </w:pP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 xml:space="preserve">(Building Rules and Regulations) </w:t>
      </w:r>
    </w:p>
    <w:p>
      <w:pPr>
        <w:pStyle w:val="TextBody"/>
        <w:bidi w:val="0"/>
        <w:spacing w:lineRule="auto" w:line="240" w:before="0" w:after="0"/>
        <w:jc w:val="left"/>
        <w:rPr/>
      </w:pP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 xml:space="preserve">(Additional Provisions) </w:t>
      </w:r>
    </w:p>
    <w:p>
      <w:pPr>
        <w:pStyle w:val="TextBody"/>
        <w:bidi w:val="0"/>
        <w:spacing w:lineRule="auto" w:line="240" w:before="0" w:after="0"/>
        <w:jc w:val="left"/>
        <w:rPr/>
      </w:pPr>
      <w:r>
        <w:rPr>
          <w:rFonts w:ascii="Times New Roman;sans-serif" w:hAnsi="Times New Roman;sans-serif"/>
          <w:b w:val="false"/>
          <w:color w:val="000000"/>
          <w:sz w:val="22"/>
          <w:u w:val="single"/>
        </w:rPr>
        <w:t>Exhibit G</w:t>
      </w:r>
      <w:r>
        <w:rPr>
          <w:color w:val="000000"/>
        </w:rPr>
        <w:t xml:space="preserve"> </w:t>
      </w:r>
      <w:r>
        <w:rPr>
          <w:rFonts w:ascii="Times New Roman;sans-serif" w:hAnsi="Times New Roman;sans-serif"/>
          <w:b w:val="false"/>
          <w:color w:val="000000"/>
          <w:sz w:val="22"/>
        </w:rPr>
        <w:t>(Letter of Credit)</w:t>
      </w:r>
    </w:p>
    <w:p>
      <w:pPr>
        <w:pStyle w:val="TextBody"/>
        <w:bidi w:val="0"/>
        <w:spacing w:lineRule="auto" w:line="240" w:before="0" w:after="0"/>
        <w:jc w:val="left"/>
        <w:rPr/>
      </w:pPr>
      <w:r>
        <w:rPr>
          <w:rFonts w:ascii="Times New Roman;sans-serif" w:hAnsi="Times New Roman;sans-serif"/>
          <w:b w:val="false"/>
          <w:color w:val="000000"/>
          <w:sz w:val="22"/>
          <w:u w:val="single"/>
        </w:rPr>
        <w:t>Exhibit H</w:t>
      </w:r>
      <w:r>
        <w:rPr>
          <w:color w:val="000000"/>
        </w:rPr>
        <w:t xml:space="preserve"> </w:t>
      </w:r>
      <w:r>
        <w:rPr>
          <w:rFonts w:ascii="Times New Roman;sans-serif" w:hAnsi="Times New Roman;sans-serif"/>
          <w:b w:val="false"/>
          <w:color w:val="000000"/>
          <w:sz w:val="22"/>
        </w:rPr>
        <w:t>(Form of SNDA)</w:t>
      </w:r>
    </w:p>
    <w:p>
      <w:pPr>
        <w:pStyle w:val="TextBody"/>
        <w:bidi w:val="0"/>
        <w:spacing w:lineRule="auto" w:line="240" w:before="0" w:after="0"/>
        <w:jc w:val="left"/>
        <w:rPr/>
      </w:pPr>
      <w:r>
        <w:rPr>
          <w:rFonts w:ascii="Times New Roman;sans-serif" w:hAnsi="Times New Roman;sans-serif"/>
          <w:b w:val="false"/>
          <w:color w:val="000000"/>
          <w:sz w:val="22"/>
          <w:u w:val="single"/>
        </w:rPr>
        <w:t>Exhibit I</w:t>
      </w:r>
      <w:r>
        <w:rPr>
          <w:color w:val="000000"/>
        </w:rPr>
        <w:t xml:space="preserve"> </w:t>
      </w:r>
      <w:r>
        <w:rPr>
          <w:rFonts w:ascii="Times New Roman;sans-serif" w:hAnsi="Times New Roman;sans-serif"/>
          <w:b w:val="false"/>
          <w:color w:val="000000"/>
          <w:sz w:val="22"/>
        </w:rPr>
        <w:t>(Tenant’s Approved Signage)</w:t>
      </w:r>
    </w:p>
    <w:p>
      <w:pPr>
        <w:pStyle w:val="TextBody"/>
        <w:bidi w:val="0"/>
        <w:spacing w:lineRule="auto" w:line="240" w:before="0" w:after="0"/>
        <w:jc w:val="left"/>
        <w:rPr/>
      </w:pPr>
      <w:r>
        <w:rPr>
          <w:rFonts w:ascii="Times New Roman;sans-serif" w:hAnsi="Times New Roman;sans-serif"/>
          <w:b w:val="false"/>
          <w:color w:val="000000"/>
          <w:sz w:val="22"/>
          <w:u w:val="single"/>
        </w:rPr>
        <w:t>Exhibit I-1</w:t>
      </w:r>
      <w:r>
        <w:rPr>
          <w:color w:val="000000"/>
        </w:rPr>
        <w:t xml:space="preserve"> </w:t>
      </w:r>
      <w:r>
        <w:rPr>
          <w:rFonts w:ascii="Times New Roman;sans-serif" w:hAnsi="Times New Roman;sans-serif"/>
          <w:b w:val="false"/>
          <w:color w:val="000000"/>
          <w:sz w:val="22"/>
        </w:rPr>
        <w:t>(Tenant’s Approved Logo)</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2.     Lease Grant.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2.01    </w:t>
      </w:r>
      <w:r>
        <w:rPr>
          <w:rFonts w:ascii="Times New Roman;sans-serif" w:hAnsi="Times New Roman;sans-serif"/>
          <w:b w:val="false"/>
          <w:color w:val="000000"/>
          <w:sz w:val="22"/>
          <w:u w:val="single"/>
        </w:rPr>
        <w:t>Premises</w:t>
      </w:r>
      <w:r>
        <w:rPr>
          <w:rFonts w:ascii="Times New Roman;sans-serif" w:hAnsi="Times New Roman;sans-serif"/>
          <w:b w:val="false"/>
          <w:color w:val="000000"/>
          <w:sz w:val="22"/>
        </w:rPr>
        <w:t>. This Lease is effective as of the Effective Date but the Term shall commence on the Term Commencement Date as provided herein. During the Term, Landlord hereby leases the Premises to Tenant and Tenant hereby leases the Premises from Landlord. The Premises exclude the exterior faces of exterior walls, the common stairways and stairwells, elevators and elevator wells, fan rooms, electric and telephone closets, janitor closets, freight elevator vestibules, and pipes, ducts, conduits, wires and appurtenant fixtures serving other parts of the Building (exclusively or in common), and other Common Areas (as defined below) of the Building. If the Premises include the entire rentable area of any floor, the common corridors, elevator lobby, and restroom facilities located on such full floor(s) shall be considered part of the Premises.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2.02    </w:t>
      </w:r>
      <w:r>
        <w:rPr>
          <w:rFonts w:ascii="Times New Roman;sans-serif" w:hAnsi="Times New Roman;sans-serif"/>
          <w:b w:val="false"/>
          <w:color w:val="000000"/>
          <w:sz w:val="22"/>
          <w:u w:val="single"/>
        </w:rPr>
        <w:t>Appurtenant Rights</w:t>
      </w:r>
      <w:r>
        <w:rPr>
          <w:rFonts w:ascii="Times New Roman;sans-serif" w:hAnsi="Times New Roman;sans-serif"/>
          <w:b w:val="false"/>
          <w:color w:val="000000"/>
          <w:sz w:val="22"/>
        </w:rPr>
        <w:t xml:space="preserve">. During the Term, Tenant shall have, as appurtenant to the Premises, the non-exclusive rights to use in common (subject to reasonable rules of general applicability to tenants and other users of the Building from time to time made by Landlord of which Tenant is given notice):  (a) the common lobbies, corridors, stairways, elevators and loading platform of the Building, and the pipes, ducts, conduits, wires and appurtenant meters and equipment serving the Premises in common with others; (b) common driveways and walkways necessary for access to the Building; (c) if the Premises include less than the entire rentable floor area of any floor, the common corridors, elevator lobby, and restroom facilities located on such floor; and (d) subject to Landlord’s right to temporarily close the Garage as provided in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 xml:space="preserve">attached hereto, the Garage (as defined in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attached hereto); and (e) all other areas or facilities in or about the Building from time to time designated for general use in common by Tenant, other Building tenants, and Landlord (collectively, the “</w:t>
      </w:r>
      <w:r>
        <w:rPr>
          <w:rFonts w:ascii="Times New Roman;sans-serif" w:hAnsi="Times New Roman;sans-serif"/>
          <w:b w:val="false"/>
          <w:color w:val="000000"/>
          <w:sz w:val="22"/>
          <w:u w:val="single"/>
        </w:rPr>
        <w:t>Common Areas</w:t>
      </w:r>
      <w:r>
        <w:rPr>
          <w:color w:val="000000"/>
        </w:rPr>
        <w:t>”</w:t>
      </w:r>
      <w:r>
        <w:rPr>
          <w:rFonts w:ascii="Times New Roman;sans-serif" w:hAnsi="Times New Roman;sans-serif"/>
          <w:b w:val="false"/>
          <w:color w:val="000000"/>
          <w:sz w:val="22"/>
        </w:rPr>
        <w:t xml:space="preserve">). In addition Tenant shall have the exclusive right to use the Dedicated Venting System (as defined in Section 5 of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 xml:space="preserve">attached hereto) and the Back-Up Power and Supplemental Components (as defined in Section 6 of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 xml:space="preserve">attached hereto) and the non-exclusive right to access those portions of the Building and the Property (including, without limitation, the roof of the Building), to the extent necessary for the operation,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 xml:space="preserve">maintenance, and repair of the Dedicated Venting System, all subject to, and in accordance with, the terms and conditions set forth in Section 5 of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hanging="720"/>
        <w:jc w:val="left"/>
        <w:rPr/>
      </w:pPr>
      <w:r>
        <w:rPr>
          <w:rFonts w:ascii="Times New Roman;sans-serif" w:hAnsi="Times New Roman;sans-serif"/>
          <w:b/>
          <w:color w:val="010000"/>
          <w:sz w:val="22"/>
        </w:rPr>
        <w:t>3.</w:t>
      </w:r>
      <w:r>
        <w:rPr>
          <w:rFonts w:ascii="Times New Roman;sans-serif" w:hAnsi="Times New Roman;sans-serif"/>
          <w:b/>
          <w:color w:val="000000"/>
          <w:sz w:val="22"/>
        </w:rPr>
        <w:t>Term and Commencement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3.01    </w:t>
      </w:r>
      <w:r>
        <w:rPr>
          <w:rFonts w:ascii="Times New Roman;sans-serif" w:hAnsi="Times New Roman;sans-serif"/>
          <w:b w:val="false"/>
          <w:color w:val="000000"/>
          <w:sz w:val="22"/>
          <w:u w:val="single"/>
        </w:rPr>
        <w:t>Term</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Term</w:t>
      </w:r>
      <w:r>
        <w:rPr>
          <w:color w:val="000000"/>
        </w:rPr>
        <w:t xml:space="preserve">” </w:t>
      </w:r>
      <w:r>
        <w:rPr>
          <w:rFonts w:ascii="Times New Roman;sans-serif" w:hAnsi="Times New Roman;sans-serif"/>
          <w:b w:val="false"/>
          <w:color w:val="000000"/>
          <w:sz w:val="22"/>
        </w:rPr>
        <w:t>of this Lease shall begin at 12:01 a.m. on the following date (the “</w:t>
      </w:r>
      <w:r>
        <w:rPr>
          <w:rFonts w:ascii="Times New Roman;sans-serif" w:hAnsi="Times New Roman;sans-serif"/>
          <w:b w:val="false"/>
          <w:color w:val="000000"/>
          <w:sz w:val="22"/>
          <w:u w:val="single"/>
        </w:rPr>
        <w:t>Term Commencement Date</w:t>
      </w:r>
      <w:r>
        <w:rPr>
          <w:color w:val="000000"/>
        </w:rPr>
        <w:t>”</w:t>
      </w:r>
      <w:r>
        <w:rPr>
          <w:rFonts w:ascii="Times New Roman;sans-serif" w:hAnsi="Times New Roman;sans-serif"/>
          <w:b w:val="false"/>
          <w:color w:val="000000"/>
          <w:sz w:val="22"/>
        </w:rPr>
        <w:t xml:space="preserve">): the date on which the Premises are delivered free of all tenants and other occupants and their personal property, with the Shell Condition Work (as defined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 xml:space="preserve">attached hereto), and the Initial Tenant Work (defined below) substantially complete (as defined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attached hereto) and with Tenant having received a copy of a certificate of occupancy for the Premises that permits the use of the Premises for the Permitted Use (and which may be temporary so long as such temporary certificate of occupancy permits the use of the Premises for the Permitted Use); provided, however, that if such certificate of occupancy cannot be issued due to any work to be performed by Tenant, then the issuance of a certificate of occupancy shall not be a condition to the occurrence of the Term Commencement Date but Landlord shall secure such certificate of occupancy as soon as practicable following the completion of any such work to be performed by Tenant.</w:t>
      </w:r>
    </w:p>
    <w:p>
      <w:pPr>
        <w:pStyle w:val="TextBody"/>
        <w:bidi w:val="0"/>
        <w:spacing w:lineRule="auto" w:line="240" w:before="0" w:after="240"/>
        <w:jc w:val="both"/>
        <w:rPr/>
      </w:pPr>
      <w:r>
        <w:rPr>
          <w:rFonts w:ascii="Times New Roman;sans-serif" w:hAnsi="Times New Roman;sans-serif"/>
          <w:b w:val="false"/>
          <w:color w:val="000000"/>
          <w:sz w:val="22"/>
        </w:rPr>
        <w:t xml:space="preserve">The Term of this Lease shall end at 11:59 p.m. on the Term Expiration Date set forth in Section 1, unless sooner terminated or extended in accordance with the provisions of this Lease. Promptly after the determination of the Term Commencement Date, Landlord and Tenant shall execute and deliver a commencement letter in the form attached as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Commencement Letter</w:t>
      </w:r>
      <w:r>
        <w:rPr>
          <w:color w:val="000000"/>
        </w:rPr>
        <w:t>”</w:t>
      </w:r>
      <w:r>
        <w:rPr>
          <w:rFonts w:ascii="Times New Roman;sans-serif" w:hAnsi="Times New Roman;sans-serif"/>
          <w:b w:val="false"/>
          <w:color w:val="000000"/>
          <w:sz w:val="22"/>
        </w:rPr>
        <w:t xml:space="preserve">). Tenant’s failure to execute and return the Commencement Letter, or to provide written objection to the statements contained in the Commencement Letter, within thirty (30) days after its delivery to Tenant shall be deemed an approval by Tenant of the statements contained therein. The Term Commencement Date shall not occur until substantial completion as described in the first paragraph of this Section 3.01.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3.02    </w:t>
      </w:r>
      <w:r>
        <w:rPr>
          <w:rFonts w:ascii="Times New Roman;sans-serif" w:hAnsi="Times New Roman;sans-serif"/>
          <w:b w:val="false"/>
          <w:color w:val="000000"/>
          <w:sz w:val="22"/>
          <w:u w:val="single"/>
        </w:rPr>
        <w:t>Initial Tenant Work</w:t>
      </w:r>
      <w:r>
        <w:rPr>
          <w:rFonts w:ascii="Times New Roman;sans-serif" w:hAnsi="Times New Roman;sans-serif"/>
          <w:b w:val="false"/>
          <w:color w:val="000000"/>
          <w:sz w:val="22"/>
        </w:rPr>
        <w:t>.  As used herein, the “</w:t>
      </w:r>
      <w:r>
        <w:rPr>
          <w:rFonts w:ascii="Times New Roman;sans-serif" w:hAnsi="Times New Roman;sans-serif"/>
          <w:b w:val="false"/>
          <w:color w:val="000000"/>
          <w:sz w:val="22"/>
          <w:u w:val="single"/>
        </w:rPr>
        <w:t>Initial Tenant Work</w:t>
      </w:r>
      <w:r>
        <w:rPr>
          <w:color w:val="000000"/>
        </w:rPr>
        <w:t xml:space="preserve">” </w:t>
      </w:r>
      <w:r>
        <w:rPr>
          <w:rFonts w:ascii="Times New Roman;sans-serif" w:hAnsi="Times New Roman;sans-serif"/>
          <w:b w:val="false"/>
          <w:color w:val="000000"/>
          <w:sz w:val="22"/>
        </w:rPr>
        <w:t xml:space="preserve">shall mean all alterations, additions or improvements performed, or to be performed, in or about the Premises that are required initially to put the Premises in condition suitable for Tenant’s use and occupancy for the Permitted Use, as and to the extent described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 xml:space="preserve">attached hereto, excluding the Shell Condition Work (as defined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attached hereto). The Initial Tenant Work shall include, without limitation, the Dedicated Venting System, the installation of a separate HVAC system for the 16</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 xml:space="preserve">Floor Premises, and the installation of the Back-Up Power And Supplemental Components referenced in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 xml:space="preserve">attached hereto. The Initial Tenant Work shall be performed by Landlord in accordance with, and subject to, the provisions of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attached hereto. Landlord shall also deliver the Premises on the Term Commencement Date with all base building systems serving the Premises in good working order. Notwithstanding anything to the contrary, to the extent that any changes to the Base Building (as defined in Section 5 below) are specifically required solely because of Tenant’s research and development use, lab use or the lab specifications for the Initial Tenant Work (“</w:t>
      </w:r>
      <w:r>
        <w:rPr>
          <w:rFonts w:ascii="Times New Roman;sans-serif" w:hAnsi="Times New Roman;sans-serif"/>
          <w:b w:val="false"/>
          <w:color w:val="000000"/>
          <w:sz w:val="22"/>
          <w:u w:val="single"/>
        </w:rPr>
        <w:t>Base Building Modifications</w:t>
      </w:r>
      <w:r>
        <w:rPr>
          <w:color w:val="000000"/>
        </w:rPr>
        <w:t>”</w:t>
      </w:r>
      <w:r>
        <w:rPr>
          <w:rFonts w:ascii="Times New Roman;sans-serif" w:hAnsi="Times New Roman;sans-serif"/>
          <w:b w:val="false"/>
          <w:color w:val="000000"/>
          <w:sz w:val="22"/>
        </w:rPr>
        <w:t xml:space="preserve">, which shall not include any modifications to the Base Building required by the Initial Tenant Work for general office use), Landlord shall perform such Base Building Modifications and Tenant shall pay for all costs of such Base Building Modifications as a part of the Excess Tenant Work Costs (as defined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 xml:space="preserve">attached hereto). Landlord represents to Tenant that, to Landlord’s knowledge, there are no actionable levels of Hazardous Materials (as defined in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 xml:space="preserve">attached hereto) existing at the Premises as of the Effective Date. Landlord shall protect, defend, indemnify and hold Tenant harmless from any and all costs for any removal, encapsulation or remediation required by applicable Environmental, Health and Safety Laws for any actionable levels of Hazardous Materials existing at the Premises as of the Term Commencement Date, except to the extent such Hazardous Materials were brought onto the Premises or the Property by Tenant, its employees, agents, or contractors. Except as expressly provided in this Section 3.02, and subject to Landlord’s obligations as expressly provided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 xml:space="preserve">and its other obligations under this Lease, the Premises shall be leased by Tenant in their current “as is” condition and configuration without any representations or warranties by Landlord.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3.03    </w:t>
      </w:r>
      <w:r>
        <w:rPr>
          <w:rFonts w:ascii="Times New Roman;sans-serif" w:hAnsi="Times New Roman;sans-serif"/>
          <w:b w:val="false"/>
          <w:color w:val="000000"/>
          <w:sz w:val="22"/>
          <w:u w:val="single"/>
        </w:rPr>
        <w:t>Intentionally Omitted</w:t>
      </w:r>
      <w:r>
        <w:rPr>
          <w:rFonts w:ascii="Times New Roman;sans-serif" w:hAnsi="Times New Roman;sans-serif"/>
          <w:b w:val="false"/>
          <w:color w:val="000000"/>
          <w:sz w:val="22"/>
        </w:rPr>
        <w:t xml:space="preserve">.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3.04    </w:t>
      </w:r>
      <w:r>
        <w:rPr>
          <w:rFonts w:ascii="Times New Roman;sans-serif" w:hAnsi="Times New Roman;sans-serif"/>
          <w:b w:val="false"/>
          <w:color w:val="000000"/>
          <w:sz w:val="22"/>
          <w:u w:val="single"/>
        </w:rPr>
        <w:t>Park Square Agreement Contingency</w:t>
      </w:r>
      <w:r>
        <w:rPr>
          <w:rFonts w:ascii="Times New Roman;sans-serif" w:hAnsi="Times New Roman;sans-serif"/>
          <w:b w:val="false"/>
          <w:color w:val="000000"/>
          <w:sz w:val="22"/>
        </w:rPr>
        <w:t>. Landlord has advised Tenant that the 18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Premises is currently occupied by Park Square Executive Search (“</w:t>
      </w:r>
      <w:r>
        <w:rPr>
          <w:rFonts w:ascii="Times New Roman;sans-serif" w:hAnsi="Times New Roman;sans-serif"/>
          <w:b w:val="false"/>
          <w:color w:val="000000"/>
          <w:sz w:val="22"/>
          <w:u w:val="single"/>
        </w:rPr>
        <w:t>Park Square</w:t>
      </w:r>
      <w:r>
        <w:rPr>
          <w:color w:val="000000"/>
        </w:rPr>
        <w:t>”</w:t>
      </w:r>
      <w:r>
        <w:rPr>
          <w:rFonts w:ascii="Times New Roman;sans-serif" w:hAnsi="Times New Roman;sans-serif"/>
          <w:b w:val="false"/>
          <w:color w:val="000000"/>
          <w:sz w:val="22"/>
        </w:rPr>
        <w:t>) pursuant to a lease by and between Landlord and Park Square. Landlord represents and warrants that, as of the Effective Date, it has entered into a lease termination agreement pursuant to which Park Square is required to terminate its existing lease early and vacate the 18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Premises upon such early termination (the “</w:t>
      </w:r>
      <w:r>
        <w:rPr>
          <w:rFonts w:ascii="Times New Roman;sans-serif" w:hAnsi="Times New Roman;sans-serif"/>
          <w:b w:val="false"/>
          <w:color w:val="000000"/>
          <w:sz w:val="22"/>
          <w:u w:val="single"/>
        </w:rPr>
        <w:t>Park Square Agreement</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3.05    </w:t>
      </w:r>
      <w:r>
        <w:rPr>
          <w:rFonts w:ascii="Times New Roman;sans-serif" w:hAnsi="Times New Roman;sans-serif"/>
          <w:b w:val="false"/>
          <w:color w:val="000000"/>
          <w:sz w:val="22"/>
          <w:u w:val="single"/>
        </w:rPr>
        <w:t>Early Access</w:t>
      </w:r>
      <w:r>
        <w:rPr>
          <w:rFonts w:ascii="Times New Roman;sans-serif" w:hAnsi="Times New Roman;sans-serif"/>
          <w:b w:val="false"/>
          <w:color w:val="000000"/>
          <w:sz w:val="22"/>
        </w:rPr>
        <w:t xml:space="preserve">. Except as otherwise provided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 xml:space="preserve">to this Lease, Tenant shall not be permitted to take possession of or enter the Premises for business purposes before the Term Commencement Date without Landlord’s permission.  </w:t>
      </w:r>
    </w:p>
    <w:p>
      <w:pPr>
        <w:pStyle w:val="TextBody"/>
        <w:bidi w:val="0"/>
        <w:spacing w:lineRule="auto" w:line="240" w:before="0" w:after="240"/>
        <w:ind w:left="0" w:right="0" w:hanging="720"/>
        <w:jc w:val="left"/>
        <w:rPr/>
      </w:pPr>
      <w:r>
        <w:rPr>
          <w:rFonts w:ascii="Times New Roman;sans-serif" w:hAnsi="Times New Roman;sans-serif"/>
          <w:b/>
          <w:color w:val="010000"/>
          <w:sz w:val="22"/>
        </w:rPr>
        <w:t>4.</w:t>
      </w:r>
      <w:r>
        <w:rPr>
          <w:rFonts w:ascii="Times New Roman;sans-serif" w:hAnsi="Times New Roman;sans-serif"/>
          <w:b/>
          <w:color w:val="000000"/>
          <w:sz w:val="22"/>
        </w:rPr>
        <w:t>Rent.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4.01    </w:t>
      </w:r>
      <w:r>
        <w:rPr>
          <w:rFonts w:ascii="Times New Roman;sans-serif" w:hAnsi="Times New Roman;sans-serif"/>
          <w:b w:val="false"/>
          <w:color w:val="000000"/>
          <w:sz w:val="22"/>
          <w:u w:val="single"/>
        </w:rPr>
        <w:t>Base Rent and Additional Rent</w:t>
      </w:r>
      <w:r>
        <w:rPr>
          <w:rFonts w:ascii="Times New Roman;sans-serif" w:hAnsi="Times New Roman;sans-serif"/>
          <w:b w:val="false"/>
          <w:color w:val="000000"/>
          <w:sz w:val="22"/>
        </w:rPr>
        <w:t xml:space="preserve">. During the Term (but subject to the following subparagraph of this Section 4.01 below), Tenant hereby covenants and agrees to pay to Landlord, without any setoff or deduction (except to the extent expressly set forth in this Lease), (a) all Base Rent (as provided in Section 1), (b) Tenant’s Proportionate Share of the Expense Excess and the Tax Excess (as provided in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attached hereto), and (c) all other Additional Rent due for the Term (collectively referred to as “</w:t>
      </w:r>
      <w:r>
        <w:rPr>
          <w:rFonts w:ascii="Times New Roman;sans-serif" w:hAnsi="Times New Roman;sans-serif"/>
          <w:b w:val="false"/>
          <w:color w:val="000000"/>
          <w:sz w:val="22"/>
          <w:u w:val="single"/>
        </w:rPr>
        <w:t>Rent</w:t>
      </w:r>
      <w:r>
        <w:rPr>
          <w:color w:val="000000"/>
        </w:rPr>
        <w: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Additional Rent</w:t>
      </w:r>
      <w:r>
        <w:rPr>
          <w:color w:val="000000"/>
        </w:rPr>
        <w:t xml:space="preserve">” </w:t>
      </w:r>
      <w:r>
        <w:rPr>
          <w:rFonts w:ascii="Times New Roman;sans-serif" w:hAnsi="Times New Roman;sans-serif"/>
          <w:b w:val="false"/>
          <w:color w:val="000000"/>
          <w:sz w:val="22"/>
        </w:rPr>
        <w:t>means all sums (exclusive of Base Rent) that Tenant is required to pay to Landlord from time to time under this Lease.</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Notwithstanding the foregoing, Landlord agrees to waive payment of the monthly amounts of (i) Base Rent and (ii) Additional Rent for Tenant’s Proportionate Share of the Expense Excess and the Tax Excess for the Premises for the period commencing on the Term Commencement Date and ending on the date immediately preceding the Rent Commencement Date set forth in Section 1 (the “</w:t>
      </w:r>
      <w:r>
        <w:rPr>
          <w:rFonts w:ascii="Times New Roman;sans-serif" w:hAnsi="Times New Roman;sans-serif"/>
          <w:b w:val="false"/>
          <w:color w:val="000000"/>
          <w:sz w:val="22"/>
          <w:u w:val="single"/>
        </w:rPr>
        <w:t>Rent Waiver Period</w:t>
      </w:r>
      <w:r>
        <w:rPr>
          <w:color w:val="000000"/>
        </w:rPr>
        <w:t>”</w:t>
      </w:r>
      <w:r>
        <w:rPr>
          <w:rFonts w:ascii="Times New Roman;sans-serif" w:hAnsi="Times New Roman;sans-serif"/>
          <w:b w:val="false"/>
          <w:color w:val="000000"/>
          <w:sz w:val="22"/>
        </w:rPr>
        <w:t>).  In the event that the Rent Waiver Period does not end on the last day of a calendar month, then on the first day of the calendar month in which the Rent Waiver Period expires, Tenant shall pay to Landlord the amount of the Base Rent and Additional Rent for the portion of the calendar month that follows the last day of the Rent Waiver Period, pro-rated on a per diem basis.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4.02    </w:t>
      </w:r>
      <w:r>
        <w:rPr>
          <w:rFonts w:ascii="Times New Roman;sans-serif" w:hAnsi="Times New Roman;sans-serif"/>
          <w:b w:val="false"/>
          <w:color w:val="000000"/>
          <w:sz w:val="22"/>
          <w:u w:val="single"/>
        </w:rPr>
        <w:t>Manner and Timing of Payments</w:t>
      </w:r>
      <w:r>
        <w:rPr>
          <w:rFonts w:ascii="Times New Roman;sans-serif" w:hAnsi="Times New Roman;sans-serif"/>
          <w:b w:val="false"/>
          <w:color w:val="000000"/>
          <w:sz w:val="22"/>
        </w:rPr>
        <w:t xml:space="preserve">. Base Rent and other recurring fixed monthly charges of Additional Rent shall be due and payable in advance on the first day of each calendar month without notice or demand. All other items of Rent shall be due and payable by Tenant within thirty (30) days after billing by Landlord. Rent shall be made payable to the entity, and sent to the address, that Landlord from time to time designates for such purposes and shall be paid by Tenant by good and sufficient check payable in United States of America currency or by electronic or wire transfer to an account from time to time designated by Landlord. Landlord’s acceptance of less than the entire amount of Rent shall be considered, unless otherwise specified by Landlord, a payment on account of the oldest obligation due from Tenant hereunder, notwithstanding any statement to the contrary contained on or accompanying any such payment from Tenant. Rent for any partial month during the Term shall be prorated on a per diem basis. Tenant shall pay and be liable for all rental, sales and use taxes (but excluding income taxes), if any, imposed upon or measured by Rent. No endorsement or statement on a check or letter accompanying payment shall be considered an accord and satisfaction. </w:t>
      </w:r>
    </w:p>
    <w:p>
      <w:pPr>
        <w:pStyle w:val="TextBody"/>
        <w:bidi w:val="0"/>
        <w:spacing w:lineRule="auto" w:line="240" w:before="0" w:after="240"/>
        <w:ind w:left="0" w:right="0" w:hanging="720"/>
        <w:jc w:val="left"/>
        <w:rPr/>
      </w:pPr>
      <w:r>
        <w:rPr>
          <w:rFonts w:ascii="Times New Roman;sans-serif" w:hAnsi="Times New Roman;sans-serif"/>
          <w:b/>
          <w:color w:val="010000"/>
          <w:sz w:val="22"/>
        </w:rPr>
        <w:t>5.</w:t>
      </w:r>
      <w:r>
        <w:rPr>
          <w:rFonts w:ascii="Times New Roman;sans-serif" w:hAnsi="Times New Roman;sans-serif"/>
          <w:b/>
          <w:color w:val="000000"/>
          <w:sz w:val="22"/>
        </w:rPr>
        <w:t>Compliance with Laws; Use.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Tenant shall use the Premises only for the Permitted Use (or any portions of the Permitted Use) and shall not use or permit the use of the Premises for any other purpose. In connection with Landlord’s application for a building permit for the Initial Tenant Work, Landlord, at its sole cost and expense, shall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process a change of use in the certificate of occupancy for the Building to expressly allow laboratory use on or at the 16</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of the Building (the “</w:t>
      </w:r>
      <w:r>
        <w:rPr>
          <w:rFonts w:ascii="Times New Roman;sans-serif" w:hAnsi="Times New Roman;sans-serif"/>
          <w:b w:val="false"/>
          <w:color w:val="000000"/>
          <w:sz w:val="22"/>
          <w:u w:val="single"/>
        </w:rPr>
        <w:t>Amended Building CO</w:t>
      </w:r>
      <w:r>
        <w:rPr>
          <w:color w:val="000000"/>
        </w:rPr>
        <w:t>”</w:t>
      </w:r>
      <w:r>
        <w:rPr>
          <w:rFonts w:ascii="Times New Roman;sans-serif" w:hAnsi="Times New Roman;sans-serif"/>
          <w:b w:val="false"/>
          <w:color w:val="000000"/>
          <w:sz w:val="22"/>
        </w:rPr>
        <w:t>). Notwithstanding anything to the contrary, all laboratory uses and research and development uses shall be limited to the Lab Space (as defined below) and only such other portions of the Premises as such uses are allowed under the Amended Building CO. From and after the Term Commencement Date, Tenant shall comply with all statutes, codes, ordinances, orders, rules and regulations of any municipal or governmental entity whether in effect now or later, including without limitation, the Environmental Health and Safety Laws (as defined in E</w:t>
      </w:r>
      <w:r>
        <w:rPr>
          <w:rFonts w:ascii="Times New Roman;sans-serif" w:hAnsi="Times New Roman;sans-serif"/>
          <w:b w:val="false"/>
          <w:color w:val="000000"/>
          <w:sz w:val="22"/>
          <w:u w:val="single"/>
        </w:rPr>
        <w:t>xhibit F</w:t>
      </w:r>
      <w:r>
        <w:rPr>
          <w:color w:val="000000"/>
        </w:rPr>
        <w:t xml:space="preserve"> </w:t>
      </w:r>
      <w:r>
        <w:rPr>
          <w:rFonts w:ascii="Times New Roman;sans-serif" w:hAnsi="Times New Roman;sans-serif"/>
          <w:b w:val="false"/>
          <w:color w:val="000000"/>
          <w:sz w:val="22"/>
        </w:rPr>
        <w:t>attached hereto) and the Americans with Disabilities Act (“</w:t>
      </w:r>
      <w:r>
        <w:rPr>
          <w:rFonts w:ascii="Times New Roman;sans-serif" w:hAnsi="Times New Roman;sans-serif"/>
          <w:b w:val="false"/>
          <w:color w:val="000000"/>
          <w:sz w:val="22"/>
          <w:u w:val="single"/>
        </w:rPr>
        <w:t>Law(s)</w:t>
      </w:r>
      <w:r>
        <w:rPr>
          <w:color w:val="000000"/>
        </w:rPr>
        <w:t>”</w:t>
      </w:r>
      <w:r>
        <w:rPr>
          <w:rFonts w:ascii="Times New Roman;sans-serif" w:hAnsi="Times New Roman;sans-serif"/>
          <w:b w:val="false"/>
          <w:color w:val="000000"/>
          <w:sz w:val="22"/>
        </w:rPr>
        <w:t xml:space="preserve">), regarding the operation of Tenant’s business and the use and occupancy of the Premises, subject to Landlord’s delivery obligations as expressly set forth in this Lease. Without limiting the generality of the foregoing, and except as provided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attached hereto, Tenant shall be solely responsible for complying with all Laws that relate to operations of Tenant’s laboratory uses, and all Laws pertaining to equipment, installations and improvements used or required in connection with the operations of Tenant’s laboratory uses. Tenant shall comply with applicable laboratory practices, (including the use of safety equipment) and policies established by the Center for Disease Control and Prevention (the “</w:t>
      </w:r>
      <w:r>
        <w:rPr>
          <w:rFonts w:ascii="Times New Roman;sans-serif" w:hAnsi="Times New Roman;sans-serif"/>
          <w:b w:val="false"/>
          <w:color w:val="000000"/>
          <w:sz w:val="22"/>
          <w:u w:val="single"/>
        </w:rPr>
        <w:t>CDC</w:t>
      </w:r>
      <w:r>
        <w:rPr>
          <w:color w:val="000000"/>
        </w:rPr>
        <w:t>”</w:t>
      </w:r>
      <w:r>
        <w:rPr>
          <w:rFonts w:ascii="Times New Roman;sans-serif" w:hAnsi="Times New Roman;sans-serif"/>
          <w:b w:val="false"/>
          <w:color w:val="000000"/>
          <w:sz w:val="22"/>
        </w:rPr>
        <w:t>), and its use of the Premises shall not exceed applicable Biosafety Level 2 (“</w:t>
      </w:r>
      <w:r>
        <w:rPr>
          <w:rFonts w:ascii="Times New Roman;sans-serif" w:hAnsi="Times New Roman;sans-serif"/>
          <w:b w:val="false"/>
          <w:color w:val="000000"/>
          <w:sz w:val="22"/>
          <w:u w:val="single"/>
        </w:rPr>
        <w:t>BSL-2</w:t>
      </w:r>
      <w:r>
        <w:rPr>
          <w:color w:val="000000"/>
        </w:rPr>
        <w:t>”</w:t>
      </w:r>
      <w:r>
        <w:rPr>
          <w:rFonts w:ascii="Times New Roman;sans-serif" w:hAnsi="Times New Roman;sans-serif"/>
          <w:b w:val="false"/>
          <w:color w:val="000000"/>
          <w:sz w:val="22"/>
        </w:rPr>
        <w:t xml:space="preserve">) requirements and protocols in effect with respect to Tenant’s use from time to time, and Tenant shall store, use and dispose of Hazardous Materials in compliance with all applicable Environmental, Health and Safety Laws and shall comply with all Laws applicable to the handling, use or disposition of any Hazardous Materials in connection with the Back-Up Power And Supplemental Components referenced in Section 6 of Exhibit F. In addition, Tenant shall, at its sole cost and expense, promptly comply with any Laws that relate to the Base Building (defined below), but only to the extent such obligations are triggered by Tenant’s use of the Premises (other than for general office use), the Initial Tenant Work (unless such obligations are triggered solely due to the total cost of the Initial Tenant Work or by Tenant’s use of the Premises for general office use) or any Alterations (as defined in Section 8.01) in or about the Premises performed or requested by Tenant after the Term Commencement Date, provided that Landlord shall perform the Shell Condition Work and the Initial Tenant Work in compliance with all applicable Laws (subject to Tenant’s reimbursement obligations set forth in Section 3.02 above). Except to the extent the same are expressly set forth herein as obligations of Tenant, Landlord shall be responsible for the compliance of the Base Building with all applicable Laws. All costs incurred by Landlord for compliance work shall be included in Expenses except as otherwise expressly provided in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attached hereto. “</w:t>
      </w:r>
      <w:r>
        <w:rPr>
          <w:rFonts w:ascii="Times New Roman;sans-serif" w:hAnsi="Times New Roman;sans-serif"/>
          <w:b w:val="false"/>
          <w:color w:val="000000"/>
          <w:sz w:val="22"/>
          <w:u w:val="single"/>
        </w:rPr>
        <w:t>Base Building</w:t>
      </w:r>
      <w:r>
        <w:rPr>
          <w:color w:val="000000"/>
        </w:rPr>
        <w:t xml:space="preserve">” </w:t>
      </w:r>
      <w:r>
        <w:rPr>
          <w:rFonts w:ascii="Times New Roman;sans-serif" w:hAnsi="Times New Roman;sans-serif"/>
          <w:b w:val="false"/>
          <w:color w:val="000000"/>
          <w:sz w:val="22"/>
        </w:rPr>
        <w:t xml:space="preserve">shall include the structural portions of the Building, the common restrooms, and the Building mechanical, electrical, and plumbing systems and equipment located in the internal core of the Building on the floor or floors on which the Premises are located. Tenant shall promptly provide Landlord with copies of any notices it receives regarding an alleged violation of Law.  Except as otherwise provided herein, Tenant shall be solely responsible, at Tenant’s sole cost and expenses, for obtaining all operational permits, licenses and approvals required in order for Tenant to use the Premises for the Permitted Use (excluding any permits, licenses, and approvals required for the construction of the Initial Tenant Work, which shall be Landlord’s responsibility). If any governmental license or permit required to be obtained by Tenant shall be required for the proper and lawful conduct of Tenant’s business at the Premises, and if the failure to secure such license or permit would in any way affect Landlord, the Premises, the Buildings or the Property or Tenant’s ability to perform any of its obligations under this Lease, Tenant, at Tenant’s expense, shall duly procure and thereafter maintain such license and submit the same to inspection by Landlord. Tenant, at Tenant’s expense, shall at all times comply in all material respects with the terms and conditions of each such license or permit. Within five (5) business days following Tenant’s receipt of Landlord’s written request therefor, Tenant shall provide Landlord with copies of any Environmental Health and Safety permits, licenses and registrations that are obtained or renewed during the Term. Tenant shall not exceed the standard density limit for the Building, which is 1 person per 150 useable square feet. Tenant shall not use or permit the use of any portion of the Premises or any equipment installed by Tenant or any party acting under or through Tenant in a manner that results in commercially unreasonable objectionable noise, odors, or vibrations emanating from the Premises and shall prevent the emanation of noxious odors, smoke, vibration, noise, water or other commercially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 xml:space="preserve">unreasonable effects which constitute a nuisance or otherwise unreasonably interfere with the safety or comfort of Landlord or of any of the other occupants of the Building. Landlord agrees that Tenant’s use of the Premises for the Permitted Use shall not be objectionable provided that Tenant complies with the foregoing and its obligations under this Lease, Landlord and Tenant both acknowledging the fact that the Premises are in a multi-tenant Building, which includes office uses and the Permitted Use under this Lease. Without limiting the generality of the foregoing sentence, Tenant shall not use any portion of the Premises for a personal fitness or exercise area or install or use any exercise equipment therein.  Tenant shall comply with the rules and regulations of the Building attached as </w:t>
      </w:r>
      <w:r>
        <w:rPr>
          <w:rFonts w:ascii="Times New Roman;sans-serif" w:hAnsi="Times New Roman;sans-serif"/>
          <w:b w:val="false"/>
          <w:color w:val="000000"/>
          <w:sz w:val="22"/>
          <w:u w:val="single"/>
        </w:rPr>
        <w:t>Exhibit E</w:t>
      </w:r>
      <w:r>
        <w:rPr>
          <w:color w:val="000000"/>
        </w:rPr>
        <w:t xml:space="preserve"> </w:t>
      </w:r>
      <w:r>
        <w:rPr>
          <w:rFonts w:ascii="Times New Roman;sans-serif" w:hAnsi="Times New Roman;sans-serif"/>
          <w:b w:val="false"/>
          <w:color w:val="000000"/>
          <w:sz w:val="22"/>
        </w:rPr>
        <w:t>and such other reasonable rules and regulations adopted by Landlord from time to time, including rules and regulations for the performance of Alterations, of which Tenant has been given prior written notice and which do not materially decrease Tenant’s rights or materially increase Tenant’s obligations under this Lease. In the event of any conflict between the terms of this Lease and the rules and regulations, the terms of this Lease shall control. If the Premises or any portion thereof are located on a multi-tenant floor, Tenant shall cause all portions of such Premises that are visible from the Common Areas on such floors to be arranged, furnished, and lighted in a manner in which such Premises appears at all times to be occupied for the Permitted Use.</w:t>
      </w:r>
    </w:p>
    <w:p>
      <w:pPr>
        <w:pStyle w:val="TextBody"/>
        <w:bidi w:val="0"/>
        <w:spacing w:lineRule="auto" w:line="240" w:before="0" w:after="240"/>
        <w:ind w:left="0" w:right="0" w:firstLine="720"/>
        <w:jc w:val="left"/>
        <w:rPr/>
      </w:pPr>
      <w:r>
        <w:rPr>
          <w:rFonts w:ascii="Times New Roman;sans-serif" w:hAnsi="Times New Roman;sans-serif"/>
          <w:b w:val="false"/>
          <w:color w:val="000000"/>
          <w:sz w:val="22"/>
        </w:rPr>
        <w:t>Notwithstanding anything to the contrary contained in this Lease, during the Term, (a) Tenant shall be entitled to the allocation of one hundred percent (100%) of the maximum allowable chemical quantities (both in use and in storage) permitted by MAQ Codes (defined below) for the 16</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Premises, (b) with respect to any Permitted Use of the Premises located on the 17</w:t>
      </w:r>
      <w:r>
        <w:rPr>
          <w:rFonts w:ascii="Times New Roman;sans-serif" w:hAnsi="Times New Roman;sans-serif"/>
          <w:b w:val="false"/>
          <w:color w:val="000000"/>
          <w:sz w:val="14"/>
        </w:rPr>
        <w:t>th</w:t>
      </w:r>
      <w:r>
        <w:rPr>
          <w:rFonts w:ascii="Times New Roman;sans-serif" w:hAnsi="Times New Roman;sans-serif"/>
          <w:b w:val="false"/>
          <w:color w:val="000000"/>
          <w:sz w:val="22"/>
        </w:rPr>
        <w:t>, 18</w:t>
      </w:r>
      <w:r>
        <w:rPr>
          <w:rFonts w:ascii="Times New Roman;sans-serif" w:hAnsi="Times New Roman;sans-serif"/>
          <w:b w:val="false"/>
          <w:color w:val="000000"/>
          <w:sz w:val="14"/>
        </w:rPr>
        <w:t>th</w:t>
      </w:r>
      <w:r>
        <w:rPr>
          <w:rFonts w:ascii="Times New Roman;sans-serif" w:hAnsi="Times New Roman;sans-serif"/>
          <w:b w:val="false"/>
          <w:color w:val="000000"/>
          <w:sz w:val="22"/>
        </w:rPr>
        <w:t>, or 19</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floors of Building that is subject to regulation by MAQ Codes, the maximum allowable chemical quantities (both in use and in storage) permitted by MAQ Codes shall be allocated based on the proportion that the rentable square footage of the Premises located on the applicable floor bears to the total rentable square footage of such floor, and (c) Landlord shall not permit the use of the 16</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of the Building or any portion thereof (excluding the 16</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Premises) for the use or storage of chemicals the quantities of which are regulated by the MAQ Codes. As used in this paragraph, “</w:t>
      </w:r>
      <w:r>
        <w:rPr>
          <w:rFonts w:ascii="Times New Roman;sans-serif" w:hAnsi="Times New Roman;sans-serif"/>
          <w:b w:val="false"/>
          <w:color w:val="000000"/>
          <w:sz w:val="22"/>
          <w:u w:val="single"/>
        </w:rPr>
        <w:t>MAQ Codes</w:t>
      </w:r>
      <w:r>
        <w:rPr>
          <w:color w:val="000000"/>
        </w:rPr>
        <w:t xml:space="preserve">” </w:t>
      </w:r>
      <w:r>
        <w:rPr>
          <w:rFonts w:ascii="Times New Roman;sans-serif" w:hAnsi="Times New Roman;sans-serif"/>
          <w:b w:val="false"/>
          <w:color w:val="000000"/>
          <w:sz w:val="22"/>
        </w:rPr>
        <w:t>shall mean 780 CMR – Massachusetts State Building Code 9</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Edition, 527 CMR – Massachusetts Comprehensive Fire Safety Code, and NEPA 45 – Standard on Fire Protection for Laboratories Using Chemicals, 2011 Edition.</w:t>
      </w:r>
    </w:p>
    <w:p>
      <w:pPr>
        <w:pStyle w:val="TextBody"/>
        <w:bidi w:val="0"/>
        <w:spacing w:lineRule="auto" w:line="240" w:before="0" w:after="240"/>
        <w:ind w:left="0" w:right="0" w:hanging="720"/>
        <w:jc w:val="left"/>
        <w:rPr/>
      </w:pPr>
      <w:r>
        <w:rPr>
          <w:rFonts w:ascii="Times New Roman;sans-serif" w:hAnsi="Times New Roman;sans-serif"/>
          <w:b/>
          <w:color w:val="010000"/>
          <w:sz w:val="22"/>
        </w:rPr>
        <w:t>6.</w:t>
      </w:r>
      <w:r>
        <w:rPr>
          <w:rFonts w:ascii="Times New Roman;sans-serif" w:hAnsi="Times New Roman;sans-serif"/>
          <w:b/>
          <w:color w:val="000000"/>
          <w:sz w:val="22"/>
        </w:rPr>
        <w:t>Letter of Credit.</w:t>
      </w:r>
    </w:p>
    <w:p>
      <w:pPr>
        <w:pStyle w:val="TextBody"/>
        <w:bidi w:val="0"/>
        <w:spacing w:lineRule="auto" w:line="240" w:before="0" w:after="240"/>
        <w:jc w:val="both"/>
        <w:rPr/>
      </w:pPr>
      <w:r>
        <w:rPr>
          <w:rFonts w:ascii="Times New Roman;sans-serif" w:hAnsi="Times New Roman;sans-serif"/>
          <w:b w:val="false"/>
          <w:color w:val="000000"/>
          <w:sz w:val="22"/>
        </w:rPr>
        <w:t xml:space="preserve">Concurrently with Tenant’s execution and delivery of this Lease, Tenant shall deliver to Landlord a clean, irrevocable letter of credit in the amount set forth in Section 1, which shall comply with, which may be drawn by Landlord in accordance with, and which shall be subject to reduction in accordance with, the provisions of </w:t>
      </w:r>
      <w:r>
        <w:rPr>
          <w:rFonts w:ascii="Times New Roman;sans-serif" w:hAnsi="Times New Roman;sans-serif"/>
          <w:b w:val="false"/>
          <w:color w:val="000000"/>
          <w:sz w:val="22"/>
          <w:u w:val="single"/>
        </w:rPr>
        <w:t>Exhibit G</w:t>
      </w:r>
      <w:r>
        <w:rPr>
          <w:color w:val="000000"/>
        </w:rPr>
        <w:t xml:space="preserve"> </w:t>
      </w:r>
      <w:r>
        <w:rPr>
          <w:rFonts w:ascii="Times New Roman;sans-serif" w:hAnsi="Times New Roman;sans-serif"/>
          <w:b w:val="false"/>
          <w:color w:val="000000"/>
          <w:sz w:val="22"/>
        </w:rPr>
        <w:t>attached hereto (such letter of credit, together with any renewal or replacement thereof in accordance herewith, being referred to herein as the “</w:t>
      </w:r>
      <w:r>
        <w:rPr>
          <w:rFonts w:ascii="Times New Roman;sans-serif" w:hAnsi="Times New Roman;sans-serif"/>
          <w:b w:val="false"/>
          <w:color w:val="000000"/>
          <w:sz w:val="22"/>
          <w:u w:val="single"/>
        </w:rPr>
        <w:t>Letter of Credit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720"/>
        <w:jc w:val="left"/>
        <w:rPr/>
      </w:pPr>
      <w:r>
        <w:rPr>
          <w:rFonts w:ascii="Times New Roman;sans-serif" w:hAnsi="Times New Roman;sans-serif"/>
          <w:b/>
          <w:color w:val="010000"/>
          <w:sz w:val="22"/>
        </w:rPr>
        <w:t>7.</w:t>
      </w:r>
      <w:r>
        <w:rPr>
          <w:rFonts w:ascii="Times New Roman;sans-serif" w:hAnsi="Times New Roman;sans-serif"/>
          <w:b/>
          <w:color w:val="000000"/>
          <w:sz w:val="22"/>
        </w:rPr>
        <w:t>Building Services.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7.01    </w:t>
      </w:r>
      <w:r>
        <w:rPr>
          <w:rFonts w:ascii="Times New Roman;sans-serif" w:hAnsi="Times New Roman;sans-serif"/>
          <w:b w:val="false"/>
          <w:color w:val="000000"/>
          <w:sz w:val="22"/>
          <w:u w:val="single"/>
        </w:rPr>
        <w:t>Building Services</w:t>
      </w:r>
      <w:r>
        <w:rPr>
          <w:rFonts w:ascii="Times New Roman;sans-serif" w:hAnsi="Times New Roman;sans-serif"/>
          <w:b w:val="false"/>
          <w:color w:val="000000"/>
          <w:sz w:val="22"/>
        </w:rPr>
        <w:t xml:space="preserve">.  Landlord shall furnish Tenant with the following services: (a) water for use in the Base Building restrooms; (b) customary heat and air conditioning in season during Building Service Hours; (c) standard janitorial service for the office portions of the Premises on Business Days (it being acknowledged and agreed that Tenant shall be solely responsible for all cleaning with respect to the Lab Space as provided in Section 9.01); (d) elevator service; (e) electricity in accordance with the terms and conditions in Section 7.02; (f) access to the Building for Tenant and its employees 24 hours per day/7 days per week, subject to the terms of this Lease and such protective services or monitoring systems, if any, as Landlord may from time to time impose, including, without limitation, sign-in procedures and/or presentation of identification cards; and (g) such other services as Landlord reasonably determines are necessary or appropriate for the Property.  In addition, Tenant shall have the right to receive HVAC service during hours other than Building Service Hours by paying Landlord’s then standard charge for additional HVAC service and providing such prior notice as is reasonably specified by Landlord.  As of the Effective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Date, Landlord’s standard charge for additional HVAC service is $64.00 per hour during warm weather months (generally commencing as of June 1</w:t>
      </w:r>
      <w:r>
        <w:rPr>
          <w:rFonts w:ascii="Times New Roman;sans-serif" w:hAnsi="Times New Roman;sans-serif"/>
          <w:b w:val="false"/>
          <w:color w:val="000000"/>
          <w:sz w:val="14"/>
        </w:rPr>
        <w:t>st</w:t>
      </w:r>
      <w:r>
        <w:rPr>
          <w:rFonts w:ascii="Times New Roman;sans-serif" w:hAnsi="Times New Roman;sans-serif"/>
          <w:b w:val="false"/>
          <w:color w:val="000000"/>
          <w:sz w:val="22"/>
        </w:rPr>
        <w:t>) and $47.00 per hour during cold weather months (generally commencing as of October 1</w:t>
      </w:r>
      <w:r>
        <w:rPr>
          <w:rFonts w:ascii="Times New Roman;sans-serif" w:hAnsi="Times New Roman;sans-serif"/>
          <w:b w:val="false"/>
          <w:color w:val="000000"/>
          <w:sz w:val="14"/>
        </w:rPr>
        <w:t xml:space="preserve">st </w:t>
      </w:r>
      <w:r>
        <w:rPr>
          <w:rFonts w:ascii="Times New Roman;sans-serif" w:hAnsi="Times New Roman;sans-serif"/>
          <w:b w:val="false"/>
          <w:color w:val="000000"/>
          <w:sz w:val="22"/>
        </w:rPr>
        <w:t>). If Tenant is permitted to connect any supplemental HVAC units to the Building’s condenser water loop or chilled water line, such permission shall be conditioned upon Landlord having adequate excess capacity from time to time and such connection and use shall be subject to Landlord’s reasonable approval and reasonable restrictions imposed by Landlord, and Landlord shall have the right to charge Tenant a connection fee and/or a monthly usage fee, as reasonably determined by Landlord. Notwithstanding anything to the contrary, Landlord agrees that, throughout the Term of this Lease, 20 tons of condenser water will be available for the 16</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Premises and 5 tons of condenser water will be available for the 17</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Premises, provided that Tenant will be responsible, at Tenant’s sole cost and expense, for the installation, operation and maintenance of any condenser water pump(s) to the extent Tenant determines such pump(s) are necessary to maintain flow requirements. If, at Tenant’s request, Landlord, or an affiliated or third party service provider, provides any services that are not Landlord’s express obligation under this Lease, including, without limitation, any repairs which are Tenant’s responsibility pursuant to Section 9 below, Tenant shall pay to the applicable service provider the cost of such services plus a reasonable administrative charge.</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7.02    </w:t>
      </w:r>
      <w:r>
        <w:rPr>
          <w:rFonts w:ascii="Times New Roman;sans-serif" w:hAnsi="Times New Roman;sans-serif"/>
          <w:b w:val="false"/>
          <w:color w:val="000000"/>
          <w:sz w:val="22"/>
          <w:u w:val="single"/>
        </w:rPr>
        <w:t>Tenant Electricity</w:t>
      </w:r>
      <w:r>
        <w:rPr>
          <w:rFonts w:ascii="Times New Roman;sans-serif" w:hAnsi="Times New Roman;sans-serif"/>
          <w:b w:val="false"/>
          <w:color w:val="000000"/>
          <w:sz w:val="22"/>
        </w:rPr>
        <w:t xml:space="preserve">.  As part of the Initial Tenant Work, Landlord shall deliver the Premises separately metered for electricity; provided, however, that if separate metering is not allowed by the utility company, then Landlord instead shall install sub-meters or check meter for the Premises. Without the consent of Landlord, Tenant’s use of electrical service shall not exceed the Building’s standard capacity, as reasonably determined by Landlord, based upon the Building standard electrical design load. To the extent the Premises are separately metered, Tenant shall timely pay the separate charges for such electricity service directly to the applicable utility company. With respect to the electricity charges hereunder that are not separately metered, Tenant shall make estimated monthly payments for such electricity charges hereunder, in advance on the first day of each month or partial month of the Term, based on amounts estimated by Landlord from time to time for such electricity charges, subject to periodic reconciliations based on actual meter readings and utility rates for the space and period in question.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7.03    </w:t>
      </w:r>
      <w:r>
        <w:rPr>
          <w:rFonts w:ascii="Times New Roman;sans-serif" w:hAnsi="Times New Roman;sans-serif"/>
          <w:b w:val="false"/>
          <w:color w:val="000000"/>
          <w:sz w:val="22"/>
          <w:u w:val="single"/>
        </w:rPr>
        <w:t>Interruption of Services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Any interruption, diminishment or termination of services to the Premises (a “</w:t>
      </w:r>
      <w:r>
        <w:rPr>
          <w:rFonts w:ascii="Times New Roman;sans-serif" w:hAnsi="Times New Roman;sans-serif"/>
          <w:b w:val="false"/>
          <w:color w:val="000000"/>
          <w:sz w:val="22"/>
          <w:u w:val="single"/>
        </w:rPr>
        <w:t>Service Failure</w:t>
      </w:r>
      <w:r>
        <w:rPr>
          <w:color w:val="000000"/>
        </w:rPr>
        <w:t>”</w:t>
      </w:r>
      <w:r>
        <w:rPr>
          <w:rFonts w:ascii="Times New Roman;sans-serif" w:hAnsi="Times New Roman;sans-serif"/>
          <w:b w:val="false"/>
          <w:color w:val="000000"/>
          <w:sz w:val="22"/>
        </w:rPr>
        <w:t xml:space="preserve">) due to the application of Laws, the failure of any equipment, the performance of maintenance, repairs, improvements or alterations, utility interruptions or the occurrence of an event of Force Majeure (as defined in Section 21.06) or any other cause shall not give rise to an abatement of Rent or relieve Tenant from the obligation to fulfill any covenant or agreement, except as provided in this Section 7.03. If the Premises, or any portion thereof, are made untenantable as a result of a Service Failure not caused by Tenant, and such Service Failure continues for a period in excess of five (5) consecutive Business Days after written notice thereof to Landlord, then Tenant shall be entitled to receive an abatement of Rent payable hereunder during the period commencing on the day following such five (5) Business-Day period and ending on the day the services have been restored.  If the entire Premises has not been rendered untenantable by such Service Failure, the amount of abatement shall be equitably prorated.  Notwithstanding the foregoing or anything to the contrary contained in this Lease, if any Service Failure not caused by Tenant is not cured within one hundred eighty (180) days following the date the Service Failure commences, then Tenant shall have the right, at its sole election, to terminate this Lease by giving written notice of such termination to Landlord at any time following the end of such one hundred eighty (180) day period until such time as the Service Failure is cured. This Section shall not apply to any Service Failure arising from a casualty event governed by Section 14 below. The remedies set forth in this Section 7.03 shall be Tenant’s sole remedies for a Service Failure.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7.04    </w:t>
      </w:r>
      <w:r>
        <w:rPr>
          <w:rFonts w:ascii="Times New Roman;sans-serif" w:hAnsi="Times New Roman;sans-serif"/>
          <w:b w:val="false"/>
          <w:color w:val="000000"/>
          <w:sz w:val="22"/>
          <w:u w:val="single"/>
        </w:rPr>
        <w:t>Reservations</w:t>
      </w:r>
      <w:r>
        <w:rPr>
          <w:rFonts w:ascii="Times New Roman;sans-serif" w:hAnsi="Times New Roman;sans-serif"/>
          <w:b w:val="false"/>
          <w:color w:val="000000"/>
          <w:sz w:val="22"/>
        </w:rPr>
        <w:t xml:space="preserve">.  Without limiting the generality of the foregoing, Landlord reserves the right from time to time to modify components of the access procedures for the Building or other portions of the Property, to change the number of lobby attendants, or to institute, modify, supplement, or discontinue any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 xml:space="preserve">particular access control procedures or equipment for the Building, whether during or after business hours.  Landlord does not warrant or guarantee the effectiveness of any such system or procedures.  Tenant expressly disclaims any such warranty, guarantee, or undertaking by Landlord with respect thereto and acknowledges that access control procedures from time to time in effect are solely for the convenience of tenants generally and are not intended to secure the Premises or to guarantee the physical safety of any persons in or about the Premises or the Property.  Tenant shall be responsible for securing the Premises, including without limitation by Tenant’s installation of access card readers or other security equipment for the Premises in accordance with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and/or Section 8 and by restricting or monitoring access into and from the Premises by its employees or other invitees.  At the time that any Tenant employee (or other person acting under or through Tenant) who has been issued a Building access card is terminated or otherwise ceases to work at the Premises, Tenant shall inactivate the Building access card for such person and, notify the Building’s property manager that such person should be removed from the active list for Building access cards.</w:t>
      </w:r>
    </w:p>
    <w:p>
      <w:pPr>
        <w:pStyle w:val="TextBody"/>
        <w:bidi w:val="0"/>
        <w:spacing w:before="0" w:after="0"/>
        <w:jc w:val="both"/>
        <w:rPr/>
      </w:pPr>
      <w:r>
        <w:rPr/>
      </w:r>
    </w:p>
    <w:p>
      <w:pPr>
        <w:pStyle w:val="TextBody"/>
        <w:bidi w:val="0"/>
        <w:spacing w:lineRule="auto" w:line="240" w:before="0" w:after="240"/>
        <w:ind w:left="0" w:right="0" w:hanging="720"/>
        <w:jc w:val="left"/>
        <w:rPr/>
      </w:pPr>
      <w:r>
        <w:rPr>
          <w:rFonts w:ascii="Times New Roman;sans-serif" w:hAnsi="Times New Roman;sans-serif"/>
          <w:b/>
          <w:color w:val="010000"/>
          <w:sz w:val="22"/>
        </w:rPr>
        <w:t>8.</w:t>
      </w:r>
      <w:r>
        <w:rPr>
          <w:rFonts w:ascii="Times New Roman;sans-serif" w:hAnsi="Times New Roman;sans-serif"/>
          <w:b/>
          <w:color w:val="000000"/>
          <w:sz w:val="22"/>
        </w:rPr>
        <w:t>Alterations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8.01    </w:t>
      </w:r>
      <w:r>
        <w:rPr>
          <w:rFonts w:ascii="Times New Roman;sans-serif" w:hAnsi="Times New Roman;sans-serif"/>
          <w:b w:val="false"/>
          <w:color w:val="000000"/>
          <w:sz w:val="22"/>
          <w:u w:val="single"/>
        </w:rPr>
        <w:t>Alterations</w:t>
      </w:r>
      <w:r>
        <w:rPr>
          <w:rFonts w:ascii="Times New Roman;sans-serif" w:hAnsi="Times New Roman;sans-serif"/>
          <w:b w:val="false"/>
          <w:color w:val="000000"/>
          <w:sz w:val="22"/>
        </w:rPr>
        <w:t>.  Tenant shall not make alterations, repairs, additions or improvements or install any Cable (collectively referred to as “</w:t>
      </w:r>
      <w:r>
        <w:rPr>
          <w:rFonts w:ascii="Times New Roman;sans-serif" w:hAnsi="Times New Roman;sans-serif"/>
          <w:b w:val="false"/>
          <w:color w:val="000000"/>
          <w:sz w:val="22"/>
          <w:u w:val="single"/>
        </w:rPr>
        <w:t>Alterations</w:t>
      </w:r>
      <w:r>
        <w:rPr>
          <w:color w:val="000000"/>
        </w:rPr>
        <w:t>”</w:t>
      </w:r>
      <w:r>
        <w:rPr>
          <w:rFonts w:ascii="Times New Roman;sans-serif" w:hAnsi="Times New Roman;sans-serif"/>
          <w:b w:val="false"/>
          <w:color w:val="000000"/>
          <w:sz w:val="22"/>
        </w:rPr>
        <w:t>, which shall not include any alterations, repairs, additions, or improvements made as a part of the Shell Condition Work or the Initial Tenant Work) in the Premises, without first obtaining the written consent of Landlord in each instance, which consent shall not be unreasonably withheld, conditioned or delayed. “</w:t>
      </w:r>
      <w:r>
        <w:rPr>
          <w:rFonts w:ascii="Times New Roman;sans-serif" w:hAnsi="Times New Roman;sans-serif"/>
          <w:b w:val="false"/>
          <w:color w:val="000000"/>
          <w:sz w:val="22"/>
          <w:u w:val="single"/>
        </w:rPr>
        <w:t>Cable</w:t>
      </w:r>
      <w:r>
        <w:rPr>
          <w:color w:val="000000"/>
        </w:rPr>
        <w:t xml:space="preserve">” </w:t>
      </w:r>
      <w:r>
        <w:rPr>
          <w:rFonts w:ascii="Times New Roman;sans-serif" w:hAnsi="Times New Roman;sans-serif"/>
          <w:b w:val="false"/>
          <w:color w:val="000000"/>
          <w:sz w:val="22"/>
        </w:rPr>
        <w:t>shall mean and refer to any electronic, fiber, phone and data cabling and related equipment</w:t>
      </w:r>
      <w:r>
        <w:rPr>
          <w:color w:val="000000"/>
        </w:rPr>
        <w:t xml:space="preserve"> </w:t>
      </w:r>
      <w:r>
        <w:rPr>
          <w:rFonts w:ascii="Times New Roman;sans-serif" w:hAnsi="Times New Roman;sans-serif"/>
          <w:b w:val="false"/>
          <w:color w:val="000000"/>
          <w:sz w:val="22"/>
        </w:rPr>
        <w:t>that is installed by or for the exclusive benefit of Tenant or any party acting under or through Tenant.  Prior to starting work on any Alterations, Tenant shall furnish Landlord with plans and specifications (which shall be in CAD format if requested by Landlord); names of contractors reasonably acceptable to Landlord (provided that Landlord may designate specific contractors with respect to Base Building and vertical Cable, as may be described more fully below); required permits and approvals; evidence of contractor’s and subcontractor’s insurance in amounts reasonably required by Landlord and naming as additional insureds the Landlord, the managing agent for the Building, and such other Additional Insured Parties (as defined in Section 13) as Landlord may designate for such purposes; and any security for performance in amounts reasonably required by Landlord.  Landlord may designate specific contractors with respect to oversight, installation, repair, connection to, and removal of vertical Cable.  All Cable shall be clearly marked with adhesive plastic labels (or plastic tags attached to such Cable with wire) to show Tenant’s name, suite number, and the purpose of such Cable (i) every 6 feet outside the Premises (specifically including, but not limited to, the electrical room risers and any Common Areas), and (ii) at the termination point(s) of such Cable.  Changes to the plans and specifications must also be submitted to Landlord for its approval.  Alterations shall be constructed in a good and workmanlike manner using materials of a quality reasonably approved by Landlord, and Tenant shall ensure that no Alteration impairs any Building system or Landlord’s ability to perform its obligations hereunder. Tenant shall reimburse Landlord for any third-party expenses incurred by Landlord in connection with the review, inspection, and coordination of Tenant’s plans for Alterations and Tenant’s performance thereof and pay to Landlord or its managing agent a fee for Landlord’s administrative oversight and coordination of any Alterations equal to 2.0% of the hard costs of the Alterations. Upon completion, Tenant shall furnish “as-built” plans (in CAD format, if requested by Landlord) for Alterations, customary AIA completion affidavits, full and final waivers of lien, any applicable certificate of occupancy for the space affected by such Alterations, and any other items required under the Building’s construction rules and regulations for closing out the particular work in question.  Landlord’s approval of an Alteration shall not be deemed to be a representation by Landlord that the Alteration complies with Law or will not adversely affect any Building system.  If any Alteration requires any change to the Base Building, any Building system, or any Common Area, then such changes shall be made at Tenant’s sole cost and expense and performed, at Landlord’s election, either by Tenant’s contractor or a contractor engaged by Landlord.  Notwithstanding the foregoing, Landlord’s consent shall not be required for any Alteration that satisfies all of the following criteria (a “</w:t>
      </w:r>
      <w:r>
        <w:rPr>
          <w:rFonts w:ascii="Times New Roman;sans-serif" w:hAnsi="Times New Roman;sans-serif"/>
          <w:b w:val="false"/>
          <w:color w:val="000000"/>
          <w:sz w:val="22"/>
          <w:u w:val="single"/>
        </w:rPr>
        <w:t xml:space="preserve">Cosmetic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u w:val="single"/>
        </w:rPr>
        <w:br/>
        <w:t>Alteration</w:t>
      </w:r>
      <w:r>
        <w:rPr>
          <w:color w:val="000000"/>
        </w:rPr>
        <w:t>”</w:t>
      </w:r>
      <w:r>
        <w:rPr>
          <w:rFonts w:ascii="Times New Roman;sans-serif" w:hAnsi="Times New Roman;sans-serif"/>
          <w:b w:val="false"/>
          <w:color w:val="000000"/>
          <w:sz w:val="22"/>
        </w:rPr>
        <w:t>):  (a) is of a cosmetic nature such as painting, wallpapering, hanging pictures and installing carpeting; (b) is not visible from the exterior of the Premises or Building; (c) will not affect the Base Building (defined in Section 5); and (d) does not require work to be performed inside the walls or above the ceiling of the Premises.  Cosmetic Alterations shall be subject to all the other provisions of this Section 8.03, to the extent applicable thereto.  Notwithstanding anything to the contrary contained in this Lease, the provisions of this Section 8.01, including, without limitation, the administrative fee set forth herein, shall not apply to any alterations, additions, or improvements performed as a part of the Shell Condition Work or the Initial Tenant Work.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8.02    </w:t>
      </w:r>
      <w:r>
        <w:rPr>
          <w:rFonts w:ascii="Times New Roman;sans-serif" w:hAnsi="Times New Roman;sans-serif"/>
          <w:b w:val="false"/>
          <w:color w:val="000000"/>
          <w:sz w:val="22"/>
          <w:u w:val="single"/>
        </w:rPr>
        <w:t>Liens</w:t>
      </w:r>
      <w:r>
        <w:rPr>
          <w:rFonts w:ascii="Times New Roman;sans-serif" w:hAnsi="Times New Roman;sans-serif"/>
          <w:b w:val="false"/>
          <w:color w:val="000000"/>
          <w:sz w:val="22"/>
        </w:rPr>
        <w:t>.  Tenant shall not cause or permit any mechanics’ or other liens to be placed upon the Property, the Premises, or Tenant’s leasehold interest hereunder in connection with any work or service done by or for the benefit of Tenant, its subtenants, or any other party acting under or through Tenant (excluding the Initial Tenant Work to be undertaken by the Landlord).  Except in the event of an emergency, Tenant shall give Landlord notice at least five (5) Business Days prior to the commencement of any work in the Premises to afford Landlord the opportunity, where applicable, to post and record notices of non-responsibility.  Tenant, within ten (10) Business Days after notice from Landlord, shall fully discharge any such lien by settlement, by bonding or by insuring over the lien in the manner prescribed by the applicable lien Law.  If Tenant fails to timely discharge such lien within such period, in addition to any other remedies available to Landlord as a result of such failure, Landlord, at its option,</w:t>
      </w:r>
      <w:r>
        <w:rPr>
          <w:color w:val="000000"/>
        </w:rPr>
        <w:t xml:space="preserve"> </w:t>
      </w:r>
      <w:r>
        <w:rPr>
          <w:rFonts w:ascii="Times New Roman;sans-serif" w:hAnsi="Times New Roman;sans-serif"/>
          <w:b w:val="false"/>
          <w:color w:val="000000"/>
          <w:sz w:val="22"/>
        </w:rPr>
        <w:t>may bond, insure over or otherwise discharge the lien.  Tenant shall reimburse Landlord for any amount paid by Landlord to discharge such lien, including, without limitation, reasonable attorneys’ fees.  Landlord shall have the right to require Tenant to post a performance or payment bond in connection with any work or service done or purportedly done by or for the benefit of Tenant.  Tenant acknowledges and agrees that all such work or service is being performed for the sole benefit of Tenant and not for the benefit of Landlord.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8.03    </w:t>
      </w:r>
      <w:r>
        <w:rPr>
          <w:rFonts w:ascii="Times New Roman;sans-serif" w:hAnsi="Times New Roman;sans-serif"/>
          <w:b w:val="false"/>
          <w:color w:val="000000"/>
          <w:sz w:val="22"/>
          <w:u w:val="single"/>
        </w:rPr>
        <w:t>Leasehold Improvements</w:t>
      </w:r>
      <w:r>
        <w:rPr>
          <w:rFonts w:ascii="Times New Roman;sans-serif" w:hAnsi="Times New Roman;sans-serif"/>
          <w:b w:val="false"/>
          <w:color w:val="000000"/>
          <w:sz w:val="22"/>
        </w:rPr>
        <w:t>.  All Leasehold Improvements shall, except as expressly provided in this Lease, remain upon the Premises at the end of the Term without compensation to Tenant.  “</w:t>
      </w:r>
      <w:r>
        <w:rPr>
          <w:rFonts w:ascii="Times New Roman;sans-serif" w:hAnsi="Times New Roman;sans-serif"/>
          <w:b w:val="false"/>
          <w:color w:val="000000"/>
          <w:sz w:val="22"/>
          <w:u w:val="single"/>
        </w:rPr>
        <w:t>Leasehold Improvements</w:t>
      </w:r>
      <w:r>
        <w:rPr>
          <w:color w:val="000000"/>
        </w:rPr>
        <w:t xml:space="preserve">” </w:t>
      </w:r>
      <w:r>
        <w:rPr>
          <w:rFonts w:ascii="Times New Roman;sans-serif" w:hAnsi="Times New Roman;sans-serif"/>
          <w:b w:val="false"/>
          <w:color w:val="000000"/>
          <w:sz w:val="22"/>
        </w:rPr>
        <w:t>shall mean and include all Initial Tenant Work and other leasehold improvements from time to time existing in or to the Premises, including without limitation any such leasehold improvements (if any) that exist as of the Term Commencement Date under this Lease or that are made by or for the benefit of Tenant (or any party acting under or through Tenant) before the Term Commencement Date or thereafter from time to time during the Term.  Landlord, by written notice to Tenant at the time of Landlord’s approval of the plans therefor, may require Tenant, at Tenant’s expense, to remove at the end of the Term any Leasehold Improvements that, in Landlord’s reasonable judgment, are of a nature that would require removal and repair costs that are materially in excess of the removal and repair costs associated with standard office improvements (“</w:t>
      </w:r>
      <w:r>
        <w:rPr>
          <w:rFonts w:ascii="Times New Roman;sans-serif" w:hAnsi="Times New Roman;sans-serif"/>
          <w:b w:val="false"/>
          <w:color w:val="000000"/>
          <w:sz w:val="22"/>
          <w:u w:val="single"/>
        </w:rPr>
        <w:t>Required Removables</w:t>
      </w:r>
      <w:r>
        <w:rPr>
          <w:color w:val="000000"/>
        </w:rPr>
        <w:t>”</w:t>
      </w:r>
      <w:r>
        <w:rPr>
          <w:rFonts w:ascii="Times New Roman;sans-serif" w:hAnsi="Times New Roman;sans-serif"/>
          <w:b w:val="false"/>
          <w:color w:val="000000"/>
          <w:sz w:val="22"/>
        </w:rPr>
        <w:t xml:space="preserve">).  Required Removables may include, without limitation, laboratory fixtures, laboratory equipment and specialized improvements for laboratory uses, raised floors, private baths and showers, vaults, rolling file systems, slab penetrations, structural alterations and modifications and any Cable installed by or on behalf of Tenant; provided, however, that, notwithstanding anything to the contrary contained in this Lease, but subject to Section 5 of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 xml:space="preserve">attached hereto, Required Removables shall not include the Dedicated Venting System, the Back-Up Power and Supplemental System (as defined below), typical intercommunicating internal stairways or staircases or any standard core restroom facilities, the same shall not be required to be removed by Tenant at the end of the Term, and Landlord shall indicate in writing at the time of Landlord’s approval of the Construction Documents whether or not such improvements are required to be removed by Tenant at the end of the Term. The Required Removables shall be removed by Tenant before the expiration or earlier termination of this Lease in accordance with Section 20.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8.04    </w:t>
      </w:r>
      <w:r>
        <w:rPr>
          <w:rFonts w:ascii="Times New Roman;sans-serif" w:hAnsi="Times New Roman;sans-serif"/>
          <w:b w:val="false"/>
          <w:color w:val="000000"/>
          <w:sz w:val="22"/>
          <w:u w:val="single"/>
        </w:rPr>
        <w:t>Signage</w:t>
      </w:r>
      <w:r>
        <w:rPr>
          <w:rFonts w:ascii="Times New Roman;sans-serif" w:hAnsi="Times New Roman;sans-serif"/>
          <w:b w:val="false"/>
          <w:color w:val="000000"/>
          <w:sz w:val="22"/>
        </w:rPr>
        <w:t xml:space="preserve">. No signs, advertisements or notices shall be painted or affixed to windows, doors or other parts of the Building, except those of such color, size, style and in such places as are first approved in writing by Landlord.  On or before the Substantial Completion Date, Landlord shall provide and install </w:t>
        <w:br/>
        <w:b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br/>
        <w:t xml:space="preserve">a stainless steel plaque with Tenant’s logo as shown on </w:t>
      </w:r>
      <w:r>
        <w:rPr>
          <w:rFonts w:ascii="Times New Roman;sans-serif" w:hAnsi="Times New Roman;sans-serif"/>
          <w:b w:val="false"/>
          <w:color w:val="000000"/>
          <w:sz w:val="22"/>
          <w:u w:val="single"/>
        </w:rPr>
        <w:t>Exhibit I</w:t>
      </w:r>
      <w:r>
        <w:rPr>
          <w:color w:val="000000"/>
        </w:rPr>
        <w:t xml:space="preserve"> </w:t>
      </w:r>
      <w:r>
        <w:rPr>
          <w:rFonts w:ascii="Times New Roman;sans-serif" w:hAnsi="Times New Roman;sans-serif"/>
          <w:b w:val="false"/>
          <w:color w:val="000000"/>
          <w:sz w:val="22"/>
        </w:rPr>
        <w:t xml:space="preserve">attached hereto to be installed near the high-rise elevator bank in the location shown on </w:t>
      </w:r>
      <w:r>
        <w:rPr>
          <w:rFonts w:ascii="Times New Roman;sans-serif" w:hAnsi="Times New Roman;sans-serif"/>
          <w:b w:val="false"/>
          <w:color w:val="000000"/>
          <w:sz w:val="22"/>
          <w:u w:val="single"/>
        </w:rPr>
        <w:t>Exhibit I</w:t>
      </w:r>
      <w:r>
        <w:rPr>
          <w:color w:val="000000"/>
        </w:rPr>
        <w:t xml:space="preserve"> </w:t>
      </w:r>
      <w:r>
        <w:rPr>
          <w:rFonts w:ascii="Times New Roman;sans-serif" w:hAnsi="Times New Roman;sans-serif"/>
          <w:b w:val="false"/>
          <w:color w:val="000000"/>
          <w:sz w:val="22"/>
        </w:rPr>
        <w:t>attached hereto (“</w:t>
      </w:r>
      <w:r>
        <w:rPr>
          <w:rFonts w:ascii="Times New Roman;sans-serif" w:hAnsi="Times New Roman;sans-serif"/>
          <w:b w:val="false"/>
          <w:color w:val="000000"/>
          <w:sz w:val="22"/>
          <w:u w:val="single"/>
        </w:rPr>
        <w:t>Tenant’s Elevator Bank Signage</w:t>
      </w:r>
      <w:r>
        <w:rPr>
          <w:color w:val="000000"/>
        </w:rPr>
        <w:t>”</w:t>
      </w:r>
      <w:r>
        <w:rPr>
          <w:rFonts w:ascii="Times New Roman;sans-serif" w:hAnsi="Times New Roman;sans-serif"/>
          <w:b w:val="false"/>
          <w:color w:val="000000"/>
          <w:sz w:val="22"/>
        </w:rPr>
        <w:t xml:space="preserve">). For any portion of the Premises on a floor that is not entirely leased by Tenant, elevator lobby signage identifying Tenant using Building standard graphics shall be installed by Landlord at its expense, provided that any changes to a Tenant’s initial elevator lobby signage shall be made by Landlord at Tenant’s expense.  All tenant identification and suite numbers at the entrance to the Premises on any floor that is not entirely leased by Tenant shall be subject to Landlord’s prior written approval in Landlord’s reasonable discretion, and shall be installed by Landlord, at Tenant’s cost and expense, using the standard graphics for the Building. Notwithstanding anything herein to the contrary (a) for any portion of the Premises that constitutes an entire floor of the Building, Tenant, at Tenant’s sole cost, may install interior signage on such floor which is not visible from the exterior of the Premises without Landlord’s prior written consent, and (b) Landlord hereby approves the design and style of Tenant’s logo as shown on </w:t>
      </w:r>
      <w:r>
        <w:rPr>
          <w:rFonts w:ascii="Times New Roman;sans-serif" w:hAnsi="Times New Roman;sans-serif"/>
          <w:b w:val="false"/>
          <w:color w:val="000000"/>
          <w:sz w:val="22"/>
          <w:u w:val="single"/>
        </w:rPr>
        <w:t>Exhibit I-1</w:t>
      </w:r>
      <w:r>
        <w:rPr>
          <w:color w:val="000000"/>
        </w:rPr>
        <w:t xml:space="preserve"> </w:t>
      </w:r>
      <w:r>
        <w:rPr>
          <w:rFonts w:ascii="Times New Roman;sans-serif" w:hAnsi="Times New Roman;sans-serif"/>
          <w:b w:val="false"/>
          <w:color w:val="000000"/>
          <w:sz w:val="22"/>
        </w:rPr>
        <w:t xml:space="preserve">attached hereto, for use as a part of Tenant’s signage. </w:t>
      </w:r>
    </w:p>
    <w:p>
      <w:pPr>
        <w:pStyle w:val="TextBody"/>
        <w:bidi w:val="0"/>
        <w:spacing w:lineRule="auto" w:line="240" w:before="0" w:after="240"/>
        <w:ind w:left="0" w:right="0" w:hanging="720"/>
        <w:jc w:val="left"/>
        <w:rPr/>
      </w:pPr>
      <w:r>
        <w:rPr>
          <w:rFonts w:ascii="Times New Roman;sans-serif" w:hAnsi="Times New Roman;sans-serif"/>
          <w:b/>
          <w:color w:val="010000"/>
          <w:sz w:val="22"/>
        </w:rPr>
        <w:t>9.</w:t>
      </w:r>
      <w:r>
        <w:rPr>
          <w:rFonts w:ascii="Times New Roman;sans-serif" w:hAnsi="Times New Roman;sans-serif"/>
          <w:b/>
          <w:color w:val="000000"/>
          <w:sz w:val="22"/>
        </w:rPr>
        <w:t>Repairs and Maintenance.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9.01    </w:t>
      </w:r>
      <w:r>
        <w:rPr>
          <w:rFonts w:ascii="Times New Roman;sans-serif" w:hAnsi="Times New Roman;sans-serif"/>
          <w:b w:val="false"/>
          <w:color w:val="000000"/>
          <w:sz w:val="22"/>
          <w:u w:val="single"/>
        </w:rPr>
        <w:t>Tenant Obligations</w:t>
      </w:r>
      <w:r>
        <w:rPr>
          <w:rFonts w:ascii="Times New Roman;sans-serif" w:hAnsi="Times New Roman;sans-serif"/>
          <w:b w:val="false"/>
          <w:color w:val="000000"/>
          <w:sz w:val="22"/>
        </w:rPr>
        <w:t>.  Tenant, at its sole cost and expense, shall perform all maintenance and repairs to the Premises that are not Landlord’s express responsibility under this Lease, and keep the Premises in good condition and repair, reasonable wear and tear, damage by casualty or the acts of Landlord, and matters for which Landlord is responsible under this Lease, excepted. Tenant’s repair and maintenance obligations include, without limitation, repairs to: (a) floor covering; (b) interior partitions; (c) doors; (d) the interior side of demising walls; (e) Alterations (described in Section 8); (f) supplemental air conditioning units, kitchens, including hot water heaters, plumbing, and similar facilities exclusively serving the Premises or any portion thereof, whether such items are installed by Tenant or are currently existing in the Premises; and (g) any Cable.  Tenant shall maintain in effect throughout the Term maintenance contracts for any such supplemental air conditioning units or other specialty equipment exclusively serving the Premises and, from time to time upon Landlord’s request, provide Landlord with a copy of such maintenance contract and reasonable evidence of its service record.  All repairs and other work performed by Tenant or its contractors, including that involving Cable, shall be subject to the terms of Section 8.01 above.  If Tenant fails to make any repairs to the Premises required hereunder of Tenant for more than thirty (30) days after notice from Landlord (although notice shall not be required in an emergency), and if such repairs cannot be completed in such thirty (30) day period, if Tenant fails to commence such repairs within such thirty (30) day period and thereafter fails to diligently pursue such repairs until completion, Landlord may make the repairs, and, within thirty (30) days after Tenant’s receipt of Landlord’s written demand therefor, Tenant shall pay to Landlord the reasonable cost of the repairs.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Landlord shall have no obligation to provide any cleaning, janitorial or refuse or waste removal services in or to the laboratory space to be located in the 16</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Premises (the “</w:t>
      </w:r>
      <w:r>
        <w:rPr>
          <w:rFonts w:ascii="Times New Roman;sans-serif" w:hAnsi="Times New Roman;sans-serif"/>
          <w:b w:val="false"/>
          <w:color w:val="000000"/>
          <w:sz w:val="22"/>
          <w:u w:val="single"/>
        </w:rPr>
        <w:t>Lab Space</w:t>
      </w:r>
      <w:r>
        <w:rPr>
          <w:color w:val="000000"/>
        </w:rPr>
        <w:t>”</w:t>
      </w:r>
      <w:r>
        <w:rPr>
          <w:rFonts w:ascii="Times New Roman;sans-serif" w:hAnsi="Times New Roman;sans-serif"/>
          <w:b w:val="false"/>
          <w:color w:val="000000"/>
          <w:sz w:val="22"/>
        </w:rPr>
        <w:t>), which Lab Space is presently shown on the fit plan attached as part of Schedule C-2 hereto (the “</w:t>
      </w:r>
      <w:r>
        <w:rPr>
          <w:rFonts w:ascii="Times New Roman;sans-serif" w:hAnsi="Times New Roman;sans-serif"/>
          <w:b w:val="false"/>
          <w:color w:val="000000"/>
          <w:sz w:val="22"/>
          <w:u w:val="single"/>
        </w:rPr>
        <w:t>Fit Plan</w:t>
      </w:r>
      <w:r>
        <w:rPr>
          <w:color w:val="000000"/>
        </w:rPr>
        <w:t>”</w:t>
      </w:r>
      <w:r>
        <w:rPr>
          <w:rFonts w:ascii="Times New Roman;sans-serif" w:hAnsi="Times New Roman;sans-serif"/>
          <w:b w:val="false"/>
          <w:color w:val="000000"/>
          <w:sz w:val="22"/>
        </w:rPr>
        <w:t xml:space="preserve">). Landlord and Tenant agree to amend this Lease to reflect the final, as-built Lab Space. Tenant shall be responsible, at its sole cost and expense, for providing cleaning and janitorial services to such Lab Space in a neat and first-class manner consistent with the cleaning standards generally prevailing in comparable buildings in the Greater Boston area for laboratory and office space or as otherwise reasonably established by Landlord in writing from time to time, using an insured contractor or contractors selected by Tenant and approved in writing by Landlord. Tenant shall also be responsible to arrange for, at Tenant’s sole cost and expense, any waste (including biomedical, hazardous and laboratory waste) and refuse removal services for Tenant’s operations at the Premises. All such waste (including biomedical, hazardous and laboratory waste) and refuse removal shall be performed in compliance with applicable Environmental, Health and Safety Laws using licensed laboratory waste disposal companies. All waste (including biomedical, hazardous and laboratory waste) and refuse shall be stored in the Premises and shall be removed as required by applicable Environmental, Health and Safety Laws. Tenant shall also cause all extermination of vermin in the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 xml:space="preserve">Premises to be performed by companies reasonably approved by Landlord in writing and shall contract and utilize pest extermination services for the Premises as reasonably necessary or as requested by Landlord. Landlord agrees that its approval of any contractors or companies under this paragraph shall not be unreasonably withheld, conditioned, or delayed; provided, however, that Landlord shall have the right to require any contractor or subcontractor performing work at the Premises or the Building, including without limitation, any contractor providing cleaning and janitorial services for the Lab Space, to employ union labor and any construction manager used by Tenant in connection with work at the Premises or the Building to be a union-associated construction manager. </w:t>
        <w:br/>
        <w:br/>
        <w:t>    9.02    </w:t>
      </w:r>
      <w:r>
        <w:rPr>
          <w:rFonts w:ascii="Times New Roman;sans-serif" w:hAnsi="Times New Roman;sans-serif"/>
          <w:b w:val="false"/>
          <w:color w:val="000000"/>
          <w:sz w:val="22"/>
          <w:u w:val="single"/>
        </w:rPr>
        <w:t>Landlord Obligations</w:t>
      </w:r>
      <w:r>
        <w:rPr>
          <w:rFonts w:ascii="Times New Roman;sans-serif" w:hAnsi="Times New Roman;sans-serif"/>
          <w:b w:val="false"/>
          <w:color w:val="000000"/>
          <w:sz w:val="22"/>
        </w:rPr>
        <w:t>.  Landlord shall keep and maintain in good repair and working order, perform maintenance upon, and replace, as and when necessary (a) the structural elements of the Building; (b) the mechanical (including HVAC), electrical, plumbing and fire/life safety systems serving the Building in general; (c) the Common Areas; (d) the roof and roof membrane of the Building; (e) the exterior windows of the Building; and (f) the elevators serving the Building.  Subject to reasonable wear and tear, Landlord shall from time to time make repairs for which Landlord is responsible hereunder.</w:t>
      </w:r>
    </w:p>
    <w:p>
      <w:pPr>
        <w:pStyle w:val="TextBody"/>
        <w:bidi w:val="0"/>
        <w:spacing w:before="0" w:after="0"/>
        <w:jc w:val="both"/>
        <w:rPr/>
      </w:pPr>
      <w:r>
        <w:rPr/>
      </w:r>
    </w:p>
    <w:p>
      <w:pPr>
        <w:pStyle w:val="TextBody"/>
        <w:bidi w:val="0"/>
        <w:spacing w:lineRule="auto" w:line="240" w:before="0" w:after="240"/>
        <w:ind w:left="0" w:right="0" w:hanging="720"/>
        <w:jc w:val="left"/>
        <w:rPr/>
      </w:pPr>
      <w:r>
        <w:rPr>
          <w:rFonts w:ascii="Times New Roman;sans-serif" w:hAnsi="Times New Roman;sans-serif"/>
          <w:b/>
          <w:color w:val="010000"/>
          <w:sz w:val="22"/>
        </w:rPr>
        <w:t>10.</w:t>
      </w:r>
      <w:r>
        <w:rPr>
          <w:rFonts w:ascii="Times New Roman;sans-serif" w:hAnsi="Times New Roman;sans-serif"/>
          <w:b/>
          <w:color w:val="000000"/>
          <w:sz w:val="22"/>
        </w:rPr>
        <w:t>Entry by Landlord.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Landlord may enter the Premises to inspect, show to current lenders, prospective lenders or purchasers of the Building, and prospective tenants of the Premises or any portion thereof, or clean the Premises or to perform or facilitate the performance of repairs, alterations or additions to the Premises or any portion of the Building.  Except in emergencies or to provide Building services, Landlord shall provide Tenant with reasonable (but not less than forty-eight (48) hours) prior verbal notice of entry.  In connection with any such entry for non-emergency work performed during Building Service Hours, Landlord shall use reasonable efforts, consistent with the operation of a first-class high rise building, not to unreasonably interfere with Tenant’s use of the Premises.  Except in the case of emergencies, Tenant shall have the right to accompany Landlord and/or its agents, representatives, or contractors during any entry onto the Premises by Landlord or its agents, representatives, or contractors. In addition, in connection with any entry to show the Premises to prospective tenants, Landlord shall comply with any reasonable privacy and security protocols established by Tenant for the Lab Space to ensure the confidentiality of any proprietary information. If reasonably necessary, Landlord may temporarily close all or a portion of the Common Areas of the Building to perform repairs, alterations and additions, and portions of the Premises in order to perform any maintenance or repairs pursuant to Section 9 of this Lease; provided, that, except in emergencies, any such work that would unreasonably prevent the use of or access to such portions of the Premises during Building Service Hours will be performed on weekends or after Building Service Hours.  Any such entry by Landlord in accordance with the terms of this Section 10 shall not constitute a constructive eviction or entitle Tenant to an abatement or reduction of Rent.</w:t>
      </w:r>
    </w:p>
    <w:p>
      <w:pPr>
        <w:pStyle w:val="TextBody"/>
        <w:bidi w:val="0"/>
        <w:spacing w:lineRule="auto" w:line="240" w:before="0" w:after="240"/>
        <w:ind w:left="0" w:right="0" w:hanging="720"/>
        <w:jc w:val="left"/>
        <w:rPr/>
      </w:pPr>
      <w:r>
        <w:rPr>
          <w:rFonts w:ascii="Times New Roman;sans-serif" w:hAnsi="Times New Roman;sans-serif"/>
          <w:b/>
          <w:color w:val="010000"/>
          <w:sz w:val="22"/>
        </w:rPr>
        <w:t>11.</w:t>
      </w:r>
      <w:r>
        <w:rPr>
          <w:rFonts w:ascii="Times New Roman;sans-serif" w:hAnsi="Times New Roman;sans-serif"/>
          <w:b/>
          <w:color w:val="000000"/>
          <w:sz w:val="22"/>
        </w:rPr>
        <w:t>Assignment and Subletting.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11.01    </w:t>
      </w:r>
      <w:r>
        <w:rPr>
          <w:rFonts w:ascii="Times New Roman;sans-serif" w:hAnsi="Times New Roman;sans-serif"/>
          <w:b w:val="false"/>
          <w:color w:val="000000"/>
          <w:sz w:val="22"/>
          <w:u w:val="single"/>
        </w:rPr>
        <w:t>Transfers</w:t>
      </w:r>
      <w:r>
        <w:rPr>
          <w:rFonts w:ascii="Times New Roman;sans-serif" w:hAnsi="Times New Roman;sans-serif"/>
          <w:b w:val="false"/>
          <w:color w:val="000000"/>
          <w:sz w:val="22"/>
        </w:rPr>
        <w:t>.  Except in connection with a Permitted Transfer (defined in Section 11.04), Tenant shall not assign, sublease, transfer or encumber any interest in this Lease or allow any third party to use all or any portion of the Premises (in each such case, collectively or individually, a “</w:t>
      </w:r>
      <w:r>
        <w:rPr>
          <w:rFonts w:ascii="Times New Roman;sans-serif" w:hAnsi="Times New Roman;sans-serif"/>
          <w:b w:val="false"/>
          <w:color w:val="000000"/>
          <w:sz w:val="22"/>
          <w:u w:val="single"/>
        </w:rPr>
        <w:t>Transfer</w:t>
      </w:r>
      <w:r>
        <w:rPr>
          <w:color w:val="000000"/>
        </w:rPr>
        <w:t xml:space="preserve">” </w:t>
      </w:r>
      <w:r>
        <w:rPr>
          <w:rFonts w:ascii="Times New Roman;sans-serif" w:hAnsi="Times New Roman;sans-serif"/>
          <w:b w:val="false"/>
          <w:color w:val="000000"/>
          <w:sz w:val="22"/>
        </w:rPr>
        <w:t>to a “</w:t>
      </w:r>
      <w:r>
        <w:rPr>
          <w:rFonts w:ascii="Times New Roman;sans-serif" w:hAnsi="Times New Roman;sans-serif"/>
          <w:b w:val="false"/>
          <w:color w:val="000000"/>
          <w:sz w:val="22"/>
          <w:u w:val="single"/>
        </w:rPr>
        <w:t>Transferee</w:t>
      </w:r>
      <w:r>
        <w:rPr>
          <w:color w:val="000000"/>
        </w:rPr>
        <w:t>”</w:t>
      </w:r>
      <w:r>
        <w:rPr>
          <w:rFonts w:ascii="Times New Roman;sans-serif" w:hAnsi="Times New Roman;sans-serif"/>
          <w:b w:val="false"/>
          <w:color w:val="000000"/>
          <w:sz w:val="22"/>
        </w:rPr>
        <w:t xml:space="preserve">) without the prior written consent of Landlord, which consent shall not be unreasonably withheld, conditioned or delayed if Landlord does not exercise its recapture rights under Section 11.02.  Without limitation, it is agreed that Landlord’s consent shall not be considered unreasonably withheld if the proposed Transferee (a) is a governmental entity, (b) is an occupant of the Building, (c) whether or not an occupant of the Building, has exchanged written bona fide proposals with Landlord regarding the leasing of space within the Building within the preceding six (6) months, (d) is incompatible with the character of occupancy of the Building, (e) intentionally deleted, or (f) would subject the Premises to a use which would: (i) involve a material increase in personnel or material increase in wear upon </w:t>
        <w:br/>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 xml:space="preserve">the Building; (ii) violate any exclusive right granted to another tenant of the Building; (iii) require material expense for any addition to or modification of the Premises or the Building in order to comply with applicable Laws; or (iv) involve a violation of the Permitted Use clauses of this Lease. Any Transfer in violation of this Section shall, at Landlord’s option, be deemed a Default by Tenant as described in Section 16.01, and shall be voidable by Landlord. In no event shall any Transfer, including a Permitted Transfer, release or relieve Tenant from any obligation under this Lease, and the Tenant originally named in this Lease shall remain primarily liable for the performance of the tenant’s obligations under this Lease, as amended from time to time.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11.02    </w:t>
      </w:r>
      <w:r>
        <w:rPr>
          <w:rFonts w:ascii="Times New Roman;sans-serif" w:hAnsi="Times New Roman;sans-serif"/>
          <w:b w:val="false"/>
          <w:color w:val="000000"/>
          <w:sz w:val="22"/>
          <w:u w:val="single"/>
        </w:rPr>
        <w:t>Process</w:t>
      </w:r>
      <w:r>
        <w:rPr>
          <w:rFonts w:ascii="Times New Roman;sans-serif" w:hAnsi="Times New Roman;sans-serif"/>
          <w:b w:val="false"/>
          <w:color w:val="000000"/>
          <w:sz w:val="22"/>
        </w:rPr>
        <w:t>.  Tenant shall provide Landlord with financial statements for the proposed Transferee, a fully executed copy of the proposed assignment, or sublease, and such other information as Landlord may reasonably request. Within ten (10) Business Days after receipt of the required information and documentation, Landlord shall either: (a) consent to the Transfer by execution of a consent agreement in a form reasonably designated by Landlord; (b) reasonably refuse to consent to the Transfer in writing; or (c) in the event of a proposed assignment of this Lease or subletting of at least the entire portion of the Premises located on a floor, recapture the portion of the Premises that Tenant is proposing to Transfer, and give Tenant written notice of the same.  If Landlord fails to give Tenant such written notice within such ten (10) Business Day period, then Landlord shall be deemed to have waived its right to recapture the portion of the Premises that Tenant is proposing to Transfer, but shall be deemed to have refused consent to such Transfer. If Landlord exercises its right to recapture, this Lease shall automatically be amended (or terminated if the entire Premises is being assigned or sublet) to delete the applicable portion of the Premises effective on the proposed effective date of the Transfer, although Landlord may require Tenant to execute a reasonable amendment or other document reflecting such reduction or termination.  Tenant shall pay to Landlord the reasonable costs and attorneys’ fees incurred by Landlord in connection with such requested Transfer.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11.03    </w:t>
      </w:r>
      <w:r>
        <w:rPr>
          <w:rFonts w:ascii="Times New Roman;sans-serif" w:hAnsi="Times New Roman;sans-serif"/>
          <w:b w:val="false"/>
          <w:color w:val="000000"/>
          <w:sz w:val="22"/>
          <w:u w:val="single"/>
        </w:rPr>
        <w:t>Excess Payments</w:t>
      </w:r>
      <w:r>
        <w:rPr>
          <w:rFonts w:ascii="Times New Roman;sans-serif" w:hAnsi="Times New Roman;sans-serif"/>
          <w:b w:val="false"/>
          <w:color w:val="000000"/>
          <w:sz w:val="22"/>
        </w:rPr>
        <w:t>.  In the event, if any, that (i) all rent and other cash consideration (including without limitation, any parking charges in excess of the rates charged by Landlord to Tenant, any payment in excess of fair market value for services rendered by Tenant to the Transferee and any payment in excess of fair market value for assets, fixtures, inventory, equipment, or furniture transferred by Tenant to the Transferee in connection with such Transfer) which Tenant receives as a result of a Transfer exceeds (ii) the Rent payable to Landlord for the portion of the Premises and Term covered by the Transfer, then Tenant shall, at Landlord’s election, pay to Landlord an amount equal to fifty percent (50%) of such excess, from time to time on a monthly basis upon Tenant’s receipt of such excess; provided that in determining any such excess, Tenant may deduct from the excess all reasonable and customary expenses incurred by Tenant in connection with such Transfer, including, without limitation, any remodeling or redecorating costs, improvement allowances, reasonable legal costs, and brokerage fees) incurred by Tenant in connection with such Transfer, except that any construction costs incurred by Tenant in connection with such Transfer shall be deducted on a straight-line basis over the term of the applicable Transfer.  If Tenant is in Default, Landlord may require that all sublease payments be made directly to Landlord, in which case Tenant shall receive a credit against Rent in the amount of Tenant’s share of payments received by Landlord.</w:t>
      </w:r>
    </w:p>
    <w:p>
      <w:pPr>
        <w:pStyle w:val="TextBody"/>
        <w:bidi w:val="0"/>
        <w:spacing w:lineRule="auto" w:line="240"/>
        <w:ind w:left="0" w:right="0" w:firstLine="720"/>
        <w:jc w:val="both"/>
        <w:rPr/>
      </w:pPr>
      <w:r>
        <w:rPr>
          <w:rFonts w:ascii="Times New Roman;sans-serif" w:hAnsi="Times New Roman;sans-serif"/>
          <w:b w:val="false"/>
          <w:color w:val="000000"/>
          <w:sz w:val="22"/>
        </w:rPr>
        <w:t>11.04    </w:t>
      </w:r>
      <w:r>
        <w:rPr>
          <w:rFonts w:ascii="Times New Roman;sans-serif" w:hAnsi="Times New Roman;sans-serif"/>
          <w:b w:val="false"/>
          <w:color w:val="000000"/>
          <w:sz w:val="22"/>
          <w:u w:val="single"/>
        </w:rPr>
        <w:t>Permitted Transfers</w:t>
      </w:r>
      <w:r>
        <w:rPr>
          <w:rFonts w:ascii="Times New Roman;sans-serif" w:hAnsi="Times New Roman;sans-serif"/>
          <w:b w:val="false"/>
          <w:color w:val="000000"/>
          <w:sz w:val="22"/>
        </w:rPr>
        <w:t>.  Tenant may assign this Lease to a successor to Tenant by merger, consolidation, or the purchase of all or substantially all of Tenant’s assets (a “</w:t>
      </w:r>
      <w:r>
        <w:rPr>
          <w:rFonts w:ascii="Times New Roman;sans-serif" w:hAnsi="Times New Roman;sans-serif"/>
          <w:b w:val="false"/>
          <w:color w:val="000000"/>
          <w:sz w:val="22"/>
          <w:u w:val="single"/>
        </w:rPr>
        <w:t>Successor</w:t>
      </w:r>
      <w:r>
        <w:rPr>
          <w:color w:val="000000"/>
        </w:rPr>
        <w:t>”</w:t>
      </w:r>
      <w:r>
        <w:rPr>
          <w:rFonts w:ascii="Times New Roman;sans-serif" w:hAnsi="Times New Roman;sans-serif"/>
          <w:b w:val="false"/>
          <w:color w:val="000000"/>
          <w:sz w:val="22"/>
        </w:rPr>
        <w:t>), or assign this Lease or sublet all or a portion of the Premises to an Affiliate (defined below), without the consent of Landlord, and the provisions of Sections 11.01, 11.02, and 11.03 above shall not apply to such assignment of subletting, provided that all of the following conditions are satisfied (a “</w:t>
      </w:r>
      <w:r>
        <w:rPr>
          <w:rFonts w:ascii="Times New Roman;sans-serif" w:hAnsi="Times New Roman;sans-serif"/>
          <w:b w:val="false"/>
          <w:color w:val="000000"/>
          <w:sz w:val="22"/>
          <w:u w:val="single"/>
        </w:rPr>
        <w:t>Permitted Transfer</w:t>
      </w:r>
      <w:r>
        <w:rPr>
          <w:color w:val="000000"/>
        </w:rPr>
        <w:t>”</w:t>
      </w:r>
      <w:r>
        <w:rPr>
          <w:rFonts w:ascii="Times New Roman;sans-serif" w:hAnsi="Times New Roman;sans-serif"/>
          <w:b w:val="false"/>
          <w:color w:val="000000"/>
          <w:sz w:val="22"/>
        </w:rPr>
        <w:t xml:space="preserve">):  (a) Tenant must not be in Default, (b) Tenant shall give written notice to Landlord at least ten (10) days prior to the effective date of the Permitted Transfer, if permissible, or otherwise as soon as is reasonably practicable following the Transfer, and (c) any transferee pursuant to a merger, consolidation or the purchase of all or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br/>
        <w:t>substantially all of Tenant’s assets shall have a tangible net worth at least equal to that of Tenant as of the date of such transfer. Tenant’s notice to Landlord shall include information and documentation evidencing that the Transfers qualifies as a Permitted Transfer hereunder and that each of the above conditions has been satisfied.  As used herein, “</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shall mean an entity controlled by, controlling or under common control with Tenant that is not a Successor.  In the event that, at any time after a Permitted Transfer, the Affiliate to which the Permitted Transfer is made ceases to qualify as an Affiliate of the original Tenant, such event shall be deemed a Transfer that is subject to the provisions of Sections 11.01, 11.02, and 11.03 above. In no event shall any Permitted Transfer to an Affiliate or a Successor (to the extent Tenant remains in existence) release or relieve Tenant from any obligation under this Lease, and in such event Tenant shall remain primarily liable for the performance of the tenant’s obligations under this Lease, as amended from time to time.</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11.05    </w:t>
      </w:r>
      <w:r>
        <w:rPr>
          <w:rFonts w:ascii="Times New Roman;sans-serif" w:hAnsi="Times New Roman;sans-serif"/>
          <w:b w:val="false"/>
          <w:color w:val="000000"/>
          <w:sz w:val="22"/>
          <w:u w:val="single"/>
        </w:rPr>
        <w:t>Prohibited Matters</w:t>
      </w:r>
      <w:r>
        <w:rPr>
          <w:rFonts w:ascii="Times New Roman;sans-serif" w:hAnsi="Times New Roman;sans-serif"/>
          <w:b w:val="false"/>
          <w:color w:val="000000"/>
          <w:sz w:val="22"/>
        </w:rPr>
        <w:t>.  Without limiting Landlord’s right to withhold its consent to any transfer by Tenant, and regardless of whether Landlord shall have consented to any such transfer, neither Tenant nor any other person having an interest in the possession, use or occupancy of the Premises or any part thereof shall enter into any lease, sublease, license, concession, assignment or other transfer or agreement for possession, use or occupancy of all or any portion of the Premises which provides for rent or other payment for such use, occupancy or utilization based, in whole or in part, on the net income or profits derived by any person or entity from the space so leased, used or occupied, and any such purported lease, sublease, license, concession, assignment or other transfer or agreement shall be absolutely void and ineffective as a conveyance of any right or interest in the possession, use or occupancy of all or any part of the Premises.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11.06    </w:t>
      </w:r>
      <w:r>
        <w:rPr>
          <w:rFonts w:ascii="Times New Roman;sans-serif" w:hAnsi="Times New Roman;sans-serif"/>
          <w:b w:val="false"/>
          <w:color w:val="000000"/>
          <w:sz w:val="22"/>
          <w:u w:val="single"/>
        </w:rPr>
        <w:t>Permitted Business Occupants</w:t>
      </w:r>
      <w:r>
        <w:rPr>
          <w:rFonts w:ascii="Times New Roman;sans-serif" w:hAnsi="Times New Roman;sans-serif"/>
          <w:b w:val="false"/>
          <w:color w:val="000000"/>
          <w:sz w:val="22"/>
        </w:rPr>
        <w:t>. Notwithstanding anything to the contrary contained in this Lease, Tenant shall have the right, without the consent of Landlord, to designate portions of the Premises, not to exceed ten percent (10%) of the Premises in the aggregate and which portion(s) shall not be separately demised, for temporary use by third parties who provide services in support of Tenant’s operations for the Permitted Use, including without limitation, Tenant’s consultants, auditors, and caterers (“</w:t>
      </w:r>
      <w:r>
        <w:rPr>
          <w:rFonts w:ascii="Times New Roman;sans-serif" w:hAnsi="Times New Roman;sans-serif"/>
          <w:b w:val="false"/>
          <w:color w:val="000000"/>
          <w:sz w:val="22"/>
          <w:u w:val="single"/>
        </w:rPr>
        <w:t>Permitted Business Occupants</w:t>
      </w:r>
      <w:r>
        <w:rPr>
          <w:color w:val="000000"/>
        </w:rPr>
        <w:t>”</w:t>
      </w:r>
      <w:r>
        <w:rPr>
          <w:rFonts w:ascii="Times New Roman;sans-serif" w:hAnsi="Times New Roman;sans-serif"/>
          <w:b w:val="false"/>
          <w:color w:val="000000"/>
          <w:sz w:val="22"/>
        </w:rPr>
        <w:t>) without being subject to this Section 11; provided, that (a) in no event shall the use of any portion of the Premises by any such Permitted Business Occupant create or be deemed to create any right, title or interest of such Permitted Business Occupant in any portion of the Premises or this Lease, (b) such use or occupancy shall terminate automatically upon the termination of this Lease, (c) no demising walls shall be erected (or shall otherwise be required by applicable Law) in the Premises separating the space used by a Permitted Business Occupant from the remainder of the Premises, provided, however, Tenant may install cubicles for the Permitted Business Occupants and for Tenant’s employees, (d) there shall be no separate identification of any Permitted Business Occupant in the elevator lobby or any entrance to the Premises, and (e) such Permitted Business Occupants shall carry such insurance as Landlord may reasonably require. Upon the written request of Landlord, Tenant shall notify Landlord in writing of all Permitted Business Occupants (if any) occupying the Premises. </w:t>
      </w:r>
    </w:p>
    <w:p>
      <w:pPr>
        <w:pStyle w:val="TextBody"/>
        <w:bidi w:val="0"/>
        <w:spacing w:lineRule="auto" w:line="240" w:before="0" w:after="240"/>
        <w:ind w:left="0" w:right="0" w:hanging="720"/>
        <w:jc w:val="left"/>
        <w:rPr/>
      </w:pPr>
      <w:r>
        <w:rPr>
          <w:rFonts w:ascii="Times New Roman;sans-serif" w:hAnsi="Times New Roman;sans-serif"/>
          <w:b/>
          <w:color w:val="010000"/>
          <w:sz w:val="22"/>
        </w:rPr>
        <w:t>12.</w:t>
      </w:r>
      <w:r>
        <w:rPr>
          <w:rFonts w:ascii="Times New Roman;sans-serif" w:hAnsi="Times New Roman;sans-serif"/>
          <w:b/>
          <w:color w:val="000000"/>
          <w:sz w:val="22"/>
        </w:rPr>
        <w:t>Notices.</w:t>
      </w:r>
    </w:p>
    <w:p>
      <w:pPr>
        <w:pStyle w:val="TextBody"/>
        <w:bidi w:val="0"/>
        <w:spacing w:lineRule="auto" w:line="240" w:before="0" w:after="240"/>
        <w:jc w:val="both"/>
        <w:rPr/>
      </w:pPr>
      <w:r>
        <w:rPr>
          <w:rFonts w:ascii="Times New Roman;sans-serif" w:hAnsi="Times New Roman;sans-serif"/>
          <w:b w:val="false"/>
          <w:color w:val="000000"/>
          <w:sz w:val="22"/>
        </w:rPr>
        <w:t>All demands, approvals, consents or notices (collectively referred to as a “</w:t>
      </w:r>
      <w:r>
        <w:rPr>
          <w:rFonts w:ascii="Times New Roman;sans-serif" w:hAnsi="Times New Roman;sans-serif"/>
          <w:b w:val="false"/>
          <w:color w:val="000000"/>
          <w:sz w:val="22"/>
          <w:u w:val="single"/>
        </w:rPr>
        <w:t>notice</w:t>
      </w:r>
      <w:r>
        <w:rPr>
          <w:color w:val="000000"/>
        </w:rPr>
        <w:t>”</w:t>
      </w:r>
      <w:r>
        <w:rPr>
          <w:rFonts w:ascii="Times New Roman;sans-serif" w:hAnsi="Times New Roman;sans-serif"/>
          <w:b w:val="false"/>
          <w:color w:val="000000"/>
          <w:sz w:val="22"/>
        </w:rPr>
        <w:t xml:space="preserve">) shall be in writing and delivered by hand or sent by express mail or by overnight or same day courier service at the party’s respective Notice Address(es) set forth in Section 1; provided, however, notices sent by Landlord regarding general Building operational matters may be posted in the Building mailroom or the general Building newsletter or sent via e-mail to the e-mail address provided by Tenant to Landlord for such purpose.  In addition, if the Building is closed (whether due to emergency, governmental order or any other reason), then any notice address at the Building shall not be deemed a required notice address during such closure, and, unless Tenant has provided an alternative valid notice address to Landlord for use during such closure, any notices sent during such closure may be sent via e-mail or in any other practical manner reasonably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designed to ensure receipt by the intended recipient.  Each notice shall be deemed to have been given or received on the earlier to occur of actual delivery or the date on which delivery is refused, or, if Tenant has vacated the Premises or any other Notice Address of Tenant without providing a new Notice Address, three (3) Business Days after notice is deposited in the U.S. mail or with a courier service in the manner described above.  Either party may, at any time, change its Notice Address (other than to a post office box address) by giving the other party written notice of the new address.</w:t>
      </w:r>
    </w:p>
    <w:p>
      <w:pPr>
        <w:pStyle w:val="TextBody"/>
        <w:bidi w:val="0"/>
        <w:spacing w:before="0" w:after="0"/>
        <w:jc w:val="both"/>
        <w:rPr/>
      </w:pPr>
      <w:r>
        <w:rPr/>
      </w:r>
    </w:p>
    <w:p>
      <w:pPr>
        <w:pStyle w:val="TextBody"/>
        <w:bidi w:val="0"/>
        <w:spacing w:lineRule="auto" w:line="240" w:before="0" w:after="240"/>
        <w:ind w:left="0" w:right="0" w:hanging="720"/>
        <w:jc w:val="left"/>
        <w:rPr/>
      </w:pPr>
      <w:r>
        <w:rPr>
          <w:rFonts w:ascii="Times New Roman;sans-serif" w:hAnsi="Times New Roman;sans-serif"/>
          <w:b/>
          <w:color w:val="010000"/>
          <w:sz w:val="22"/>
        </w:rPr>
        <w:t>13.</w:t>
      </w:r>
      <w:r>
        <w:rPr>
          <w:rFonts w:ascii="Times New Roman;sans-serif" w:hAnsi="Times New Roman;sans-serif"/>
          <w:b/>
          <w:color w:val="000000"/>
          <w:sz w:val="22"/>
        </w:rPr>
        <w:t>Indemnity and Insurance.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13.01    </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Subject to Sections 13.04 and 17.04 of this Lease, except to the extent caused by the negligence or willful misconduct of Landlord or any Landlord Related Parties (defined below), and to the maximum extent permitted under applicable Law, Tenant shall indemnify, defend and hold Landlord and Landlord Related Parties harmless against and from all liabilities, obligations, damages, penalties, claims, actions, costs, charges and expenses, including, without limitation, reasonable attorneys’ fees and other professional fees (collectively referred to as “</w:t>
      </w:r>
      <w:r>
        <w:rPr>
          <w:rFonts w:ascii="Times New Roman;sans-serif" w:hAnsi="Times New Roman;sans-serif"/>
          <w:b w:val="false"/>
          <w:color w:val="000000"/>
          <w:sz w:val="22"/>
          <w:u w:val="single"/>
        </w:rPr>
        <w:t>Losses</w:t>
      </w:r>
      <w:r>
        <w:rPr>
          <w:color w:val="000000"/>
        </w:rPr>
        <w:t>”</w:t>
      </w:r>
      <w:r>
        <w:rPr>
          <w:rFonts w:ascii="Times New Roman;sans-serif" w:hAnsi="Times New Roman;sans-serif"/>
          <w:b w:val="false"/>
          <w:color w:val="000000"/>
          <w:sz w:val="22"/>
        </w:rPr>
        <w:t>), which may be imposed upon, incurred by or asserted against Landlord or any of the Landlord Related Parties by any third party arising out of or in connection with any damage or injury occurring in the Premises or to the extent arising out of or in connection with any negligence or willful misconduct of Tenant, its trustees, managers, members, principals, beneficiaries, partners, officers, directors, employees and agents (the “</w:t>
      </w:r>
      <w:r>
        <w:rPr>
          <w:rFonts w:ascii="Times New Roman;sans-serif" w:hAnsi="Times New Roman;sans-serif"/>
          <w:b w:val="false"/>
          <w:color w:val="000000"/>
          <w:sz w:val="22"/>
          <w:u w:val="single"/>
        </w:rPr>
        <w:t>Tenant Related Parties</w:t>
      </w:r>
      <w:r>
        <w:rPr>
          <w:color w:val="000000"/>
        </w:rPr>
        <w:t>”</w:t>
      </w:r>
      <w:r>
        <w:rPr>
          <w:rFonts w:ascii="Times New Roman;sans-serif" w:hAnsi="Times New Roman;sans-serif"/>
          <w:b w:val="false"/>
          <w:color w:val="000000"/>
          <w:sz w:val="22"/>
        </w:rPr>
        <w:t xml:space="preserve">) or any of Tenant’s transferees, contractors or licensees, which indemnification hereunder, for the avoidance of doubt, shall also include such Losses by reason of any failure of Tenant to keep, observe or perform any of its obligations under Sections 5 or 6 of </w:t>
      </w:r>
      <w:r>
        <w:rPr>
          <w:rFonts w:ascii="Times New Roman;sans-serif" w:hAnsi="Times New Roman;sans-serif"/>
          <w:b w:val="false"/>
          <w:color w:val="000000"/>
          <w:sz w:val="22"/>
          <w:u w:val="single"/>
        </w:rPr>
        <w:t>Exhibit F</w:t>
      </w:r>
      <w:r>
        <w:rPr>
          <w:rFonts w:ascii="Times New Roman;sans-serif" w:hAnsi="Times New Roman;sans-serif"/>
          <w:b w:val="false"/>
          <w:color w:val="000000"/>
          <w:sz w:val="22"/>
        </w:rPr>
        <w:t>, or by</w:t>
      </w:r>
      <w:r>
        <w:rPr>
          <w:color w:val="000000"/>
        </w:rPr>
        <w:t xml:space="preserve"> </w:t>
      </w:r>
      <w:r>
        <w:rPr>
          <w:rFonts w:ascii="Times New Roman;sans-serif" w:hAnsi="Times New Roman;sans-serif"/>
          <w:b w:val="false"/>
          <w:color w:val="000000"/>
          <w:sz w:val="22"/>
        </w:rPr>
        <w:t>reason of any damage to any property (including but not limited to property of any Landlord Related Party) or any injury (including but not limited to death) to any person occurring in, on, or about the Building, to the extent that such injury or damage shall arise from the operation, maintenance, testing, refueling or cleaning of the Back-Up Power And Supplemental Components. Notwithstanding anything to the contrary, Tenant’s indemnification obligations under this Lease shall not apply to any Losses arising prior to the Term Commencement Date, except to the extent caused by Tenant or any employees, agents, contractors or vendors on behalf of Tenant and not Landlord. To the maximum extent permitted under applicable Law, but subject to Sections 13.04 and 17.04 of this Lease, and except to the extent caused by the negligence or willful misconduct of Landlord or any Landlord Related Parties, Tenant hereby waives all claims against and releases Landlord and its trustees, managers, members, principals, beneficiaries, partners, officers, directors, employees, Mortgagees (defined in Section 20) and agents (the “</w:t>
      </w:r>
      <w:r>
        <w:rPr>
          <w:rFonts w:ascii="Times New Roman;sans-serif" w:hAnsi="Times New Roman;sans-serif"/>
          <w:b w:val="false"/>
          <w:color w:val="000000"/>
          <w:sz w:val="22"/>
          <w:u w:val="single"/>
        </w:rPr>
        <w:t>Landlord Related Parties</w:t>
      </w:r>
      <w:r>
        <w:rPr>
          <w:color w:val="000000"/>
        </w:rPr>
        <w:t>”</w:t>
      </w:r>
      <w:r>
        <w:rPr>
          <w:rFonts w:ascii="Times New Roman;sans-serif" w:hAnsi="Times New Roman;sans-serif"/>
          <w:b w:val="false"/>
          <w:color w:val="000000"/>
          <w:sz w:val="22"/>
        </w:rPr>
        <w:t xml:space="preserve">) from all claims for any damage to property or business loss in any manner related to (a) Force Majeure, (b) acts of third parties (which are not Landlord-Related Parties or parties acting by or through Landlord), (c) the bursting or leaking of any tank, water closet, drain or other pipe, or (d) the inadequacy or failure of any security or protective services, personnel or equipment.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Subject to Sections 13.04 and 17.04 of this Lease, except to the extent caused by the negligence or willful misconduct of Tenant or any Tenant Related Parties, and to the maximum extent permitted under applicable Law, Landlord shall, during the Term, indemnify, defend and hold Tenant and Tenant Related Parties harmless against and from all Losses which may be imposed upon, incurred by or asserted against Tenant or any of the Tenant Related Parties by any third party arising out of or in connection with any damage or injury occurring in the Common Areas to the extent caused by the negligence or willful misconduct of Landlord or any Landlord Related Parties. To the maximum extent permitted under applicable Law, but subject to Sections 13.04 and 17.04 of this Lease, and except to the extent caused by the negligence or willful misconduct of Tenant or any Tenant Related Parties, Landlord hereby waives all claims against and releases Tenant and its trustees, managers, members, principals, beneficiaries, partners, officers, directors, employees, Mortgagees (defined in Section 20) and agents (the “</w:t>
      </w:r>
      <w:r>
        <w:rPr>
          <w:rFonts w:ascii="Times New Roman;sans-serif" w:hAnsi="Times New Roman;sans-serif"/>
          <w:b w:val="false"/>
          <w:color w:val="000000"/>
          <w:sz w:val="22"/>
          <w:u w:val="single"/>
        </w:rPr>
        <w:t>Tenant Related Parties</w:t>
      </w:r>
      <w:r>
        <w:rPr>
          <w:color w:val="000000"/>
        </w:rPr>
        <w:t>”</w:t>
      </w:r>
      <w:r>
        <w:rPr>
          <w:rFonts w:ascii="Times New Roman;sans-serif" w:hAnsi="Times New Roman;sans-serif"/>
          <w:b w:val="false"/>
          <w:color w:val="000000"/>
          <w:sz w:val="22"/>
        </w:rPr>
        <w:t xml:space="preserve">) from all claims for any damage to property located in areas of the Building outside of the Premises or business loss in any manner related to (a) Force Majeure, or (b) acts of third parties (which are not Tenant-Related Parties or parties acting by or through Tenant).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13.02    </w:t>
      </w:r>
      <w:r>
        <w:rPr>
          <w:rFonts w:ascii="Times New Roman;sans-serif" w:hAnsi="Times New Roman;sans-serif"/>
          <w:b w:val="false"/>
          <w:color w:val="000000"/>
          <w:sz w:val="22"/>
          <w:u w:val="single"/>
        </w:rPr>
        <w:t>Tenant’s Insurance</w:t>
      </w:r>
      <w:r>
        <w:rPr>
          <w:rFonts w:ascii="Times New Roman;sans-serif" w:hAnsi="Times New Roman;sans-serif"/>
          <w:b w:val="false"/>
          <w:color w:val="000000"/>
          <w:sz w:val="22"/>
        </w:rPr>
        <w:t>.  Tenant shall maintain the following coverages in the following amounts throughout the Term (and during any other periods before or after the Term during which Tenant or any Tenant Related Party enters into or occupies all or any portion of the Premises):</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Commercial General Liability Insurance covering claims of bodily injury, personal injury and property damage arising out of Tenant’s operations and contractual liabilities, including coverage formerly known as broad form, on an occurrence basis, with limits of $1,000,000 each occurrence and $2,000,000 annual aggregate and excess/umbrella limit of $5,000,000.00.</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Property insurance covering (i) Tenant’s Property (as defined below), and (ii) any Leasehold Improvements in the Premises, whether installed by or for the benefit of Tenant under this Lease (“</w:t>
      </w:r>
      <w:r>
        <w:rPr>
          <w:rFonts w:ascii="Times New Roman;sans-serif" w:hAnsi="Times New Roman;sans-serif"/>
          <w:b w:val="false"/>
          <w:color w:val="000000"/>
          <w:sz w:val="22"/>
          <w:u w:val="single"/>
        </w:rPr>
        <w:t>Tenant-Insured Improvements</w:t>
      </w:r>
      <w:r>
        <w:rPr>
          <w:color w:val="000000"/>
        </w:rPr>
        <w:t>”</w:t>
      </w:r>
      <w:r>
        <w:rPr>
          <w:rFonts w:ascii="Times New Roman;sans-serif" w:hAnsi="Times New Roman;sans-serif"/>
          <w:b w:val="false"/>
          <w:color w:val="000000"/>
          <w:sz w:val="22"/>
        </w:rPr>
        <w:t>). Such insurance shall be written on an “all risks” basis for physical loss or damage, for the full replacement cost value (subject to reasonable deductible amounts) without deduction for depreciation of the covered items and in amounts that meet any co-insurance clauses of the policies of insurance, and shall include coverage for damage or other loss caused by fire or other peril, including vandalism and malicious mischief, theft, water damage, including sprinkler leakage, bursting or stoppage of pipes, and explosion, and providing business interruption coverage for a period of one year.</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Worker’s Compensation and Employer’s Liability or other similar insurance to the extent required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The limits of insurance required to be carried by Tenant shall not limit Tenant’s liability.  Such insurance shall (i) be issued by an insurance company that has an A.M. Best rating of not less than A-VIII; and (ii) be in form and content reasonably acceptable to Landlord. In the event that Tenant receives any notice of cancellation or material changes to the insurance policies required under this Lease, Tenant shall notify Landlord of the same within five (5) days after Tenant’s receipt of such notice.  Tenant’s Commercial General Liability Insurance shall (a) name Landlord, Landlord’s managing agent, and any other party designated by Landlord, written notice of which is provided to Tenant (“</w:t>
      </w:r>
      <w:r>
        <w:rPr>
          <w:rFonts w:ascii="Times New Roman;sans-serif" w:hAnsi="Times New Roman;sans-serif"/>
          <w:b w:val="false"/>
          <w:color w:val="000000"/>
          <w:sz w:val="22"/>
          <w:u w:val="single"/>
        </w:rPr>
        <w:t>Additional Insured Parties</w:t>
      </w:r>
      <w:r>
        <w:rPr>
          <w:color w:val="000000"/>
        </w:rPr>
        <w:t>”</w:t>
      </w:r>
      <w:r>
        <w:rPr>
          <w:rFonts w:ascii="Times New Roman;sans-serif" w:hAnsi="Times New Roman;sans-serif"/>
          <w:b w:val="false"/>
          <w:color w:val="000000"/>
          <w:sz w:val="22"/>
        </w:rPr>
        <w:t xml:space="preserve">) as additional insureds; and (b) be primary insurance as to all claims thereunder and provide that any insurance carried by Landlord is excess and non-contributing with Tenant’s insurance.  Tenant shall deliver to Landlord, on or before the Term Commencement Date and at least fifteen (15) days before the expiration dates thereof, certificates from Tenant’s insurance company on the forms currently designated “ACORD 28” (Evidence of Commercial Property Insurance) and “ACORD 25-S” (Certificate of Liability Insurance) or the equivalent.  Attached to the ACORD 25-S (or equivalent) there shall be a blanket Additional Insured endorsement or a specific endorsement naming the Additional Insured Parties as additional insureds which shall be binding on Tenant’s insurance company. Notwithstanding the foregoing, if the foregoing requirement that the insurance company provide prior notice to Landlord of cancellation or material change of the applicable policy cannot reasonably be obtained based on then-prevailing insurance industry practices, Tenant shall so advise Landlord of such unavailability and shall instead provide Landlord with notice of any such cancellation or material change as provided above.  The insurance coverages set forth in (a) and (b) of this Section 13.02 shall also include coverage for the obligations of the Tenant related to the use of the Dedicated Venting System and the Back-Up Power And Supplemental Components referenced in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attached to this Lease.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Tenant shall maintain such increased amounts of the insurance required to be carried by Tenant under this Section 13.02, and such other types and amounts of insurance covering the Premises and Tenant’s operations therein, as may be reasonably requested by Landlord, but not in excess of the amounts and types of insurance then being required by landlords of buildings comparable to and in the vicinity of the Building.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13.03    </w:t>
      </w:r>
      <w:r>
        <w:rPr>
          <w:rFonts w:ascii="Times New Roman;sans-serif" w:hAnsi="Times New Roman;sans-serif"/>
          <w:b w:val="false"/>
          <w:color w:val="000000"/>
          <w:sz w:val="22"/>
          <w:u w:val="single"/>
        </w:rPr>
        <w:t>Tenant’s Property</w:t>
      </w:r>
      <w:r>
        <w:rPr>
          <w:rFonts w:ascii="Times New Roman;sans-serif" w:hAnsi="Times New Roman;sans-serif"/>
          <w:b w:val="false"/>
          <w:color w:val="000000"/>
          <w:sz w:val="22"/>
        </w:rPr>
        <w:t>.  All furnishings, fixtures, equipment, and other personal property and effects of Tenant and of all persons claiming through Tenant which from time to time may be on the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Premises or elsewhere in the Building (collectively, “</w:t>
      </w:r>
      <w:r>
        <w:rPr>
          <w:rFonts w:ascii="Times New Roman;sans-serif" w:hAnsi="Times New Roman;sans-serif"/>
          <w:b w:val="false"/>
          <w:color w:val="000000"/>
          <w:sz w:val="22"/>
          <w:u w:val="single"/>
        </w:rPr>
        <w:t>Tenant’s Property</w:t>
      </w:r>
      <w:r>
        <w:rPr>
          <w:color w:val="000000"/>
        </w:rPr>
        <w:t>”</w:t>
      </w:r>
      <w:r>
        <w:rPr>
          <w:rFonts w:ascii="Times New Roman;sans-serif" w:hAnsi="Times New Roman;sans-serif"/>
          <w:b w:val="false"/>
          <w:color w:val="000000"/>
          <w:sz w:val="22"/>
        </w:rPr>
        <w:t>) shall be at the sole risk of Tenant to the maximum extent permitted by law and shall be kept insured by Tenant throughout the Term (and during any other periods before or after the Term during which Tenant or any Tenant Related Party enters into or occupies all or any portion of the Premises) at Tenant’s expense in accordance with Section 13.02.  Tenant’s Property expressly includes all business fixtures and equipment, including without limitation any security or access control systems installed by Tenant for the Premises, filing cabinets and racks, removable cubicles and partitions, kitchen equipment, computers and related equipment, raised flooring, supplemental cooling equipment, audiovisual and telecommunications equipment, non-building standard signage, and other tenant equipment installations, in each case including related conduits, cabling, and brackets or mounting components therefor and any connectors to base building systems and in each case whether installed or affixed in or about the Premises, in building core areas, or elsewhere in the Building. Tenant’s Property shall not include items installed in, to, or at the Premises as a part of the Initial Tenant Work.</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13.04    </w:t>
      </w:r>
      <w:r>
        <w:rPr>
          <w:rFonts w:ascii="Times New Roman;sans-serif" w:hAnsi="Times New Roman;sans-serif"/>
          <w:b w:val="false"/>
          <w:color w:val="000000"/>
          <w:sz w:val="22"/>
          <w:u w:val="single"/>
        </w:rPr>
        <w:t>Waiver of Subrogation</w:t>
      </w:r>
      <w:r>
        <w:rPr>
          <w:rFonts w:ascii="Times New Roman;sans-serif" w:hAnsi="Times New Roman;sans-serif"/>
          <w:b w:val="false"/>
          <w:color w:val="000000"/>
          <w:sz w:val="22"/>
        </w:rPr>
        <w:t>. Each party waives, and shall cause its insurance carrier to waive, any right of recovery against the other for any loss of or damage to property which loss or damage is (or, if the insurance required hereunder had been carried, would have been) covered by insurance. For purposes of this Section 13.04, any deductible or self-insured retention with respect to a party’s insurance shall be deemed covered by, and recoverable by such party under, valid and collectable policies of insurance.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13.05    </w:t>
      </w:r>
      <w:r>
        <w:rPr>
          <w:rFonts w:ascii="Times New Roman;sans-serif" w:hAnsi="Times New Roman;sans-serif"/>
          <w:b w:val="false"/>
          <w:color w:val="000000"/>
          <w:sz w:val="22"/>
          <w:u w:val="single"/>
        </w:rPr>
        <w:t>Landlord’s Insurance</w:t>
      </w:r>
      <w:r>
        <w:rPr>
          <w:rFonts w:ascii="Times New Roman;sans-serif" w:hAnsi="Times New Roman;sans-serif"/>
          <w:b w:val="false"/>
          <w:color w:val="000000"/>
          <w:sz w:val="22"/>
        </w:rPr>
        <w:t>. Landlord shall maintain all-risk property insurance, insuring the full replacement cost of the Premises (excluding Tenant-Insured Improvements), the Building, and the Property, including the Common Areas. Landlord shall also carry, during the Term, Commercial General Liability Insurance with respect to the Common Areas, with contractual liability insurance, in a combined single limit of not less than $2,000,000 per occurrence for bodily injury, personal injury and property damage naming Tenant as an additional insured to the extent Landlord indemnifies Tenant under Section 13.01 of this Lease.</w:t>
      </w:r>
    </w:p>
    <w:p>
      <w:pPr>
        <w:pStyle w:val="TextBody"/>
        <w:bidi w:val="0"/>
        <w:spacing w:lineRule="auto" w:line="240" w:before="0" w:after="240"/>
        <w:ind w:left="0" w:right="0" w:hanging="720"/>
        <w:jc w:val="left"/>
        <w:rPr/>
      </w:pPr>
      <w:r>
        <w:rPr>
          <w:rFonts w:ascii="Times New Roman;sans-serif" w:hAnsi="Times New Roman;sans-serif"/>
          <w:b/>
          <w:color w:val="010000"/>
          <w:sz w:val="22"/>
        </w:rPr>
        <w:t>14.</w:t>
      </w:r>
      <w:r>
        <w:rPr>
          <w:rFonts w:ascii="Times New Roman;sans-serif" w:hAnsi="Times New Roman;sans-serif"/>
          <w:b/>
          <w:color w:val="000000"/>
          <w:sz w:val="22"/>
        </w:rPr>
        <w:t>Casualty Damage.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14.01    </w:t>
      </w:r>
      <w:r>
        <w:rPr>
          <w:rFonts w:ascii="Times New Roman;sans-serif" w:hAnsi="Times New Roman;sans-serif"/>
          <w:b w:val="false"/>
          <w:color w:val="000000"/>
          <w:sz w:val="22"/>
          <w:u w:val="single"/>
        </w:rPr>
        <w:t>Casualty</w:t>
      </w:r>
      <w:r>
        <w:rPr>
          <w:rFonts w:ascii="Times New Roman;sans-serif" w:hAnsi="Times New Roman;sans-serif"/>
          <w:b w:val="false"/>
          <w:color w:val="000000"/>
          <w:sz w:val="22"/>
        </w:rPr>
        <w:t>.  If all or any portion of the Premises becomes untenantable or inaccessible by fire or other casualty to the Premises or the Common Areas (collectively a “</w:t>
      </w:r>
      <w:r>
        <w:rPr>
          <w:rFonts w:ascii="Times New Roman;sans-serif" w:hAnsi="Times New Roman;sans-serif"/>
          <w:b w:val="false"/>
          <w:color w:val="000000"/>
          <w:sz w:val="22"/>
          <w:u w:val="single"/>
        </w:rPr>
        <w:t>Casualty</w:t>
      </w:r>
      <w:r>
        <w:rPr>
          <w:color w:val="000000"/>
        </w:rPr>
        <w:t>”</w:t>
      </w:r>
      <w:r>
        <w:rPr>
          <w:rFonts w:ascii="Times New Roman;sans-serif" w:hAnsi="Times New Roman;sans-serif"/>
          <w:b w:val="false"/>
          <w:color w:val="000000"/>
          <w:sz w:val="22"/>
        </w:rPr>
        <w:t>), Landlord, with reasonable promptness, but in no event later than ninety (90) days following the date of such Casualty, shall cause a general contractor selected by Landlord to provide Landlord with a written estimate of the amount of time required, using standard working methods, to substantially complete the repair and restoration of the Premises and any Common Areas necessary to provide access to the Premises (“</w:t>
      </w:r>
      <w:r>
        <w:rPr>
          <w:rFonts w:ascii="Times New Roman;sans-serif" w:hAnsi="Times New Roman;sans-serif"/>
          <w:b w:val="false"/>
          <w:color w:val="000000"/>
          <w:sz w:val="22"/>
          <w:u w:val="single"/>
        </w:rPr>
        <w:t>Completion Estimate</w:t>
      </w:r>
      <w:r>
        <w:rPr>
          <w:color w:val="000000"/>
        </w:rPr>
        <w:t>”</w:t>
      </w:r>
      <w:r>
        <w:rPr>
          <w:rFonts w:ascii="Times New Roman;sans-serif" w:hAnsi="Times New Roman;sans-serif"/>
          <w:b w:val="false"/>
          <w:color w:val="000000"/>
          <w:sz w:val="22"/>
        </w:rPr>
        <w:t>).  Landlord shall promptly forward a copy of the Completion Estimate to Tenant.  If the Completion Estimate indicates that the Premises and any Common Areas necessary to provide access to the Premises cannot be made tenantable and the Premises and such Common Areas restored to the condition immediately prior to the Casualty within one hundred eighty (180) days</w:t>
      </w:r>
      <w:r>
        <w:rPr>
          <w:color w:val="000000"/>
        </w:rPr>
        <w:t xml:space="preserve"> </w:t>
      </w:r>
      <w:r>
        <w:rPr>
          <w:rFonts w:ascii="Times New Roman;sans-serif" w:hAnsi="Times New Roman;sans-serif"/>
          <w:b w:val="false"/>
          <w:color w:val="000000"/>
          <w:sz w:val="22"/>
        </w:rPr>
        <w:t xml:space="preserve">from the date of the Casualty, then either party shall have the right to terminate this Lease upon written notice to the other within thirty (30) days after Tenant’s receipt of the Completion Estimate. Tenant, however, shall not have the right to terminate this Lease under the immediately preceding sentence if the Casualty was caused by the willful misconduct of Tenant or any Tenant Related Parties. In addition, (a) either party, by notice to the other party within ninety (90) days after the date of the Casualty, shall have the right to terminate this Lease if the Premises have been materially damaged and less than two (2) years of the Term remain after the date of the Casualty, (b) Landlord, by written notice to Tenant within ninety (90) days after the date of the Casualty, shall have the right to terminate this Lease if (1) any Mortgagee requires that the insurance proceeds be applied to the payment of the mortgage debt; or (2) a material uninsured loss to the Building or Premises occurs; provided, however, that Landlord may only exercise its right to termination this Lease under this clause (b) if it terminates the leases of all other tenants of the Building similarly affected by such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Casualty, and (c) Tenant shall have the right to terminate this Lease if the Premises or any Common Areas necessary to provide access to the Premises are not restored within two hundred ten (210) days</w:t>
      </w:r>
      <w:r>
        <w:rPr>
          <w:color w:val="000000"/>
        </w:rPr>
        <w:t xml:space="preserve"> </w:t>
      </w:r>
      <w:r>
        <w:rPr>
          <w:rFonts w:ascii="Times New Roman;sans-serif" w:hAnsi="Times New Roman;sans-serif"/>
          <w:b w:val="false"/>
          <w:color w:val="000000"/>
          <w:sz w:val="22"/>
        </w:rPr>
        <w:t>from the date of the Casualty (subject to extension due to any events of Force Majeure for a period not to exceed thirty (30) days), upon thirty (30) days’ prior written notice to Landlord, provided that if such restoration is completed on or before the expiration of such thirty (30) day period, then such termination shall be deemed null and void and this Lease shall continue in full force and effect. If this Lease is terminated by either party on account of any Casualty as provided in this Section 14, then Tenant shall pay to Landlord (by assignment or otherwise) the insurance proceeds paid or payable to Tenant under the policy(ies) referred to in Section 13.02(b) on account of the damage to or loss of the Leasehold Improvements in the Premises; however, from any such proceeds actually received by Tenant, Tenant shall be entitled to retain any amount up to the depreciated amount of the Excess Tenant Work Costs after deduction of the Allowance.</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14.02    </w:t>
      </w:r>
      <w:r>
        <w:rPr>
          <w:rFonts w:ascii="Times New Roman;sans-serif" w:hAnsi="Times New Roman;sans-serif"/>
          <w:b w:val="false"/>
          <w:color w:val="000000"/>
          <w:sz w:val="22"/>
          <w:u w:val="single"/>
        </w:rPr>
        <w:t>Restoration</w:t>
      </w:r>
      <w:r>
        <w:rPr>
          <w:rFonts w:ascii="Times New Roman;sans-serif" w:hAnsi="Times New Roman;sans-serif"/>
          <w:b w:val="false"/>
          <w:color w:val="000000"/>
          <w:sz w:val="22"/>
        </w:rPr>
        <w:t xml:space="preserve">.  If this Lease is not terminated, Landlord shall promptly and diligently, subject to reasonable delays for insurance adjustment or other matters beyond Landlord’s reasonable control, restore the Premises and Common Areas, subject to the following provisions.  Such restoration shall be to substantially the same condition that existed prior to the Casualty, except for modifications required by Law or any other modifications to the Common Areas deemed desirable by Landlord. Upon notice from Landlord, Tenant shall assign or endorse over to Landlord (or to any party designated by Landlord) all property insurance proceeds payable to Tenant under Tenant’s insurance with respect to any Leasehold Improvements. Such insurance proceeds shall be paid to Landlord in accordance with the procedures set forth in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attached hereto. In no event shall Landlord be required to spend more for the restoration of the Premises and Common Areas than the proceeds received by Landlord.  Landlord shall not be liable for any inconvenience to Tenant, or injury to Tenant’s business resulting in any way from the Casualty or the repair thereof.  During any period of time that all or a material portion of the Premises is rendered untenantable as a result of a Casualty, the Rent shall abate for the portion of the Premises that is untenantable and not used by Tenant.</w:t>
      </w:r>
    </w:p>
    <w:p>
      <w:pPr>
        <w:pStyle w:val="TextBody"/>
        <w:bidi w:val="0"/>
        <w:spacing w:lineRule="auto" w:line="240" w:before="0" w:after="240"/>
        <w:ind w:left="0" w:right="0" w:hanging="720"/>
        <w:jc w:val="left"/>
        <w:rPr/>
      </w:pPr>
      <w:r>
        <w:rPr>
          <w:rFonts w:ascii="Times New Roman;sans-serif" w:hAnsi="Times New Roman;sans-serif"/>
          <w:b/>
          <w:color w:val="010000"/>
          <w:sz w:val="22"/>
        </w:rPr>
        <w:t>15.</w:t>
      </w:r>
      <w:r>
        <w:rPr>
          <w:rFonts w:ascii="Times New Roman;sans-serif" w:hAnsi="Times New Roman;sans-serif"/>
          <w:b/>
          <w:color w:val="000000"/>
          <w:sz w:val="22"/>
        </w:rPr>
        <w:t>Condemnation.</w:t>
      </w:r>
    </w:p>
    <w:p>
      <w:pPr>
        <w:pStyle w:val="TextBody"/>
        <w:bidi w:val="0"/>
        <w:spacing w:lineRule="auto" w:line="240" w:before="0" w:after="240"/>
        <w:jc w:val="both"/>
        <w:rPr/>
      </w:pPr>
      <w:r>
        <w:rPr>
          <w:rFonts w:ascii="Times New Roman;sans-serif" w:hAnsi="Times New Roman;sans-serif"/>
          <w:b w:val="false"/>
          <w:color w:val="000000"/>
          <w:sz w:val="22"/>
        </w:rPr>
        <w:t>Either party may terminate this Lease if any material part of the Premises is taken or condemned for any public or quasi-public use under Law, by eminent domain or private purchase in lieu thereof (a “</w:t>
      </w:r>
      <w:r>
        <w:rPr>
          <w:rFonts w:ascii="Times New Roman;sans-serif" w:hAnsi="Times New Roman;sans-serif"/>
          <w:b w:val="false"/>
          <w:color w:val="000000"/>
          <w:sz w:val="22"/>
          <w:u w:val="single"/>
        </w:rPr>
        <w:t>Taking</w:t>
      </w:r>
      <w:r>
        <w:rPr>
          <w:color w:val="000000"/>
        </w:rPr>
        <w:t>”</w:t>
      </w:r>
      <w:r>
        <w:rPr>
          <w:rFonts w:ascii="Times New Roman;sans-serif" w:hAnsi="Times New Roman;sans-serif"/>
          <w:b w:val="false"/>
          <w:color w:val="000000"/>
          <w:sz w:val="22"/>
        </w:rPr>
        <w:t>).  Landlord shall also have the right to terminate this Lease if there is a Taking of any portion of the Building or Property which would have a material adverse effect on Landlord’s ability to profitably operate the remainder of the Building; provided, however, that Landlord may not terminate this Lease as aforesaid unless it terminates the leases of all other tenants of the Building similarly affected by such Taking. Tenant shall have the right to terminate this Lease if there is a Taking of any portion of the Building or Property which would have a material adverse effect, as reasonably determined by Tenant, on Tenant’s rights to occupy the Premises pursuant to the terms of the Lease. The terminating party shall provide written notice of termination to the other party within forty five (45) days after it first receives notice of the Taking.  The termination shall be effective as of the effective date of any order granting possession to, or vesting legal title in, the condemning authority.  If this Lease is not terminated, Base Rent and Tenant’s Proportionate Share shall be appropriately adjusted to account for any reduction in the square footage of the Building or Premises. All compensation awarded for a Taking shall be the property of Landlord.  The right to receive compensation or proceeds are expressly waived by Tenant, provided, however, Tenant may file a separate claim for Tenant’s Property and Tenant’s reasonable relocation expenses, provided the filing of the claim does not diminish the amount of Landlord’s award.  If only a part of the Premises is subject to a Taking and this Lease is not terminated, Landlord, with reasonable diligence, will restore the remaining portion of the Premises as nearly as practicable to the condition immediately prior to the Taking.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40" w:before="0" w:after="240"/>
        <w:ind w:left="0" w:right="0" w:hanging="720"/>
        <w:jc w:val="left"/>
        <w:rPr/>
      </w:pPr>
      <w:r>
        <w:rPr>
          <w:rFonts w:ascii="Times New Roman;sans-serif" w:hAnsi="Times New Roman;sans-serif"/>
          <w:b/>
          <w:color w:val="010000"/>
          <w:sz w:val="22"/>
        </w:rPr>
        <w:t>16.</w:t>
      </w:r>
      <w:r>
        <w:rPr>
          <w:rFonts w:ascii="Times New Roman;sans-serif" w:hAnsi="Times New Roman;sans-serif"/>
          <w:b/>
          <w:color w:val="000000"/>
          <w:sz w:val="22"/>
        </w:rPr>
        <w:t>Events of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16.01    </w:t>
      </w:r>
      <w:r>
        <w:rPr>
          <w:rFonts w:ascii="Times New Roman;sans-serif" w:hAnsi="Times New Roman;sans-serif"/>
          <w:b w:val="false"/>
          <w:color w:val="000000"/>
          <w:sz w:val="22"/>
          <w:u w:val="single"/>
        </w:rPr>
        <w:t>Default</w:t>
      </w:r>
      <w:r>
        <w:rPr>
          <w:rFonts w:ascii="Times New Roman;sans-serif" w:hAnsi="Times New Roman;sans-serif"/>
          <w:b w:val="false"/>
          <w:color w:val="000000"/>
          <w:sz w:val="22"/>
        </w:rPr>
        <w:t>.  In addition to any other Default specifically described in this Lease, each of the following occurrences shall be a “</w:t>
      </w:r>
      <w:r>
        <w:rPr>
          <w:rFonts w:ascii="Times New Roman;sans-serif" w:hAnsi="Times New Roman;sans-serif"/>
          <w:b w:val="false"/>
          <w:color w:val="000000"/>
          <w:sz w:val="22"/>
          <w:u w:val="single"/>
        </w:rPr>
        <w:t>Default</w:t>
      </w:r>
      <w:r>
        <w:rPr>
          <w:color w:val="000000"/>
        </w:rPr>
        <w:t>”</w:t>
      </w:r>
      <w:r>
        <w:rPr>
          <w:rFonts w:ascii="Times New Roman;sans-serif" w:hAnsi="Times New Roman;sans-serif"/>
          <w:b w:val="false"/>
          <w:color w:val="000000"/>
          <w:sz w:val="22"/>
        </w:rPr>
        <w:t>: (a) Tenant’s failure to pay any portion of Rent when due, if the failure continues for seven (7) Business Days after written notice to Tenant (“</w:t>
      </w:r>
      <w:r>
        <w:rPr>
          <w:rFonts w:ascii="Times New Roman;sans-serif" w:hAnsi="Times New Roman;sans-serif"/>
          <w:b w:val="false"/>
          <w:color w:val="000000"/>
          <w:sz w:val="22"/>
          <w:u w:val="single"/>
        </w:rPr>
        <w:t>Monetary Default</w:t>
      </w:r>
      <w:r>
        <w:rPr>
          <w:color w:val="000000"/>
        </w:rPr>
        <w:t>”</w:t>
      </w:r>
      <w:r>
        <w:rPr>
          <w:rFonts w:ascii="Times New Roman;sans-serif" w:hAnsi="Times New Roman;sans-serif"/>
          <w:b w:val="false"/>
          <w:color w:val="000000"/>
          <w:sz w:val="22"/>
        </w:rPr>
        <w:t>); (b) Tenant’s failure (other than a Monetary Default) to comply with any term, provision, condition or covenant of this Lease, if the failure is not cured within thirty (30) days after written notice to Tenant provided, however, if Tenant’s failure to comply cannot reasonably be cured within such thirty (30) -day period, Tenant shall be allowed additional time as is reasonably necessary to cure the failure so long as Tenant begins the cure within such thirty-(30)-day period and diligently pursues the cure to completion; (c) Tenant effects or permits a Transfer without Landlord’s required approval (where such approval is required under this Lease) or otherwise in violation of Section 11 of this Lease; (d) Tenant or any guarantor becomes insolvent, makes a transfer in fraud of creditors, makes an assignment for the benefit of creditors, admits in writing its inability to pay its debts when due or forfeits or loses its right to conduct business; (e) the leasehold estate is taken by process or operation of Law; or (f) if a receiver, guardian, conservator, trustee in bankruptcy or similar officer shall be appointed by a court of competent jurisdiction to take charge of all or any part of Tenant’s or any guarantor’s property and such appointment is not discharged within ninety (90) days thereafter, or if a petition including, without limitation, a petition for reorganization or arrangement is filed by Tenant or any guarantor under any bankruptcy law or is filed against Tenant or any guarantor and, in the case of a filing against Tenant only, the same shall not be dismissed within ninety (90) days from the date upon which it is filed.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16.02    </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xml:space="preserve">. Upon the occurrence of any Default, Landlord may, immediately or at any time thereafter, elect to terminate this Lease by notice of termination, by entry, or by any other means available under law and may recover possession of the Premises as provided herein. Upon termination by notice, by entry, or by any other means available under law, Landlord shall be entitled immediately, in the case of termination by notice or entry, and otherwise in accordance with the provisions of law to recover possession of the Premises from Tenant and those claiming through or under the Tenant. Except as provided in this Lease, such termination of this Lease and repossession of the Premises shall be without prejudice to any remedies which Landlord might otherwise have for arrears of rent or for a prior breach of the provisions of this Lease. Tenant waives any statutory notice to quit and equitable rights in the nature of further cure or redemption, and Tenant agrees that upon Landlord’s termination of this Lease Landlord shall be entitled to re-entry and possession in accordance with the terms hereof. Landlord may, without notice, store Tenant’s personal property (and those of any person claiming under Tenant) at the expense and risk of Tenant or, if Landlord so elects, Landlord may sell such personal property at public auction or auctions or at private sale or sales after thirty (30) days’ notice to Tenant and apply the net proceeds to the earliest of installments of rent or other charges owing Landlord. Tenant agrees that a notice by Landlord alleging any default shall, at Landlord’s option (the exercise of such option shall be indicated by the inclusion of the words “notice to quit” in such notice), constitute a statutory notice to quit. If Landlord exercises its option to designate a notice of default hereunder as a statutory notice to quit, any grace periods provided for herein shall run concurrently with any statutory notice periods.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16.03    </w:t>
      </w:r>
      <w:r>
        <w:rPr>
          <w:rFonts w:ascii="Times New Roman;sans-serif" w:hAnsi="Times New Roman;sans-serif"/>
          <w:b w:val="false"/>
          <w:color w:val="000000"/>
          <w:sz w:val="22"/>
          <w:u w:val="single"/>
        </w:rPr>
        <w:t>Reimbursement of Expenses</w:t>
      </w:r>
      <w:r>
        <w:rPr>
          <w:rFonts w:ascii="Times New Roman;sans-serif" w:hAnsi="Times New Roman;sans-serif"/>
          <w:b w:val="false"/>
          <w:color w:val="000000"/>
          <w:sz w:val="22"/>
        </w:rPr>
        <w:t xml:space="preserve">.  In the case of termination of this Lease pursuant to this Section 16, Tenant shall reimburse Landlord for all expenses arising out of such termination, including without limitation, all costs incurred in collecting amounts due from Tenant under this Lease (including reasonable attorneys’ fees, costs of litigation and the like); all expenses incurred by Landlord in attempting to relet the Premises or parts thereof (including advertisements, brokerage commissions, Tenant’s allowances, costs of preparing the Premises for other tenants, and the like); all of Landlord’s then unamortized costs of any work allowances provided to Tenant for the Premises; and all Landlord’s other reasonable expenditures necessitated by the termination.  The reimbursement from Tenant shall be due and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payable immediately from time to time upon notice from Landlord that an expense has been incurred, without regard to whether the expense was incurred before or after the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16.04    </w:t>
      </w:r>
      <w:r>
        <w:rPr>
          <w:rFonts w:ascii="Times New Roman;sans-serif" w:hAnsi="Times New Roman;sans-serif"/>
          <w:b w:val="false"/>
          <w:color w:val="000000"/>
          <w:sz w:val="22"/>
          <w:u w:val="single"/>
        </w:rPr>
        <w:t>Damages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(a)In the event of a termination of this Lease pursuant to this Section 16, in lieu of all damages set forth in Section 16.04(b) below and beyond the date of such demand, Landlord may elect by written notice to Tenant within six (6) months following such termination to recover, as liquidated damages, an amount equal to the then present value of the amount of Base Rent and Additional Rent which would have been paid in accordance with this Lease for the remainder of the Term and if the terms of this Lease had been fully complied with by Tenant, minus the then present value of the aggregate fair market rent payable for the Premises for the remainder of the Term (if less than the Base Rent and Additional Rent payable hereunder), estimated as of the date of Landlord’s election, and taking into account reasonable projections of vacancy and time required to re-lease the Premises, plus (ii) the amount of Base Rent and Additional Rent of any kind accrued and unpaid at the time of Landlord’s election, and minus (iii) the amount of any recovery by Landlord under the foregoing provisions of this Section 16 up to the time of payment of such liquidated damages (but reduced by any amounts of reimbursement under Section 16.03).  For the purposes of calculating the rent which would have been paid hereunder for the calculation described above, the last full year’s Additional Rent under Section 4 is to be deemed constant for each year thereafter.  The Federal Reserve discount rate (or equivalent) shall be used in calculating present values.  Should the parties be unable to agree on a fair market rent, the matter shall be submitted, upon the demand of either party, to the Boston, Massachusetts office of the American Arbitration Association, with a request for arbitration in accordance with the rules of the Association by a single arbitrator who shall be an MAI appraiser with at least ten years’ experience as an appraiser of major office buildings in downtown Boston.  The parties agree that a decision of the arbitrator shall be conclusive and binding upon them.  If and for so long as Landlord does not make the election provided for in this Section 16.04 above, Tenant shall indemnify Landlord for the loss of rent by a payment at the end of each month which would have been included in the Term, representing the excess of the rent which would have been paid in accordance with this Lease (i.e., Base Rent and Additional Rent that would have been payable to be ascertained monthly) over the rent actually derived from the Premises by Landlord for such month (the amount of rent deemed derived shall be the actual amount less any portion thereof attributable to Landlord’s reletting expenses described in Section 16.03 which have not been reimbursed by Tenant thereunder). </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(b)In the event of a termination of this Lease pursuant to this Section 16, and in lieu of all damages set forth in Section 16.04(a) and all damages beyond the date of such demand, Landlord may, by written notice to Tenant given within six (6) months after termination under any of the provisions contained in Section 16 and before such full recovery, elect to recover, and Tenant shall thereupon pay, as liquidated damages, an amount equal to (i) the aggregate of the Base Rent and Additional Rent for the twelve-month period ending one year after the termination date (or, if lesser, for the balance of the Term had it not been terminated) if the terms of this Lease had been fully complied with by Tenant, plus (ii) the amount of Base Rent and Additional Rent of any kind accrued and unpaid at the time of termination, and minus (iii) the amount of any recovery by Landlord under the foregoing provisions of this Section 16 up to the time of payment of such liquidated damages (but reduced by any amounts of reimbursement under Section 16.03). The amount under clause (i) represents a reasonable forecast of the minimum damages expected to occur in the event of a breach, taking into account the uncertainty, time and cost of determining elements relevant to actual</w:t>
        <w:br/>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br/>
        <w:t>damages, such as fair market rent, time and costs that may be required to re-lease the Premises, and other factors. Liquidated damages hereunder shall not be in lieu of any claims for reimbursement under Section 16.03.</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(c)To the extent required by applicable Laws, Landlord shall use commercially reasonable efforts to mitigate any damages caused by a Default by Tenant. Any obligation imposed by law or by this Lease upon Landlord to relet the Premises after any termination of the Lease shall be subject to the reasonable requirements of Landlord to lease to high quality tenants on such terms as Landlord may from time to time deem appropriate and to develop the Building in a harmonious manner with an appropriate mix of uses, tenants, floor areas and terms of tenancies, and the like, and Landlord shall not be obligated to relet the Premises to any party to whom Landlord or its affiliate may desire to lease other available space in the Building.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16.05    </w:t>
      </w:r>
      <w:r>
        <w:rPr>
          <w:rFonts w:ascii="Times New Roman;sans-serif" w:hAnsi="Times New Roman;sans-serif"/>
          <w:b w:val="false"/>
          <w:color w:val="000000"/>
          <w:sz w:val="22"/>
          <w:u w:val="single"/>
        </w:rPr>
        <w:t>Intentionally Deleted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16.06    </w:t>
      </w:r>
      <w:r>
        <w:rPr>
          <w:rFonts w:ascii="Times New Roman;sans-serif" w:hAnsi="Times New Roman;sans-serif"/>
          <w:b w:val="false"/>
          <w:color w:val="000000"/>
          <w:sz w:val="22"/>
          <w:u w:val="single"/>
        </w:rPr>
        <w:t>Claims in Bankruptcy</w:t>
      </w:r>
      <w:r>
        <w:rPr>
          <w:rFonts w:ascii="Times New Roman;sans-serif" w:hAnsi="Times New Roman;sans-serif"/>
          <w:b w:val="false"/>
          <w:color w:val="000000"/>
          <w:sz w:val="22"/>
        </w:rPr>
        <w:t xml:space="preserve">. Nothing herein shall limit or prejudice the right of Landlord to prove and obtain in a proceeding for bankruptcy, insolvency, arrangement or reorganization, by reason of the termination, an amount equal to the maximum allowed by a statute or law in effect at the time when, and governing the proceedings in which, the damages are to be proved, whether or not the amount is greater to, equal to, or less than the amount of the loss or damage which Landlord has suffered.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16.07    </w:t>
      </w:r>
      <w:r>
        <w:rPr>
          <w:rFonts w:ascii="Times New Roman;sans-serif" w:hAnsi="Times New Roman;sans-serif"/>
          <w:b w:val="false"/>
          <w:color w:val="000000"/>
          <w:sz w:val="22"/>
          <w:u w:val="single"/>
        </w:rPr>
        <w:t>Late Charges and Fees</w:t>
      </w:r>
      <w:r>
        <w:rPr>
          <w:rFonts w:ascii="Times New Roman;sans-serif" w:hAnsi="Times New Roman;sans-serif"/>
          <w:b w:val="false"/>
          <w:color w:val="000000"/>
          <w:sz w:val="22"/>
        </w:rPr>
        <w:t>.  If Tenant does not pay any Rent within ten (10) days of the date when due hereunder, then following notice and in addition to all other remedies hereunder, Tenant shall pay to Landlord interest on such unpaid amount at the rate of one and one half percent (1.5%) per month from the date such amount was due until the date paid (which interest, as accrued to date, shall be payable from time to time within thirty (30) days following Tenant’s receipt of Landlord’s written demand therefor); provided, however, in no event shall such interest exceed the maximum amount permitted to be charged by applicable Law; and provided further that such interest shall not apply with respect to the first late payment in any twelve (12) consecutive month period. In addition, Tenant shall pay to Landlord a reasonable fee for any checks returned by Tenant’s bank for any reason.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16.08    </w:t>
      </w:r>
      <w:r>
        <w:rPr>
          <w:rFonts w:ascii="Times New Roman;sans-serif" w:hAnsi="Times New Roman;sans-serif"/>
          <w:b w:val="false"/>
          <w:color w:val="000000"/>
          <w:sz w:val="22"/>
          <w:u w:val="single"/>
        </w:rPr>
        <w:t>Enforcement Costs</w:t>
      </w:r>
      <w:r>
        <w:rPr>
          <w:rFonts w:ascii="Times New Roman;sans-serif" w:hAnsi="Times New Roman;sans-serif"/>
          <w:b w:val="false"/>
          <w:color w:val="000000"/>
          <w:sz w:val="22"/>
        </w:rPr>
        <w:t>.  Tenant shall pay to Landlord, as Additional Rent, the costs and expenses, including reasonable attorneys’ fees, incurred in enforcing any obligations of Tenant under this Lease upon the occurrence of and during the continuance of a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16.09    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The repossession or re-entering of all or any part of the Premises shall not relieve Tenant of its liabilities and obligations under this Lease. Except as provided in this Lease, no right or remedy of either party shall be exclusive of any other right or remedy, and each right and remedy shall be cumulative and in addition to any other right and remedy now or subsequently available to such party at law or in equity. Without limiting the generality of the foregoing, in addition to the other remedies provided in this Lease, either party shall be entitled to pursue the restraint by court order of the violation of any of the provisions of this Lease or of applicable Law or to a decree compelling specific performance of any such provisions. </w:t>
      </w:r>
    </w:p>
    <w:p>
      <w:pPr>
        <w:pStyle w:val="TextBody"/>
        <w:bidi w:val="0"/>
        <w:spacing w:lineRule="auto" w:line="240" w:before="0" w:after="240"/>
        <w:ind w:left="0" w:right="0" w:hanging="720"/>
        <w:jc w:val="left"/>
        <w:rPr/>
      </w:pPr>
      <w:r>
        <w:rPr>
          <w:rFonts w:ascii="Times New Roman;sans-serif" w:hAnsi="Times New Roman;sans-serif"/>
          <w:b/>
          <w:color w:val="010000"/>
          <w:sz w:val="22"/>
        </w:rPr>
        <w:t>17.</w:t>
      </w:r>
      <w:r>
        <w:rPr>
          <w:rFonts w:ascii="Times New Roman;sans-serif" w:hAnsi="Times New Roman;sans-serif"/>
          <w:b/>
          <w:color w:val="000000"/>
          <w:sz w:val="22"/>
        </w:rPr>
        <w:t>Limitation of Liability.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17.01    </w:t>
      </w:r>
      <w:r>
        <w:rPr>
          <w:rFonts w:ascii="Times New Roman;sans-serif" w:hAnsi="Times New Roman;sans-serif"/>
          <w:b w:val="false"/>
          <w:color w:val="000000"/>
          <w:sz w:val="22"/>
          <w:u w:val="single"/>
        </w:rPr>
        <w:t>Landlord’s Liability</w:t>
      </w:r>
      <w:r>
        <w:rPr>
          <w:rFonts w:ascii="Times New Roman;sans-serif" w:hAnsi="Times New Roman;sans-serif"/>
          <w:b w:val="false"/>
          <w:color w:val="000000"/>
          <w:sz w:val="22"/>
        </w:rPr>
        <w:t xml:space="preserve">.  Tenant agrees from time to time to look only to Landlord’s interest in the Building and the proceeds therefrom (which shall include, without limitation, rents and insurance and sales proceeds) for satisfaction of any claim against Landlord hereunder or under any other instrument related to the Lease (including any separate agreements among the parties and any notices or certificates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delivered by Landlord) and not to any other property or assets of Landlord.  If Landlord from time to time transfers its interest in the Building (or part thereof which includes the Premises), then from and after each such transfer, and the transferee’s written assumption of Landlord’s obligations under this Lease, Tenant shall look solely to the interests in the Building of each of Landlord’s transferees for the performance of all of the obligations of Landlord hereunder (or under any related instrument) thereafter accruing.  The obligations of Landlord shall not be binding on any direct or indirect partners (or members, trustees or beneficiaries) of Landlord or of any successor, individually, but only upon Landlord’s or such successor’s interest described above. If Landlord shall refuse or fail to provide any consent or approval for any matter for which Landlord’s consent or approval is required under this Lease or is otherwise requested by Tenant, Landlord shall not be liable for damages as a result thereof, and Tenant’s sole remedy to enforce any alleged obligation of Landlord to provide such consent or approval shall be an action for specific performance, injunction, or declaratory relief; provided that this sentence shall not prevent Tenant from pursuing a claim, if made in good faith in accordance with the terms and conditions of this Lease, for direct damages (and not for any other damages, such as indirect or consequential damages) to the extent caused by a refusal by Landlord to provide such consent or approval where Landlord was obligated to provide such consent or approval under the terms and conditions of this Lease and such refusal was made in bad faith disregard of such obligations under this 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17.02    </w:t>
      </w:r>
      <w:r>
        <w:rPr>
          <w:rFonts w:ascii="Times New Roman;sans-serif" w:hAnsi="Times New Roman;sans-serif"/>
          <w:b w:val="false"/>
          <w:color w:val="000000"/>
          <w:sz w:val="22"/>
          <w:u w:val="single"/>
        </w:rPr>
        <w:t>Assignment of Rents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(a)</w:t>
      </w:r>
      <w:r>
        <w:rPr>
          <w:rFonts w:ascii="Times New Roman;sans-serif" w:hAnsi="Times New Roman;sans-serif"/>
          <w:b w:val="false"/>
          <w:color w:val="000000"/>
          <w:sz w:val="22"/>
        </w:rPr>
        <w:t>With reference to any assignment by Landlord of Landlord’s interest in this Lease, or the rents payable hereunder, conditional in nature or otherwise, which assignment is made to the holder of a mortgage on property which includes the Premises, Tenant agrees that the execution thereof by Landlord, and the acceptance thereof by the holder of such mortgage shall never be treated as an assumption by such holder of any of the obligations of Landlord hereunder unless such holder shall, by notice sent to Tenant, specifically otherwise elect and, except as aforesaid, such holder shall be treated as having assumed Landlord’s obligations hereunder only upon foreclosure of such holder’s mortgage and the taking of possession of the Premises.</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(b)</w:t>
      </w:r>
      <w:r>
        <w:rPr>
          <w:rFonts w:ascii="Times New Roman;sans-serif" w:hAnsi="Times New Roman;sans-serif"/>
          <w:b w:val="false"/>
          <w:color w:val="000000"/>
          <w:sz w:val="22"/>
        </w:rPr>
        <w:t>In no event shall the acquisition of Landlord’s interest in the Property by a purchaser which, simultaneously therewith, leases Landlord’s entire interest in the Property back to the seller thereof be treated as an assumption by operation of law or otherwise, of Landlord’s obligations hereunder, but Tenant shall look solely to such seller–lessee, and its successors from time to time in title, for performance of Landlord’s obligations hereunder. For all purposes, such seller–lessee, and its successors in title, shall be the Landlord hereunder unless and until Landlord’s position shall have been assumed by such purchaser–lessor.</w:t>
      </w:r>
    </w:p>
    <w:p>
      <w:pPr>
        <w:pStyle w:val="TextBody"/>
        <w:bidi w:val="0"/>
        <w:spacing w:lineRule="auto" w:line="240" w:before="0" w:after="240"/>
        <w:ind w:left="0" w:right="0" w:firstLine="1440"/>
        <w:jc w:val="both"/>
        <w:rPr/>
      </w:pPr>
      <w:r>
        <w:rPr>
          <w:rFonts w:ascii="Times New Roman;sans-serif" w:hAnsi="Times New Roman;sans-serif"/>
          <w:b w:val="false"/>
          <w:color w:val="010000"/>
          <w:sz w:val="22"/>
        </w:rPr>
        <w:t>(c)</w:t>
      </w:r>
      <w:r>
        <w:rPr>
          <w:rFonts w:ascii="Times New Roman;sans-serif" w:hAnsi="Times New Roman;sans-serif"/>
          <w:b w:val="false"/>
          <w:color w:val="000000"/>
          <w:sz w:val="22"/>
        </w:rPr>
        <w:t>Except as provided in paragraph (b) of this Section 17.02, in the event of any transfer of title to the Property by Landlord, Landlord shall thereafter be entirely freed and relieved from the performance and observance of all covenants and obligations hereunder thereafter accruing.  Tenant hereby agrees to enter into such agreements or instruments as may, from time to time, be reasonably requested in confirmation of the foregoing provided such successor has assumed all obligations of Landlord under this Lease, and if requested by Tenant, Tenant has been provided with a copy of such assignment and assumption (which may be redacted for economic and other confidential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17.03    </w:t>
      </w:r>
      <w:r>
        <w:rPr>
          <w:rFonts w:ascii="Times New Roman;sans-serif" w:hAnsi="Times New Roman;sans-serif"/>
          <w:b w:val="false"/>
          <w:color w:val="000000"/>
          <w:sz w:val="22"/>
          <w:u w:val="single"/>
        </w:rPr>
        <w:t>Landlord Default</w:t>
      </w:r>
      <w:r>
        <w:rPr>
          <w:rFonts w:ascii="Times New Roman;sans-serif" w:hAnsi="Times New Roman;sans-serif"/>
          <w:b w:val="false"/>
          <w:color w:val="000000"/>
          <w:sz w:val="22"/>
        </w:rPr>
        <w:t xml:space="preserve">.  In the event Tenant alleges that Landlord is in default under any of Landlord’s obligations under this Lease, Tenant agrees to give any Mortgagee (as defined in Section 20), a copy of any notice of default which is served upon the Landlord, provided that prior to such notice, Tenant has been notified, in writing (whether by way of notice of an assignment of lease, request to execute an estoppel letter, or otherwise), of the address of any such Mortgagee.  Tenant further agrees that if Landlord shall have failed to cure such default within the time provided by law or such additional time as may be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provided in this Lease or such notice to Landlord, such Mortgagee shall have a period of thirty (30) days after the last date on which Landlord could have cured such default within which such Mortgagee will be permitted, but not be obligated, to cure such default.  If such default cannot be cured within such thirty-(30)-day period, then such Mortgagee shall have such additional time as may be necessary to cure such default, if prior to the end of such thirty-(30)-day period such Mortgagee has commenced and is diligently pursuing such cure or the remedies under the Mortgage necessary for Mortgagee to be able to effect such cure, in which event Tenant shall have no right with respect to such default while such cure and remedies are being diligently pursued by such Mortgagee.  Except as may be expressly provided in this Lease, in no event shall Tenant have the right to terminate the Lease nor shall Tenant’s obligation to pay Base Rent or other charges under this Lease abate based upon any default by Landlord of its obligations under the 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17.04    </w:t>
      </w:r>
      <w:r>
        <w:rPr>
          <w:rFonts w:ascii="Times New Roman;sans-serif" w:hAnsi="Times New Roman;sans-serif"/>
          <w:b w:val="false"/>
          <w:color w:val="000000"/>
          <w:sz w:val="22"/>
          <w:u w:val="single"/>
        </w:rPr>
        <w:t>No Consequential Damages</w:t>
      </w:r>
      <w:r>
        <w:rPr>
          <w:rFonts w:ascii="Times New Roman;sans-serif" w:hAnsi="Times New Roman;sans-serif"/>
          <w:b w:val="false"/>
          <w:color w:val="000000"/>
          <w:sz w:val="22"/>
        </w:rPr>
        <w:t>. Notwithstanding anything to the contrary contained in this Lease, in no event shall Landlord or any Landlord Related Party ever be liable to Tenant or any Tenant Related Party for loss of profits, loss of business, or indirect, consequential, or punitive damages suffered by Tenant or Tenant Related Party from whatever cause, and, except as expressly provided otherwise in Section 18 below, in no event shall Tenant or any Tenant Related Party ever be liable to Landlord or any Landlord Related Party for loss of profits, loss of business, or indirect, consequential, or punitive damages suffered by Landlord or any Landlord Related Party from whatever cause. </w:t>
      </w:r>
    </w:p>
    <w:p>
      <w:pPr>
        <w:pStyle w:val="TextBody"/>
        <w:bidi w:val="0"/>
        <w:spacing w:lineRule="auto" w:line="240" w:before="0" w:after="240"/>
        <w:ind w:left="0" w:right="0" w:hanging="720"/>
        <w:jc w:val="left"/>
        <w:rPr/>
      </w:pPr>
      <w:r>
        <w:rPr>
          <w:rFonts w:ascii="Times New Roman;sans-serif" w:hAnsi="Times New Roman;sans-serif"/>
          <w:b/>
          <w:color w:val="010000"/>
          <w:sz w:val="22"/>
        </w:rPr>
        <w:t>18.</w:t>
      </w:r>
      <w:r>
        <w:rPr>
          <w:rFonts w:ascii="Times New Roman;sans-serif" w:hAnsi="Times New Roman;sans-serif"/>
          <w:b/>
          <w:color w:val="000000"/>
          <w:sz w:val="22"/>
        </w:rPr>
        <w:t>Holding Over.</w:t>
      </w:r>
    </w:p>
    <w:p>
      <w:pPr>
        <w:pStyle w:val="TextBody"/>
        <w:bidi w:val="0"/>
        <w:spacing w:lineRule="auto" w:line="240" w:before="0" w:after="240"/>
        <w:jc w:val="both"/>
        <w:rPr/>
      </w:pPr>
      <w:r>
        <w:rPr>
          <w:rFonts w:ascii="Times New Roman;sans-serif" w:hAnsi="Times New Roman;sans-serif"/>
          <w:b w:val="false"/>
          <w:color w:val="000000"/>
          <w:sz w:val="22"/>
        </w:rPr>
        <w:t xml:space="preserve">If Tenant fails to surrender all or any part of the Premises at the expiration or earlier termination of this Lease, any such occupancy of all or any part of the Premises after such expiration or termination shall be that of a tenancy at sufferance.  Any such occupancy after such expiration or termination shall be subject to all the terms and provisions of this Lease, except that Tenant shall pay an amount for such occupancy (on a per month basis without reduction for partial months during the holdover) equal to </w:t>
      </w:r>
      <w:r>
        <w:rPr>
          <w:rFonts w:ascii="Times New Roman;sans-serif" w:hAnsi="Times New Roman;sans-serif"/>
          <w:b w:val="false"/>
          <w:color w:val="000000"/>
          <w:sz w:val="24"/>
        </w:rPr>
        <w:t>[***]</w:t>
      </w:r>
      <w:r>
        <w:rPr>
          <w:rFonts w:ascii="Times New Roman;sans-serif" w:hAnsi="Times New Roman;sans-serif"/>
          <w:b w:val="false"/>
          <w:color w:val="000000"/>
          <w:sz w:val="22"/>
        </w:rPr>
        <w:t xml:space="preserve">% the Base Rent and </w:t>
      </w:r>
      <w:r>
        <w:rPr>
          <w:rFonts w:ascii="Times New Roman;sans-serif" w:hAnsi="Times New Roman;sans-serif"/>
          <w:b w:val="false"/>
          <w:color w:val="000000"/>
          <w:sz w:val="24"/>
        </w:rPr>
        <w:t>[***]</w:t>
      </w:r>
      <w:r>
        <w:rPr>
          <w:rFonts w:ascii="Times New Roman;sans-serif" w:hAnsi="Times New Roman;sans-serif"/>
          <w:b w:val="false"/>
          <w:color w:val="000000"/>
          <w:sz w:val="22"/>
        </w:rPr>
        <w:t>% of Additional Rent due for the month immediately preceding the holdover. No holdover by Tenant or payment by Tenant after the expiration or earlier termination of this Lease shall be construed to extend the Term or prevent Landlord from immediate recovery of possession of the Premises by summary proceedings or otherwise. In addition, if Tenant holds over for more than thirty (30) days, then Tenant shall be liable to Landlord for all damages and losses that Landlord suffers from the holdover.</w:t>
      </w:r>
    </w:p>
    <w:p>
      <w:pPr>
        <w:pStyle w:val="TextBody"/>
        <w:bidi w:val="0"/>
        <w:spacing w:lineRule="auto" w:line="240" w:before="0" w:after="240"/>
        <w:ind w:left="0" w:right="0" w:hanging="720"/>
        <w:jc w:val="left"/>
        <w:rPr/>
      </w:pPr>
      <w:r>
        <w:rPr>
          <w:rFonts w:ascii="Times New Roman;sans-serif" w:hAnsi="Times New Roman;sans-serif"/>
          <w:b/>
          <w:color w:val="010000"/>
          <w:sz w:val="22"/>
        </w:rPr>
        <w:t>19.</w:t>
      </w:r>
      <w:r>
        <w:rPr>
          <w:rFonts w:ascii="Times New Roman;sans-serif" w:hAnsi="Times New Roman;sans-serif"/>
          <w:b/>
          <w:color w:val="000000"/>
          <w:sz w:val="22"/>
        </w:rPr>
        <w:t>Surrender of Premises.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 the expiration or earlier termination of this Lease or Tenant’s right of possession hereunder, Tenant shall remove all Tenant’s Property from the Premises, remove all Required Removables (if any) under Section 8.03, remove all non-building standard signage installed by or on behalf of Tenant (excluding Tenant’s Elevator Bank Signage, which shall be removed by Landlord at the expiration or earlier termination of this Lease or Tenant’s right of possession hereunder ), and quit and surrender the Premises to Landlord, broom clean, and in good condition and repair, reasonable wear and tear, damage by casualty or the acts of Landlord, and matters for which Landlord is responsible under this Lease, excepted.  Tenant shall repair any damage caused by the installation or removal of Tenant’s Property or Required Removables or signage that Tenant is obligated to remove hereunder.  If Tenant fails to remove any of Tenant’s Property or to restore or repair the Premises to the required condition as provided herein upon the expiration of the Term of this Lease (or, as applicable, within twenty (20) days after any earlier termination of this Lease or Tenant’s right to possession hereunder), then Landlord, at Tenant’s sole cost and expense, shall be entitled, but not obligated, to remove and store Tenant’s Property and/or perform such restoration or repair of the Premises.  Landlord shall not be responsible for the value, preservation, or safekeeping of Tenant’s Property, and Tenant shall pay to Landlord, upon demand, the expenses and storage charges so incurred.  If Tenant fails to remove Tenant’s Property from the Premises or storage, within thirty (30) days after notice, Landlord may deem all or any part of Tenant’s Property to be abandoned and, at Landlord’s option, title to </w:t>
        <w:b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Tenant’s Property shall vest in Landlord or Landlord may dispose of Tenant’s Property in any manner Landlord deems appropriate.</w:t>
      </w:r>
    </w:p>
    <w:p>
      <w:pPr>
        <w:pStyle w:val="TextBody"/>
        <w:bidi w:val="0"/>
        <w:spacing w:lineRule="auto" w:line="240" w:before="0" w:after="240"/>
        <w:ind w:left="0" w:right="0" w:hanging="720"/>
        <w:jc w:val="left"/>
        <w:rPr/>
      </w:pPr>
      <w:r>
        <w:rPr>
          <w:rFonts w:ascii="Times New Roman;sans-serif" w:hAnsi="Times New Roman;sans-serif"/>
          <w:b/>
          <w:color w:val="010000"/>
          <w:sz w:val="22"/>
        </w:rPr>
        <w:t>20.</w:t>
      </w:r>
      <w:r>
        <w:rPr>
          <w:rFonts w:ascii="Times New Roman;sans-serif" w:hAnsi="Times New Roman;sans-serif"/>
          <w:b/>
          <w:color w:val="000000"/>
          <w:sz w:val="22"/>
        </w:rPr>
        <w:t>Subordination to Mortgages; Estoppel Certificate.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20.01    </w:t>
      </w:r>
      <w:r>
        <w:rPr>
          <w:rFonts w:ascii="Times New Roman;sans-serif" w:hAnsi="Times New Roman;sans-serif"/>
          <w:b w:val="false"/>
          <w:color w:val="000000"/>
          <w:sz w:val="22"/>
          <w:u w:val="single"/>
        </w:rPr>
        <w:t>Subordination</w:t>
      </w:r>
      <w:r>
        <w:rPr>
          <w:rFonts w:ascii="Times New Roman;sans-serif" w:hAnsi="Times New Roman;sans-serif"/>
          <w:b w:val="false"/>
          <w:color w:val="000000"/>
          <w:sz w:val="22"/>
        </w:rPr>
        <w:t>.  This Lease is and shall be subject and subordinate to any mortgage(s), deed(s) of trust, deeds to secure debt, ground lease(s) or other lien(s) now or subsequently arising upon the Premises, the Building or the Property, and to all renewals, modifications, refinancings, and extensions thereof (collectively referred to as a “</w:t>
      </w:r>
      <w:r>
        <w:rPr>
          <w:rFonts w:ascii="Times New Roman;sans-serif" w:hAnsi="Times New Roman;sans-serif"/>
          <w:b w:val="false"/>
          <w:color w:val="000000"/>
          <w:sz w:val="22"/>
          <w:u w:val="single"/>
        </w:rPr>
        <w:t>Mortgage</w:t>
      </w:r>
      <w:r>
        <w:rPr>
          <w:color w:val="000000"/>
        </w:rPr>
        <w:t>”</w:t>
      </w:r>
      <w:r>
        <w:rPr>
          <w:rFonts w:ascii="Times New Roman;sans-serif" w:hAnsi="Times New Roman;sans-serif"/>
          <w:b w:val="false"/>
          <w:color w:val="000000"/>
          <w:sz w:val="22"/>
        </w:rPr>
        <w:t>) subject to the provisions hereof. The party having the benefit of a Mortgage shall be referred to as a “</w:t>
      </w:r>
      <w:r>
        <w:rPr>
          <w:rFonts w:ascii="Times New Roman;sans-serif" w:hAnsi="Times New Roman;sans-serif"/>
          <w:b w:val="false"/>
          <w:color w:val="000000"/>
          <w:sz w:val="22"/>
          <w:u w:val="single"/>
        </w:rPr>
        <w:t>Mortgagee</w:t>
      </w:r>
      <w:r>
        <w:rPr>
          <w:color w:val="000000"/>
        </w:rPr>
        <w:t>”</w:t>
      </w:r>
      <w:r>
        <w:rPr>
          <w:rFonts w:ascii="Times New Roman;sans-serif" w:hAnsi="Times New Roman;sans-serif"/>
          <w:b w:val="false"/>
          <w:color w:val="000000"/>
          <w:sz w:val="22"/>
        </w:rPr>
        <w:t xml:space="preserve">. This clause shall be self-operative, but upon request from Landlord or a Mortgagee, Tenant shall execute a subordination agreement in favor of the Mortgagee in such Mortgagee’s standard form, with such commercially reasonable changes as Tenant may request that are acceptable to Mortgagee for other comparable leases in the Building.  As an alternative, any Mortgagee shall have the right at any time to subordinate its Mortgage to this Lease.  Upon request, Tenant, without charge, shall attorn to any successor to Landlord’s interest in this Lease. In the event Mortgagee enforces it rights under the Mortgage, Tenant, at Mortgagee’s option, will attorn to Mortgagee or its successor; provided, however, that Mortgagee or its successor shall not be liable for or bound by (i) any payment of any Rent installment which may have been made more than thirty (30) days before the due date of such installment, (ii) any act or omission of or default by Landlord under this Lease (but Mortgagee, or such successor, shall be subject to the continuing obligations of landlord under the Lease arising from and after such succession, but only to the extent of Mortgagee’s, or such successor’s, interest in the Property as provided in Section 17), (iii) any credits, claims, setoffs or defenses which Tenant may have against Landlord, or (iv) any obligation under this Lease to maintain a fitness facility at the Building, if any.  Tenant, upon the reasonable request by Mortgagee or such successor in interest, shall execute and deliver an instrument or instruments confirming such attornment.  Concurrently with the execution of this Lease, Landlord will obtain from the existing Mortgagee, a subordination, non-disturbance and attornment agreement in the form attached hereto as </w:t>
      </w:r>
      <w:r>
        <w:rPr>
          <w:rFonts w:ascii="Times New Roman;sans-serif" w:hAnsi="Times New Roman;sans-serif"/>
          <w:b w:val="false"/>
          <w:color w:val="000000"/>
          <w:sz w:val="22"/>
          <w:u w:val="single"/>
        </w:rPr>
        <w:t>Exhibit H</w:t>
      </w:r>
      <w:r>
        <w:rPr>
          <w:color w:val="000000"/>
        </w:rPr>
        <w:t xml:space="preserve"> </w:t>
      </w:r>
      <w:r>
        <w:rPr>
          <w:rFonts w:ascii="Times New Roman;sans-serif" w:hAnsi="Times New Roman;sans-serif"/>
          <w:b w:val="false"/>
          <w:color w:val="000000"/>
          <w:sz w:val="22"/>
        </w:rPr>
        <w:t>(an “</w:t>
      </w:r>
      <w:r>
        <w:rPr>
          <w:rFonts w:ascii="Times New Roman;sans-serif" w:hAnsi="Times New Roman;sans-serif"/>
          <w:b w:val="false"/>
          <w:color w:val="000000"/>
          <w:sz w:val="22"/>
          <w:u w:val="single"/>
        </w:rPr>
        <w:t>SNDA</w:t>
      </w:r>
      <w:r>
        <w:rPr>
          <w:color w:val="000000"/>
        </w:rPr>
        <w:t>”</w:t>
      </w:r>
      <w:r>
        <w:rPr>
          <w:rFonts w:ascii="Times New Roman;sans-serif" w:hAnsi="Times New Roman;sans-serif"/>
          <w:b w:val="false"/>
          <w:color w:val="000000"/>
          <w:sz w:val="22"/>
        </w:rPr>
        <w:t xml:space="preserve">). Notwithstanding anything in this Section 20.01 to the contrary, as a condition precedent to the subordination of this Lease to a future Mortgage, Landlord shall be required to provide Tenant with an SNDA in favor of Tenant from such future Mortgagee on such Mortgagee’s standard form, with such commercially reasonable changes as Tenant may reasonably request that are reasonably acceptable to Mortgagee.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20.02    </w:t>
      </w:r>
      <w:r>
        <w:rPr>
          <w:rFonts w:ascii="Times New Roman;sans-serif" w:hAnsi="Times New Roman;sans-serif"/>
          <w:b w:val="false"/>
          <w:color w:val="000000"/>
          <w:sz w:val="22"/>
          <w:u w:val="single"/>
        </w:rPr>
        <w:t>Modification of Lease</w:t>
      </w:r>
      <w:r>
        <w:rPr>
          <w:rFonts w:ascii="Times New Roman;sans-serif" w:hAnsi="Times New Roman;sans-serif"/>
          <w:b w:val="false"/>
          <w:color w:val="000000"/>
          <w:sz w:val="22"/>
        </w:rPr>
        <w:t>. If any Mortgagee requires a modification of this Lease, which modification will not cause an increased cost or expense to Tenant or in any other way materially and adversely change the rights and obligations of Tenant hereunder, Tenant agrees that this Lease may be so modified and agrees to execute whatever documents are reasonably required therefor and to deliver the same to Landlord within ten (10) Business Days following a request therefor. At the request of Landlord or any Mortgagee, Tenant agrees to execute a short form of this Lease and deliver the same to Landlord within ten (10) Business Days following the request therefor.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20.03    </w:t>
      </w:r>
      <w:r>
        <w:rPr>
          <w:rFonts w:ascii="Times New Roman;sans-serif" w:hAnsi="Times New Roman;sans-serif"/>
          <w:b w:val="false"/>
          <w:color w:val="000000"/>
          <w:sz w:val="22"/>
          <w:u w:val="single"/>
        </w:rPr>
        <w:t>Estoppel Certificate</w:t>
      </w:r>
      <w:r>
        <w:rPr>
          <w:rFonts w:ascii="Times New Roman;sans-serif" w:hAnsi="Times New Roman;sans-serif"/>
          <w:b w:val="false"/>
          <w:color w:val="000000"/>
          <w:sz w:val="22"/>
        </w:rPr>
        <w:t>.  Either party shall, within fifteen (15) days after receipt of a written request from the other, execute and deliver a commercially reasonable estoppel certificate addressed to such parties and any parties reasonably requested by such party, such as, in the case of Landlord, a current or prospective Mortgagee or purchaser of the Building.  Without limitation, such estoppel certificate may include a certification as to the status of this Lease and any particular obligations thereunder, the existence of any defaults, and the amount of Rent that is then due and payable.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20.04    </w:t>
      </w:r>
      <w:r>
        <w:rPr>
          <w:rFonts w:ascii="Times New Roman;sans-serif" w:hAnsi="Times New Roman;sans-serif"/>
          <w:b w:val="false"/>
          <w:color w:val="000000"/>
          <w:sz w:val="22"/>
          <w:u w:val="single"/>
        </w:rPr>
        <w:t>Tenant Information</w:t>
      </w:r>
      <w:r>
        <w:rPr>
          <w:rFonts w:ascii="Times New Roman;sans-serif" w:hAnsi="Times New Roman;sans-serif"/>
          <w:b w:val="false"/>
          <w:color w:val="000000"/>
          <w:sz w:val="22"/>
        </w:rPr>
        <w:t xml:space="preserve">.  Upon Landlord’s request from time to time, Tenant shall provide to Landlord the financial statements for Tenant and any guarantor for its most recent fiscal year and fiscal quarter.  Financial statements for each fiscal year shall be prepared and certified by a certified public accountant; financial statements for each quarter shall be prepared and certified by Tenant’s or any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guarantor’s chief financial officer.  If requested by Tenant, such financial statements shall be furnished pursuant to a confidentiality agreement in a form reasonably provided by Landlord for such purpose. Notwithstanding the foregoing, Landlord agrees that, as long as Tenant is a public company, Tenant shall not be required to provide any information pursuant to this Section 20.04.</w:t>
      </w:r>
    </w:p>
    <w:p>
      <w:pPr>
        <w:pStyle w:val="TextBody"/>
        <w:bidi w:val="0"/>
        <w:spacing w:lineRule="auto" w:line="240" w:before="0" w:after="240"/>
        <w:ind w:left="0" w:right="0" w:hanging="720"/>
        <w:jc w:val="left"/>
        <w:rPr/>
      </w:pPr>
      <w:r>
        <w:rPr>
          <w:rFonts w:ascii="Times New Roman;sans-serif" w:hAnsi="Times New Roman;sans-serif"/>
          <w:b/>
          <w:color w:val="010000"/>
          <w:sz w:val="22"/>
        </w:rPr>
        <w:t>21.</w:t>
      </w:r>
      <w:r>
        <w:rPr>
          <w:rFonts w:ascii="Times New Roman;sans-serif" w:hAnsi="Times New Roman;sans-serif"/>
          <w:b/>
          <w:color w:val="000000"/>
          <w:sz w:val="22"/>
        </w:rP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21.01    </w:t>
      </w:r>
      <w:r>
        <w:rPr>
          <w:rFonts w:ascii="Times New Roman;sans-serif" w:hAnsi="Times New Roman;sans-serif"/>
          <w:b w:val="false"/>
          <w:color w:val="000000"/>
          <w:sz w:val="22"/>
          <w:u w:val="single"/>
        </w:rPr>
        <w:t>Measurement of Floor Area</w:t>
      </w:r>
      <w:r>
        <w:rPr>
          <w:rFonts w:ascii="Times New Roman;sans-serif" w:hAnsi="Times New Roman;sans-serif"/>
          <w:b w:val="false"/>
          <w:color w:val="000000"/>
          <w:sz w:val="22"/>
        </w:rPr>
        <w:t xml:space="preserve">. Landlord and Tenant stipulate and agree that the Rentable Floor Area of the Premises originally leased to Tenant shall be conclusively deemed to be as specified in Section 1 and that the Rentable Floor Area of the Building is as specified in Section 1 as of the Effective Date.  Any change in the Rentable Floor Area of the Premises on account of expansion shall be conclusively deemed to be as specified in any applicable expansion provisions under </w:t>
      </w:r>
      <w:r>
        <w:rPr>
          <w:rFonts w:ascii="Times New Roman;sans-serif" w:hAnsi="Times New Roman;sans-serif"/>
          <w:b w:val="false"/>
          <w:color w:val="000000"/>
          <w:sz w:val="22"/>
          <w:u w:val="single"/>
        </w:rPr>
        <w:t xml:space="preserve">Exhibit </w:t>
      </w:r>
      <w:hyperlink w:anchor="if9007981896147a6b199228f5a8da41b_13">
        <w:r>
          <w:rPr>
            <w:rStyle w:val="InternetLink"/>
          </w:rPr>
          <w:t>F</w:t>
        </w:r>
      </w:hyperlink>
      <w:r>
        <w:rPr>
          <w:color w:val="000000"/>
        </w:rPr>
        <w:t xml:space="preserve"> </w:t>
      </w:r>
      <w:r>
        <w:rPr>
          <w:rFonts w:ascii="Times New Roman;sans-serif" w:hAnsi="Times New Roman;sans-serif"/>
          <w:b w:val="false"/>
          <w:color w:val="000000"/>
          <w:sz w:val="22"/>
        </w:rPr>
        <w:t>(if any) or in any amendment hereafter executed by Landlord and Tenant in connection with such expansion (if any).  Any other change in the Rentable Floor Area of the Premises on account of casualty, condemnation, or the like shall be determined in accordance with the measurement standard that was originally used to determine the stipulated Rentable Floor Area for the space in question.  Any change in the Rentable Floor Area of the Building on account of casualty, condemnation, or the like shall be determined from time to time by Landlord based on area computations supplied by Landlord’s architect, which determinations shall be conclusive absent manifest error.  References in this Lease to floor area measurements and square footage shall mean Rentable Floor Area unless the reference explicitly provides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21.02    </w:t>
      </w:r>
      <w:r>
        <w:rPr>
          <w:rFonts w:ascii="Times New Roman;sans-serif" w:hAnsi="Times New Roman;sans-serif"/>
          <w:b w:val="false"/>
          <w:color w:val="000000"/>
          <w:sz w:val="22"/>
          <w:u w:val="single"/>
        </w:rPr>
        <w:t>Notice of Lease</w:t>
      </w:r>
      <w:r>
        <w:rPr>
          <w:rFonts w:ascii="Times New Roman;sans-serif" w:hAnsi="Times New Roman;sans-serif"/>
          <w:b w:val="false"/>
          <w:color w:val="000000"/>
          <w:sz w:val="22"/>
        </w:rPr>
        <w:t>. Tenant shall not record this Lease or any memorandum or notice without Landlord’s prior written consent in Landlord’s sole discretion; provided, however, that Landlord agrees to consent to the recording of a memorandum or notice of this Lease, at Tenant’s cost and expense and in a form reasonably satisfactory to Landlord, if the initial term of this Lease together with any extension terms granted hereunder (if any) exceed, in the aggregate, the applicable statutory period for notice of leases in the state in which the Building is located. If this Lease is terminated before the Term expires, upon Landlord’s request the parties shall execute, deliver and record an instrument acknowledging such termination date of this Lease, and Tenant appoints Landlord its attorney-in-fact in its name and behalf to execute the instrument if Tenant shall fail to execute and deliver the instrument after Landlord’s request therefor within ten (10) days. Notwithstanding the foregoing, so long as Tenant is a publicly traded entity, if and as required, Tenant may file a copy of this Lease with Tenant’s filings with the Securities Exchange Commission.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21.03    </w:t>
      </w:r>
      <w:r>
        <w:rPr>
          <w:rFonts w:ascii="Times New Roman;sans-serif" w:hAnsi="Times New Roman;sans-serif"/>
          <w:b w:val="false"/>
          <w:color w:val="000000"/>
          <w:sz w:val="22"/>
          <w:u w:val="single"/>
        </w:rPr>
        <w:t>Governing Law, Etc</w:t>
      </w:r>
      <w:r>
        <w:rPr>
          <w:rFonts w:ascii="Times New Roman;sans-serif" w:hAnsi="Times New Roman;sans-serif"/>
          <w:b w:val="false"/>
          <w:color w:val="000000"/>
          <w:sz w:val="22"/>
        </w:rPr>
        <w:t xml:space="preserve">. This Lease shall be interpreted and enforced in accordance with the Laws of the state or commonwealth in which the Building is located and Landlord and Tenant hereby irrevocably consent to the jurisdiction and proper venue of such state or commonwealth. This Lease contains all of the agreements and understandings between Landlord and Tenant with respect to the Premises and supersedes all prior writings and dealings between them with respect thereto, including all lease proposals, letters of intent and other documents. Neither party is relying upon any warranty, statement or representation not contained in this Lease. If any term or provision of this Lease shall to any extent be void or unenforceable, the remainder of this Lease shall not be affected. This Lease may be amended only by a writing signed by all of the parties hereto. The titles are for convenience only and shall not be considered a part of the Lease. Where the phrases “persons acting under Tenant” or “persons claiming under Tenant” or similar phrases are used, such persons shall include subtenants, sub-subtenants, and licensees, and all employees, agents, independent contractors and invitees of Tenant or of such other parties. The enumeration of specific examples of or inclusions in a general provision shall not be construed as a limitation of the general provision. If Tenant is granted any extension option, expansion option, or other right or option, the exercise of such right or option (and notice thereof) must be irrevocable to be effective, time always being of the essence to the exercise of such right or option; and if Tenant purports to condition the exercise of any option or to vary its terms in any manner except as otherwise permitted under this Lease, </w:t>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 xml:space="preserve">then the option granted shall be void and the purported exercise shall be ineffective. Nothing herein shall be construed as creating the relationship between Landlord and Tenant of principal and agent, or of partners or joint venturers, or any relationship other than landlord and tenant. If there is more than one Tenant or if Tenant is comprised of more than one party or entity, the obligations imposed upon Tenant shall be joint and several obligations of all such parties and entities, any requests or demands from any one person or entity comprising Tenant shall be deemed to have been made by all such persons or entities, and notices to any one person or entity comprising Tenant shall be deemed to have been given to all such persons and entities. Tenant’s covenants contained in this Lease are independent and not dependent, and Tenant hereby waives the benefit of any statute or judicial law to the contrary. Except as expressly provided in this Lease, Tenant’s obligation to pay Rent shall not be discharged or otherwise affected by any law or regulation now or hereafter applicable to the Premises, or any other restriction on Tenant’s use, or any casualty or taking, or any failure by Landlord to perform any covenant contained herein, or any other occurrence; and no termination or abatement remedy that is not expressly provided for in this Lease for any breach or failure by Landlord to perform any obligation under this Lease shall be implied or applicable as a matter of law.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21.04    </w:t>
      </w:r>
      <w:r>
        <w:rPr>
          <w:rFonts w:ascii="Times New Roman;sans-serif" w:hAnsi="Times New Roman;sans-serif"/>
          <w:b w:val="false"/>
          <w:color w:val="000000"/>
          <w:sz w:val="22"/>
          <w:u w:val="single"/>
        </w:rPr>
        <w:t>Representations</w:t>
      </w:r>
      <w:r>
        <w:rPr>
          <w:rFonts w:ascii="Times New Roman;sans-serif" w:hAnsi="Times New Roman;sans-serif"/>
          <w:b w:val="false"/>
          <w:color w:val="000000"/>
          <w:sz w:val="22"/>
        </w:rPr>
        <w:t>.  Each party represents and warrants to the other party, and agrees, that each individual executing this Lease on behalf of such party is authorized to do so on behalf of such party and that such party is not (i) in violation of any Laws relating to terrorism or money laundering, or (ii) among the individuals or entities with whom U.S. persons or entities are restricted from doing business under regulations of the Office of Foreign Assets Control (“</w:t>
      </w:r>
      <w:r>
        <w:rPr>
          <w:rFonts w:ascii="Times New Roman;sans-serif" w:hAnsi="Times New Roman;sans-serif"/>
          <w:b w:val="false"/>
          <w:color w:val="000000"/>
          <w:sz w:val="22"/>
          <w:u w:val="single"/>
        </w:rPr>
        <w:t>OFAC</w:t>
      </w:r>
      <w:r>
        <w:rPr>
          <w:color w:val="000000"/>
        </w:rPr>
        <w:t>”</w:t>
      </w:r>
      <w:r>
        <w:rPr>
          <w:rFonts w:ascii="Times New Roman;sans-serif" w:hAnsi="Times New Roman;sans-serif"/>
          <w:b w:val="false"/>
          <w:color w:val="000000"/>
          <w:sz w:val="22"/>
        </w:rPr>
        <w:t>) of the Department of the Treasury (including those named on OFAC’s Specially Designated Nationals and Blocked Persons List for the purpose of identifying suspected terrorists or on the most current list published by the U.S. Treasury Department Office of Foreign Assets Control at its official website, http://www.treasury.gov/resource-center/sanctions/SDN-List/Pages/default.aspx or any replacement website or other replacement official publication of such list) or under any statute, executive order (including the September 24, 2001, Executive Order Blocking Property and Prohibiting Transactions with Persons Who Commit, Threaten to Commit, or Support Terrorism, known as Executive Order 13224), or other governmental action and such party will not Transfer this Lease to, contract with or otherwise engage in any dealings or transactions or be otherwise associated with such persons or entities.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21.05    </w:t>
      </w:r>
      <w:r>
        <w:rPr>
          <w:rFonts w:ascii="Times New Roman;sans-serif" w:hAnsi="Times New Roman;sans-serif"/>
          <w:b w:val="false"/>
          <w:color w:val="000000"/>
          <w:sz w:val="22"/>
          <w:u w:val="single"/>
        </w:rPr>
        <w:t>Waiver of Trial by Jury; No Other Waiver</w:t>
      </w:r>
      <w:r>
        <w:rPr>
          <w:rFonts w:ascii="Times New Roman;sans-serif" w:hAnsi="Times New Roman;sans-serif"/>
          <w:b w:val="false"/>
          <w:color w:val="000000"/>
          <w:sz w:val="22"/>
        </w:rPr>
        <w:t xml:space="preserve">. Landlord and Tenant hereby waive any right to trial by jury in any proceeding based upon a breach of this Lease. No failure by either party to declare a default immediately upon its occurrence, nor any delay by either party in taking action for a default, nor Landlord’s acceptance of Rent with knowledge of a default by Tenant, shall constitute a waiver of the default, nor shall it constitute an estoppel. The delivery of keys to Landlord or to Landlord’s property manager shall not operate as a termination of this Lease or a surrender of the Premises.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21.06    </w:t>
      </w:r>
      <w:r>
        <w:rPr>
          <w:rFonts w:ascii="Times New Roman;sans-serif" w:hAnsi="Times New Roman;sans-serif"/>
          <w:b w:val="false"/>
          <w:color w:val="000000"/>
          <w:sz w:val="22"/>
          <w:u w:val="single"/>
        </w:rPr>
        <w:t>Time Periods</w:t>
      </w:r>
      <w:r>
        <w:rPr>
          <w:rFonts w:ascii="Times New Roman;sans-serif" w:hAnsi="Times New Roman;sans-serif"/>
          <w:b w:val="false"/>
          <w:color w:val="000000"/>
          <w:sz w:val="22"/>
        </w:rPr>
        <w:t>.  Whenever a period of time is prescribed for the taking of an action by Landlord or Tenant (other than the payment of the Security Deposit or Rent), except as otherwise provided herein, the period of time for the performance of such action shall be extended by the number of days that the performance is actually delayed due to strikes, acts of God, shortages of labor or materials, war, terrorist acts, pandemics, civil disturbances and other causes beyond the reasonable control of the performing party (“</w:t>
      </w:r>
      <w:r>
        <w:rPr>
          <w:rFonts w:ascii="Times New Roman;sans-serif" w:hAnsi="Times New Roman;sans-serif"/>
          <w:b w:val="false"/>
          <w:color w:val="000000"/>
          <w:sz w:val="22"/>
          <w:u w:val="single"/>
        </w:rPr>
        <w:t>Force Majeure</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21.07    </w:t>
      </w:r>
      <w:r>
        <w:rPr>
          <w:rFonts w:ascii="Times New Roman;sans-serif" w:hAnsi="Times New Roman;sans-serif"/>
          <w:b w:val="false"/>
          <w:color w:val="000000"/>
          <w:sz w:val="22"/>
          <w:u w:val="single"/>
        </w:rPr>
        <w:t>Transfer of the Property</w:t>
      </w:r>
      <w:r>
        <w:rPr>
          <w:rFonts w:ascii="Times New Roman;sans-serif" w:hAnsi="Times New Roman;sans-serif"/>
          <w:b w:val="false"/>
          <w:color w:val="000000"/>
          <w:sz w:val="22"/>
        </w:rPr>
        <w:t xml:space="preserve">. Landlord shall have the right from time to time to transfer and assign, in whole or in part, all of its rights and obligations thereafter accruing under this Lease and in the Building and Property but no such transfer or assignment shall affect any provision of this Lease that entitles Tenant to an abatement of Rent or provides Tenant with the right to terminate this Lease. Upon transfer, Landlord shall be released from any further obligations hereunder and Tenant agrees to look solely to the successor in interest of Landlord for the performance of such obligations, to the extent that any successor pursuant to a voluntary, third party transfer (but not as part of an involuntary transfer resulting from a </w:t>
        <w:br/>
        <w:b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foreclosure or deed in lieu thereof) shall have assumed Landlord’s obligations under this Lease from and after the date of the transfer.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21.08    </w:t>
      </w:r>
      <w:r>
        <w:rPr>
          <w:rFonts w:ascii="Times New Roman;sans-serif" w:hAnsi="Times New Roman;sans-serif"/>
          <w:b w:val="false"/>
          <w:color w:val="000000"/>
          <w:sz w:val="22"/>
          <w:u w:val="single"/>
        </w:rPr>
        <w:t>Submission</w:t>
      </w:r>
      <w:r>
        <w:rPr>
          <w:rFonts w:ascii="Times New Roman;sans-serif" w:hAnsi="Times New Roman;sans-serif"/>
          <w:b w:val="false"/>
          <w:color w:val="000000"/>
          <w:sz w:val="22"/>
        </w:rPr>
        <w:t xml:space="preserve">. The submission of this Lease to Tenant or a summary of some or all of its provisions for examination does not constitute a reservation of or option for the Premises or an offer to lease, and no legal obligations shall arise with respect to the Premises or other matters herein unless and until such time as this Lease is executed and delivered by Landlord and Tenant and approved by the holder of any mortgage on the Building having the right to approve this Lease.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21.09    </w:t>
      </w:r>
      <w:r>
        <w:rPr>
          <w:rFonts w:ascii="Times New Roman;sans-serif" w:hAnsi="Times New Roman;sans-serif"/>
          <w:b w:val="false"/>
          <w:color w:val="000000"/>
          <w:sz w:val="22"/>
          <w:u w:val="single"/>
        </w:rPr>
        <w:t>Brokers</w:t>
      </w:r>
      <w:r>
        <w:rPr>
          <w:rFonts w:ascii="Times New Roman;sans-serif" w:hAnsi="Times New Roman;sans-serif"/>
          <w:b w:val="false"/>
          <w:color w:val="000000"/>
          <w:sz w:val="22"/>
        </w:rPr>
        <w:t>.  Tenant represents that it has dealt directly with and only with the Broker (described in Section 1) as a broker, agent or finder in connection with this Lease.  Tenant shall indemnify and hold Landlord and the Landlord Related Parties harmless from all claims of any other brokers, agents or finders claiming to have represented Tenant in connection with this Lease. Landlord shall be responsible to pay all commissions and fees due to the Broker pursuant to a separate agreement. Landlord shall indemnify and hold Tenant and the Tenant Related Parties harmless from all claims of the Broker, and any other brokers, agents or finders claiming to have represented Landlord in connection with this Lease.  Any assistance rendered by any agent or employee of Landlord in connection with this Lease or any subsequent amendment or modification or any other document related hereto has been or will be made as an accommodation to Tenant solely in furtherance of consummating the transaction on behalf of Landlord, and not as agent for Tenant.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21.10    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The expiration of the Term, whether by lapse of time, termination or otherwise, shall not relieve either party of any obligations that accrued prior to or which may continue to accrue after the expiration or termination of this Lease.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21.11    </w:t>
      </w:r>
      <w:r>
        <w:rPr>
          <w:rFonts w:ascii="Times New Roman;sans-serif" w:hAnsi="Times New Roman;sans-serif"/>
          <w:b w:val="false"/>
          <w:color w:val="000000"/>
          <w:sz w:val="22"/>
          <w:u w:val="single"/>
        </w:rPr>
        <w:t>Quiet Enjoyment</w:t>
      </w:r>
      <w:r>
        <w:rPr>
          <w:rFonts w:ascii="Times New Roman;sans-serif" w:hAnsi="Times New Roman;sans-serif"/>
          <w:b w:val="false"/>
          <w:color w:val="000000"/>
          <w:sz w:val="22"/>
        </w:rPr>
        <w:t>. This Lease is subject to all easements, restrictions, agreements, and encumbrances of record to the extent in force and applicable. Landlord covenants that Tenant, on paying the Rent and performing the tenant obligations in this Lease, shall peacefully and quietly have, hold and enjoy the Premises, free from any claim by Landlord or persons claiming under Landlord, but subject to all of the terms and provisions hereof, provisions of Law, and rights of record to which this Lease is or may become subordinate. This covenant is in lieu of any other so called quiet enjoyment covenant, either express or implied. This covenant shall be binding upon Landlord and its successors only during its or their respective periods of ownership of the Building.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21.12    </w:t>
      </w:r>
      <w:r>
        <w:rPr>
          <w:rFonts w:ascii="Times New Roman;sans-serif" w:hAnsi="Times New Roman;sans-serif"/>
          <w:b w:val="false"/>
          <w:color w:val="000000"/>
          <w:sz w:val="22"/>
          <w:u w:val="single"/>
        </w:rPr>
        <w:t>Reservations</w:t>
      </w:r>
      <w:r>
        <w:rPr>
          <w:rFonts w:ascii="Times New Roman;sans-serif" w:hAnsi="Times New Roman;sans-serif"/>
          <w:b w:val="false"/>
          <w:color w:val="000000"/>
          <w:sz w:val="22"/>
        </w:rPr>
        <w:t>. This Lease does not grant any rights to light or air over or about the Building. Landlord excepts and reserves exclusively to itself any and all rights not specifically granted to Tenant under this Lease. Landlord reserves the right to make changes to the Property, Building and Common Areas as Landlord deems appropriate provided Tenant’s access to and use of the Premises are not materially adversely affected thereby. Wherever this Lease requires Landlord to provide a customary service or to act in a reasonable manner (whether in incurring an expense, establishing a rule or regulation, providing an approval or consent, or performing any other act), this Lease shall be deemed also to provide that whether such service is customary or such conduct is reasonable shall be determined by reference to the practices of owners of buildings that (i) are comparable to the Building in size, age, class, quality and location, and (ii) at Landlord’s option, have been, or are being prepared to be, certified under the U.S. Green Building Council’s Leadership in Energy and Environmental Design (LEED) rating system or a similar rating system.</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21.13    </w:t>
      </w:r>
      <w:r>
        <w:rPr>
          <w:rFonts w:ascii="Times New Roman;sans-serif" w:hAnsi="Times New Roman;sans-serif"/>
          <w:b w:val="false"/>
          <w:color w:val="000000"/>
          <w:sz w:val="22"/>
          <w:u w:val="single"/>
        </w:rPr>
        <w:t>REIT Provisions</w:t>
      </w:r>
      <w:r>
        <w:rPr>
          <w:rFonts w:ascii="Times New Roman;sans-serif" w:hAnsi="Times New Roman;sans-serif"/>
          <w:b w:val="false"/>
          <w:color w:val="000000"/>
          <w:sz w:val="22"/>
        </w:rPr>
        <w:t xml:space="preserve">. Tenant and Landlord intend that all amounts payable by Tenant to Landlord shall qualify as “rents from real property,” and will otherwise not constitute “unrelated business taxable income” or “impermissible tenant services income,” all within the meaning of Section 856(d) of the Internal Revenue Code of 1986, as amended (the “Code”) and the U.S. Department of Treasury Regulations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promulgated thereunder (the “Regulations”). In the event that Landlord determines that there is any risk that any amount payable under this Lease may not qualify as “rents from real property” or will otherwise constitute impermissible tenant services income within the meaning of Section 856(d) of the Code and the Regulations, Tenant agrees to (a) cooperate with Landlord by entering into such amendment or amendments as Landlord deems necessary to qualify all amounts payable under this Lease as “rents from real property,” and (b) permit (and, upon request, to acknowledge in writing) an assignment of the obligation to provide certain services under the Lease, and, upon request, to enter into direct agreements with the parties furnishing such services (which shall include, but not be limited to, a taxable REIT subsidiary of Landlord). Notwithstanding the foregoing, Tenant shall not be required to take any action pursuant to the preceding sentence (including acknowledging in writing an assignment of services pursuant thereto) if such action would result in (i) Tenant incurring more than de minimis additional liability under this Lease, or (ii) more than a de minimis negative change in the quality or level of Building operations or services rendered to Tenant under this Lease. For the avoidance of doubt: (A) if Tenant does not acknowledge in writing an assignment as described in clause (b) above (it being agreed that Tenant shall not unreasonably withhold, condition or delay such acknowledgment so long as the criteria in clauses (i) and (ii) hereinabove are satisfied), then Landlord shall not be released from liability under this Lease with respect to the services so assigned; and (B) nothing in this Section shall limit or otherwise affect Landlord’s ability to assign its entire interest in this Lease to any party as part of a conveyance of Landlord’s ownership interest in the Building.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21.14    </w:t>
      </w:r>
      <w:r>
        <w:rPr>
          <w:rFonts w:ascii="Times New Roman;sans-serif" w:hAnsi="Times New Roman;sans-serif"/>
          <w:b w:val="false"/>
          <w:color w:val="000000"/>
          <w:sz w:val="22"/>
          <w:u w:val="single"/>
        </w:rPr>
        <w:t>Consent</w:t>
      </w:r>
      <w:r>
        <w:rPr>
          <w:rFonts w:ascii="Times New Roman;sans-serif" w:hAnsi="Times New Roman;sans-serif"/>
          <w:b w:val="false"/>
          <w:color w:val="000000"/>
          <w:sz w:val="22"/>
        </w:rPr>
        <w:t xml:space="preserve">. In any case for which the consent of Landlord or Tenant is required under this Lease, each party hereby agrees that such consent shall not be unreasonably withheld, conditioned or delayed, unless otherwise expressly provided in this Lease.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21.15    </w:t>
      </w:r>
      <w:r>
        <w:rPr>
          <w:rFonts w:ascii="Times New Roman;sans-serif" w:hAnsi="Times New Roman;sans-serif"/>
          <w:b w:val="false"/>
          <w:color w:val="000000"/>
          <w:sz w:val="22"/>
          <w:u w:val="single"/>
        </w:rPr>
        <w:t>Arbitration</w:t>
      </w:r>
      <w:r>
        <w:rPr>
          <w:rFonts w:ascii="Times New Roman;sans-serif" w:hAnsi="Times New Roman;sans-serif"/>
          <w:b w:val="false"/>
          <w:color w:val="000000"/>
          <w:sz w:val="22"/>
        </w:rPr>
        <w:t>. In any case where this Lease expressly provides for, or gives the option for, the settlement of a dispute or question by arbitration pursuant to this Section 21.15, and in the case of any other dispute with respect to the granting of any consent or approval requested by Tenant or Landlord hereunder (where such consent or approval is subject to a reasonableness requirement), and only in such cases (and not in any case where other specific dispute resolution procedures are expressly provided for in this Lease, such as the dispute resolution procedures with respect to Fair Market Rent Rate with respect to an Extension Term pursuant to Exhibit F), such dispute shall be subject to binding arbitration in Boston, Massachusetts, under the Commercial Arbitration Rules of the American Arbitration Association (AAA). The Expedited Procedures of the Commercial Arbitration Rules shall also apply to all disputes arbitrated under this Lease. Where arbitration is used, the parties shall have no right to object if the arbitrator appointed was on the list submitted by the AAA and was not objected to in accordance with AAA Rule E-4. With respect to construction-related disputes, the arbitrator shall be an attorney who is also a licensed engineer, registered architect, or other construction professional and/or an attorney who specializes in construction disputes. Any finding or determination of the arbitrator shall be final and binding pursuant to the Commercial Arbitration Rules and/or Expedited Procedures (except that the arbitrator shall be bound by the provisions of this Lease and shall not have the power to add to, subtract from, modify or change any of the provisions of this Lease). Landlord and Tenant agree to sign all documents and to do all other things necessary to submit to arbitration any matter subject to of this Section 21.15. Landlord and Tenant consent to the entry of judgment in any court in the Commonwealth of Massachusetts upon any award or decision rendered in any arbitration held pursuant to this Section 21.15. Landlord and Tenant acknowledge that any award or decision rendered in any arbitration held pursuant to this Section 21.15, whether or not such award or decision has been entered for judgment, shall be final and binding upon Landlord and Tenant.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21.16    </w:t>
      </w:r>
      <w:r>
        <w:rPr>
          <w:rFonts w:ascii="Times New Roman;sans-serif" w:hAnsi="Times New Roman;sans-serif"/>
          <w:b w:val="false"/>
          <w:color w:val="000000"/>
          <w:sz w:val="22"/>
          <w:u w:val="single"/>
        </w:rPr>
        <w:t>Execution</w:t>
      </w:r>
      <w:r>
        <w:rPr>
          <w:rFonts w:ascii="Times New Roman;sans-serif" w:hAnsi="Times New Roman;sans-serif"/>
          <w:b w:val="false"/>
          <w:color w:val="000000"/>
          <w:sz w:val="22"/>
        </w:rPr>
        <w:t xml:space="preserve">. This Lease may be executed in one or more counterparts and, when executed by each party, shall constitute an agreement binding on all parties notwithstanding that all parties are not signatories to the original or the same counterpart provided that all parties are furnished a copy or copies thereof reflecting the signature of all parties. Transmission of a facsimile or by email of a pdf copy of the signed counterpart of the Lease shall be deemed the equivalent of the delivery of the original, and any party so delivering a facsimile or pdf copy of the </w:t>
        <w:b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signed counterpart of the Lease by email transmission shall in all events deliver to the other party an original signature promptly upon request.</w:t>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 on Following Page]</w:t>
      </w:r>
    </w:p>
    <w:p>
      <w:pPr>
        <w:pStyle w:val="TextBody"/>
        <w:bidi w:val="0"/>
        <w:spacing w:before="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Landlord and Tenant have executed this Lease as a sealed Massachusetts instrument in two or more counterparts as of the Effective Date of this Lease set forth above.</w:t>
      </w:r>
    </w:p>
    <w:tbl>
      <w:tblPr>
        <w:tblW w:w="4646" w:type="dxa"/>
        <w:jc w:val="left"/>
        <w:tblInd w:w="0" w:type="dxa"/>
        <w:tblLayout w:type="fixed"/>
        <w:tblCellMar>
          <w:top w:w="28" w:type="dxa"/>
          <w:left w:w="28" w:type="dxa"/>
          <w:bottom w:w="28" w:type="dxa"/>
          <w:right w:w="28" w:type="dxa"/>
        </w:tblCellMar>
      </w:tblPr>
      <w:tblGrid>
        <w:gridCol w:w="124"/>
        <w:gridCol w:w="109"/>
        <w:gridCol w:w="109"/>
        <w:gridCol w:w="1258"/>
        <w:gridCol w:w="1258"/>
        <w:gridCol w:w="17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LANDLORD: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OPG 125 SUMMER OWNER (DE) LLC,</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Chad Remis</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Chad Remis</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Kristen E. Binck</w:t>
            </w:r>
            <w:r>
              <w:rPr>
                <w:color w:val="000000"/>
              </w:rPr>
              <w:t xml:space="preserve"> </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Kristen E. Binck</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Assistant Secretary</w:t>
            </w:r>
          </w:p>
          <w:p>
            <w:pPr>
              <w:pStyle w:val="TableContents"/>
              <w:bidi w:val="0"/>
              <w:spacing w:lineRule="auto" w:line="240" w:before="0" w:after="0"/>
              <w:ind w:left="0" w:right="0" w:hanging="702"/>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TENANT: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CORPORATION,</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Massachusetts corporation</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Christopher Simon </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Christopher Simon</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 and Chief Executive Officer</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EXHIBIT F</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ADDITIONAL PROVISIONS</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This Exhibit is attached to and made a part of the Office Lease Agreement (the “</w:t>
      </w:r>
      <w:r>
        <w:rPr>
          <w:rFonts w:ascii="Times New Roman;sans-serif" w:hAnsi="Times New Roman;sans-serif"/>
          <w:b w:val="false"/>
          <w:color w:val="000000"/>
          <w:sz w:val="22"/>
          <w:u w:val="single"/>
        </w:rPr>
        <w:t>Lease</w:t>
      </w:r>
      <w:r>
        <w:rPr>
          <w:color w:val="000000"/>
        </w:rPr>
        <w:t>”</w:t>
      </w:r>
      <w:r>
        <w:rPr>
          <w:rFonts w:ascii="Times New Roman;sans-serif" w:hAnsi="Times New Roman;sans-serif"/>
          <w:b w:val="false"/>
          <w:color w:val="000000"/>
          <w:sz w:val="22"/>
        </w:rPr>
        <w:t>) by and between OPG 125 SUMMER OWNER (DE) LLC, a Delaware limited liability company</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Landlord</w:t>
      </w:r>
      <w:r>
        <w:rPr>
          <w:color w:val="000000"/>
        </w:rPr>
        <w:t>”</w:t>
      </w:r>
      <w:r>
        <w:rPr>
          <w:rFonts w:ascii="Times New Roman;sans-serif" w:hAnsi="Times New Roman;sans-serif"/>
          <w:b w:val="false"/>
          <w:color w:val="000000"/>
          <w:sz w:val="22"/>
        </w:rPr>
        <w:t>), and HAEMONETICS CORPORATION,</w:t>
      </w:r>
      <w:r>
        <w:rPr>
          <w:color w:val="000000"/>
        </w:rPr>
        <w:t xml:space="preserve"> </w:t>
      </w:r>
      <w:r>
        <w:rPr>
          <w:rFonts w:ascii="Times New Roman;sans-serif" w:hAnsi="Times New Roman;sans-serif"/>
          <w:b w:val="false"/>
          <w:color w:val="000000"/>
          <w:sz w:val="22"/>
        </w:rPr>
        <w:t>a Massachusetts corporation (“</w:t>
      </w:r>
      <w:r>
        <w:rPr>
          <w:rFonts w:ascii="Times New Roman;sans-serif" w:hAnsi="Times New Roman;sans-serif"/>
          <w:b w:val="false"/>
          <w:color w:val="000000"/>
          <w:sz w:val="22"/>
          <w:u w:val="single"/>
        </w:rPr>
        <w:t>Tenant</w:t>
      </w:r>
      <w:r>
        <w:rPr>
          <w:color w:val="000000"/>
        </w:rPr>
        <w:t>”</w:t>
      </w:r>
      <w:r>
        <w:rPr>
          <w:rFonts w:ascii="Times New Roman;sans-serif" w:hAnsi="Times New Roman;sans-serif"/>
          <w:b w:val="false"/>
          <w:color w:val="000000"/>
          <w:sz w:val="22"/>
        </w:rPr>
        <w:t>), for space in the Building located at 125 Summer Street, Boston, MA 02110.  Capitalized terms used but not defined herein shall have the meanings given in the Lease.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Parking</w:t>
      </w:r>
      <w:r>
        <w:rPr>
          <w:rFonts w:ascii="Times New Roman;sans-serif" w:hAnsi="Times New Roman;sans-serif"/>
          <w:b w:val="false"/>
          <w:color w:val="000000"/>
          <w:sz w:val="22"/>
        </w:rPr>
        <w:t xml:space="preserve">.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During the Term, Tenant shall have the right to lease from Landlord, and Landlord shall lease to Tenant, or cause the operator (the “</w:t>
      </w:r>
      <w:r>
        <w:rPr>
          <w:rFonts w:ascii="Times New Roman;sans-serif" w:hAnsi="Times New Roman;sans-serif"/>
          <w:b w:val="false"/>
          <w:color w:val="000000"/>
          <w:sz w:val="22"/>
          <w:u w:val="single"/>
        </w:rPr>
        <w:t>Operator</w:t>
      </w:r>
      <w:r>
        <w:rPr>
          <w:color w:val="000000"/>
        </w:rPr>
        <w:t>”</w:t>
      </w:r>
      <w:r>
        <w:rPr>
          <w:rFonts w:ascii="Times New Roman;sans-serif" w:hAnsi="Times New Roman;sans-serif"/>
          <w:b w:val="false"/>
          <w:color w:val="000000"/>
          <w:sz w:val="22"/>
        </w:rPr>
        <w:t>) of the garage serving the Building (the “</w:t>
      </w:r>
      <w:r>
        <w:rPr>
          <w:rFonts w:ascii="Times New Roman;sans-serif" w:hAnsi="Times New Roman;sans-serif"/>
          <w:b w:val="false"/>
          <w:color w:val="000000"/>
          <w:sz w:val="22"/>
          <w:u w:val="single"/>
        </w:rPr>
        <w:t>Garage</w:t>
      </w:r>
      <w:r>
        <w:rPr>
          <w:color w:val="000000"/>
        </w:rPr>
        <w:t>”</w:t>
      </w:r>
      <w:r>
        <w:rPr>
          <w:rFonts w:ascii="Times New Roman;sans-serif" w:hAnsi="Times New Roman;sans-serif"/>
          <w:b w:val="false"/>
          <w:color w:val="000000"/>
          <w:sz w:val="22"/>
        </w:rPr>
        <w:t xml:space="preserve">) to lease to Tenant, up to </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4"/>
        </w:rPr>
        <w:t>[***]</w:t>
      </w:r>
      <w:r>
        <w:rPr>
          <w:rFonts w:ascii="Times New Roman;sans-serif" w:hAnsi="Times New Roman;sans-serif"/>
          <w:b w:val="false"/>
          <w:color w:val="000000"/>
          <w:sz w:val="22"/>
        </w:rPr>
        <w:t>) unreserved parking spaces in the Garage (the “</w:t>
      </w:r>
      <w:r>
        <w:rPr>
          <w:rFonts w:ascii="Times New Roman;sans-serif" w:hAnsi="Times New Roman;sans-serif"/>
          <w:b w:val="false"/>
          <w:color w:val="000000"/>
          <w:sz w:val="22"/>
          <w:u w:val="single"/>
        </w:rPr>
        <w:t>Spaces</w:t>
      </w:r>
      <w:r>
        <w:rPr>
          <w:color w:val="000000"/>
        </w:rPr>
        <w:t>”</w:t>
      </w:r>
      <w:r>
        <w:rPr>
          <w:rFonts w:ascii="Times New Roman;sans-serif" w:hAnsi="Times New Roman;sans-serif"/>
          <w:b w:val="false"/>
          <w:color w:val="000000"/>
          <w:sz w:val="22"/>
        </w:rPr>
        <w:t>) for the use of Tenant and its employees. The Spaces shall be leased at the rate of $</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2"/>
        </w:rPr>
        <w:t xml:space="preserve">per Space, per month, plus applicable tax thereon, as such rate may be adjusted from time to time to reflect the then current rate for parking in the Garage. If requested by Landlord, Tenant shall execute and deliver to Landlord the standard parking agreement used by Landlord or the Operator in the Garage for such Spaces. Tenant may from time to time (but not more often than one time per month) (i) give back, and terminate the leases for, any number of Spaces, and/or (ii) request additional unreserved parking spaces in the Garage to be leased by Tenant hereunder. With respect to any such additional parking spaces requested by Tenant, Landlord shall lease to Tenant, or cause the Operator to lease to Tenant, such additional parking spaces to Tenant upon the terms set forth herein; provided, however, that the lease of such additional parking spaces shall be subject to the availability of such parking spaces, and in no event shall Landlord be obligated to lease, or cause the Operator to lease, to Tenant more than thirty-four (34) parking spaces in the Garage.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deductions or allowances shall be made for days when Tenant or any of its employees does not utilize the parking facilities or for Tenant utilizing less than all of the Spaces.  Tenant shall not have the right to lease or otherwise use more than the number of unreserved Spaces set forth above.</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Except for particular spaces and areas designated by Landlord or the Operator for reserved parking, all parking in the Garage shall be on an unreserved, first-come, first-served basis; provided, however, that, subject to the terms of this Lease (including without limitation, Section 1(g) of this </w:t>
      </w:r>
      <w:r>
        <w:rPr>
          <w:rFonts w:ascii="Times New Roman;sans-serif" w:hAnsi="Times New Roman;sans-serif"/>
          <w:b w:val="false"/>
          <w:color w:val="000000"/>
          <w:sz w:val="22"/>
          <w:u w:val="single"/>
        </w:rPr>
        <w:t>Exhibit F</w:t>
      </w:r>
      <w:r>
        <w:rPr>
          <w:rFonts w:ascii="Times New Roman;sans-serif" w:hAnsi="Times New Roman;sans-serif"/>
          <w:b w:val="false"/>
          <w:color w:val="000000"/>
          <w:sz w:val="22"/>
        </w:rPr>
        <w:t xml:space="preserve">), Tenant shall at all times have the right to use the Spaces.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Neither Landlord nor the Operator shall be responsible for money, jewelry, automobiles or other personal property lost in or stolen from the Garage regardless of whether such loss or theft occurs when the Garage or other areas therein are locked or otherwise secured.  Except as caused by the negligence or willful misconduct of Landlord and without limiting the terms of the preceding sentence, Landlord shall not be liable for any loss, injury or damage to persons using the Garage or automobiles or other property therein, it being agreed that, to the fullest extent permitted by law, the use of the Spaces shall be at the sole risk of Tenant and its employees.</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Landlord or its Operator shall have the right from time to time to designate the location of the Spaces and to promulgate reasonable rules and regulations regarding the Garage, the Spaces and the use thereof, including, but not limited to, rules and regulations controlling the flow of traffic to and from various parking areas, the angle and direction of parking and the like.  Tenant shall comply with and cause its employees to comply with all such rules and regulations and all reasonable additions and amendments thereto.</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F-1</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Except for emergency repairs, Tenant and its employees shall not perform any work on any automobiles while located in the Garage or on the Property.</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Landlord or the Operator shall have the right to temporarily close the Garage or certain areas therein in order to perform necessary repairs, maintenance and improvements to the Garage; provided, however, that Tenant shall be entitled to receive an abatement in the parking fee payable hereunder with respect to each Space that Tenant cannot use during any such period of closure of all or a portion of the Garage.</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Tenant shall not assign or sublease any of the Spaces (except to a transferee under an assignment of this Lease or a subletting of the entire Premises under this Lease) without the consent of Landlord in Landlord’s sole discretion.  Landlord shall have the right to terminate Tenant’s parking rights with respect to any Spaces that Tenant desires to sublet or assign in violation of the foregoing.</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Landlord may elect to provide parking cards or keys to control access to the Garage. In such event, Landlord shall provide Tenant with one card or key for each Space that Tenant is leasing hereunder, provided that Landlord shall have the right to require Tenant or its employees to place a deposit on such access cards or keys and to pay a fee for any lost or damages cards or keys.</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Extension Options</w:t>
      </w:r>
      <w:r>
        <w:rPr>
          <w:rFonts w:ascii="Times New Roman;sans-serif" w:hAnsi="Times New Roman;sans-serif"/>
          <w:b w:val="false"/>
          <w:color w:val="000000"/>
          <w:sz w:val="22"/>
        </w:rPr>
        <w:t>.  Tenant shall have one (1) option (the “</w:t>
      </w:r>
      <w:r>
        <w:rPr>
          <w:rFonts w:ascii="Times New Roman;sans-serif" w:hAnsi="Times New Roman;sans-serif"/>
          <w:b w:val="false"/>
          <w:color w:val="000000"/>
          <w:sz w:val="22"/>
          <w:u w:val="single"/>
        </w:rPr>
        <w:t>First Extension Option</w:t>
      </w:r>
      <w:r>
        <w:rPr>
          <w:color w:val="000000"/>
        </w:rPr>
        <w:t>”</w:t>
      </w:r>
      <w:r>
        <w:rPr>
          <w:rFonts w:ascii="Times New Roman;sans-serif" w:hAnsi="Times New Roman;sans-serif"/>
          <w:b w:val="false"/>
          <w:color w:val="000000"/>
          <w:sz w:val="22"/>
        </w:rPr>
        <w:t>) to extend the initial Term for one (1) extension term of five (5) years commencing at the expiration of the initial Term (the “</w:t>
      </w:r>
      <w:r>
        <w:rPr>
          <w:rFonts w:ascii="Times New Roman;sans-serif" w:hAnsi="Times New Roman;sans-serif"/>
          <w:b w:val="false"/>
          <w:color w:val="000000"/>
          <w:sz w:val="22"/>
          <w:u w:val="single"/>
        </w:rPr>
        <w:t>First Extension Term</w:t>
      </w:r>
      <w:r>
        <w:rPr>
          <w:color w:val="000000"/>
        </w:rPr>
        <w:t>”</w:t>
      </w:r>
      <w:r>
        <w:rPr>
          <w:rFonts w:ascii="Times New Roman;sans-serif" w:hAnsi="Times New Roman;sans-serif"/>
          <w:b w:val="false"/>
          <w:color w:val="000000"/>
          <w:sz w:val="22"/>
        </w:rPr>
        <w:t>).  Any extension of the Term for the First Extension Term shall be applicable to the entire Premises (as the same may be expanded).  If Tenant fails timely to exercise the First Extension Option, Tenant shall have no further extension rights hereunder.  If Tenant timely exercises the First Extension Option as provided below, the Term shall be extended for the First Extension Term, and Tenant shall pay Base Rent for the Premises during the First Extension Term, in accordance with the terms and conditions of Section 4.02 of the Lease, at a Base Rent rate equal to the Fair Market Rent Rate (as defined below) for the Premises for the First Extension Term as determined in accordance with the provisions of this Section set forth below (the “</w:t>
      </w:r>
      <w:r>
        <w:rPr>
          <w:rFonts w:ascii="Times New Roman;sans-serif" w:hAnsi="Times New Roman;sans-serif"/>
          <w:b w:val="false"/>
          <w:color w:val="000000"/>
          <w:sz w:val="22"/>
          <w:u w:val="single"/>
        </w:rPr>
        <w:t>Extension Rent Rate</w:t>
      </w:r>
      <w:r>
        <w:rPr>
          <w:color w:val="000000"/>
        </w:rPr>
        <w:t>”</w:t>
      </w:r>
      <w:r>
        <w:rPr>
          <w:rFonts w:ascii="Times New Roman;sans-serif" w:hAnsi="Times New Roman;sans-serif"/>
          <w:b w:val="false"/>
          <w:color w:val="000000"/>
          <w:sz w:val="22"/>
        </w:rPr>
        <w:t>). Time is of the essence with respect to Tenant’s timely exercise of the First Extension Option as provided herein.  Any notice exercising the First Extension Option must be unconditional and irrevocable in order to be effective.  Except as set forth herein, Tenant’s lease of the Premises during the First Extension Term shall be on all of the terms and conditions in effect for the Premises immediately prior to such extension.  Additionally, Tenant shall have one (1) option (the “</w:t>
      </w:r>
      <w:r>
        <w:rPr>
          <w:rFonts w:ascii="Times New Roman;sans-serif" w:hAnsi="Times New Roman;sans-serif"/>
          <w:b w:val="false"/>
          <w:color w:val="000000"/>
          <w:sz w:val="22"/>
          <w:u w:val="single"/>
        </w:rPr>
        <w:t>Second Extension Option</w:t>
      </w:r>
      <w:r>
        <w:rPr>
          <w:rFonts w:ascii="Times New Roman;sans-serif" w:hAnsi="Times New Roman;sans-serif"/>
          <w:b w:val="false"/>
          <w:color w:val="000000"/>
          <w:sz w:val="22"/>
        </w:rPr>
        <w:t>,” and together with the First Extension Option, as applicable, an “</w:t>
      </w:r>
      <w:r>
        <w:rPr>
          <w:rFonts w:ascii="Times New Roman;sans-serif" w:hAnsi="Times New Roman;sans-serif"/>
          <w:b w:val="false"/>
          <w:color w:val="000000"/>
          <w:sz w:val="22"/>
          <w:u w:val="single"/>
        </w:rPr>
        <w:t>Extension Option</w:t>
      </w:r>
      <w:r>
        <w:rPr>
          <w:color w:val="000000"/>
        </w:rPr>
        <w:t>”</w:t>
      </w:r>
      <w:r>
        <w:rPr>
          <w:rFonts w:ascii="Times New Roman;sans-serif" w:hAnsi="Times New Roman;sans-serif"/>
          <w:b w:val="false"/>
          <w:color w:val="000000"/>
          <w:sz w:val="22"/>
        </w:rPr>
        <w:t>) to extend the First Extension Term for one (1) extension term of five (5) years commencing at the expiration of the First Extension Term (the “</w:t>
      </w:r>
      <w:r>
        <w:rPr>
          <w:rFonts w:ascii="Times New Roman;sans-serif" w:hAnsi="Times New Roman;sans-serif"/>
          <w:b w:val="false"/>
          <w:color w:val="000000"/>
          <w:sz w:val="22"/>
          <w:u w:val="single"/>
        </w:rPr>
        <w:t>Second Extension Term</w:t>
      </w:r>
      <w:r>
        <w:rPr>
          <w:rFonts w:ascii="Times New Roman;sans-serif" w:hAnsi="Times New Roman;sans-serif"/>
          <w:b w:val="false"/>
          <w:color w:val="000000"/>
          <w:sz w:val="22"/>
        </w:rPr>
        <w:t>,” and together with the First Extension Term, as applicable, an “</w:t>
      </w:r>
      <w:r>
        <w:rPr>
          <w:rFonts w:ascii="Times New Roman;sans-serif" w:hAnsi="Times New Roman;sans-serif"/>
          <w:b w:val="false"/>
          <w:color w:val="000000"/>
          <w:sz w:val="22"/>
          <w:u w:val="single"/>
        </w:rPr>
        <w:t>Extension Term</w:t>
      </w:r>
      <w:r>
        <w:rPr>
          <w:color w:val="000000"/>
        </w:rPr>
        <w:t>”</w:t>
      </w:r>
      <w:r>
        <w:rPr>
          <w:rFonts w:ascii="Times New Roman;sans-serif" w:hAnsi="Times New Roman;sans-serif"/>
          <w:b w:val="false"/>
          <w:color w:val="000000"/>
          <w:sz w:val="22"/>
        </w:rPr>
        <w:t xml:space="preserve">).  Any extension of the Term for the Second Extension Term shall be applicable to the entire Premises (as the same may be expanded).  If Tenant fails timely to exercise the Second Extension Option, Tenant shall have no further extension rights hereunder.  If Tenant timely exercises the Second Extension Option as provided below, the Term shall be extended for the Second Extension Term, and Tenant shall pay Base Rent for the Premises during the Second Extension Term, in accordance with the terms and conditions of Section 4.02 of the Lease, at a Base Rent rate equal to the Fair Market Rent Rate for the Premises for the Second Extension Term as determined in accordance with the provisions of this Section set forth below.  Time is of the essence with respect to Tenant’s timely exercise of the Second Extension Option as provided herein.  Any notice exercising the Second Extension Option must be unconditional and irrevocable in order to be effective.  Except as set forth herein, Tenant’s lease of the Premises during the Second Extension Term shall be on all of the terms and conditions in effect for the Premises immediately prior to such extension, except that Tenant shall have no further option to extend the Term after the end of the Second Extension Term.  </w:t>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br/>
        <w:t>    The procedures for Tenant to exercise an Extension Option, and for the applicable Extension Rent Rate (as defined below) applicable to the applicable Extension Term to be determined, are as follows:</w:t>
        <w:b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F-2</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Tenant’s Exercise Notice</w:t>
      </w:r>
      <w:r>
        <w:rPr>
          <w:rFonts w:ascii="Times New Roman;sans-serif" w:hAnsi="Times New Roman;sans-serif"/>
          <w:b w:val="false"/>
          <w:color w:val="000000"/>
          <w:sz w:val="22"/>
        </w:rPr>
        <w:t xml:space="preserve">.  If Tenant wishes to exercise the First Extension Option, Tenant shall so notify Landlord no more than fifteen (15) months, and no less than twelve (12) months, prior to the date the initial Term is then scheduled to expire.  If Tenant wishes to exercise the Second Extension Option, Tenant shall so notify Landlord no more than fifteen (15) months, and no less than twelve (12) months, prior to the date the First Extension Term is then scheduled to expire.  Failure by Tenant timely to send a notice under this subparagraph (a) shall constitute an irrevocable waiver of Tenant’s right to extend the Term.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Landlord’s Response</w:t>
      </w:r>
      <w:r>
        <w:rPr>
          <w:rFonts w:ascii="Times New Roman;sans-serif" w:hAnsi="Times New Roman;sans-serif"/>
          <w:b w:val="false"/>
          <w:color w:val="000000"/>
          <w:sz w:val="22"/>
        </w:rPr>
        <w:t>.  If Tenant timely delivers a notice under subparagraph (a) above, Landlord shall furnish Tenant with Landlord’s determination of the Base Rent rate equal to the Fair Market Rent Rate (as defined below) for the Premises for the applicable Extension Term (once determined pursuant to the terms and provisions set forth below, the “</w:t>
      </w:r>
      <w:r>
        <w:rPr>
          <w:rFonts w:ascii="Times New Roman;sans-serif" w:hAnsi="Times New Roman;sans-serif"/>
          <w:b w:val="false"/>
          <w:color w:val="000000"/>
          <w:sz w:val="22"/>
          <w:u w:val="single"/>
        </w:rPr>
        <w:t>Extension Rent Rate</w:t>
      </w:r>
      <w:r>
        <w:rPr>
          <w:color w:val="000000"/>
        </w:rPr>
        <w:t>”</w:t>
      </w:r>
      <w:r>
        <w:rPr>
          <w:rFonts w:ascii="Times New Roman;sans-serif" w:hAnsi="Times New Roman;sans-serif"/>
          <w:b w:val="false"/>
          <w:color w:val="000000"/>
          <w:sz w:val="22"/>
        </w:rPr>
        <w:t>) no later than thirty (30) days following Landlord’s receipt of such notice.  Within thirty (30) days after Landlord furnishes its estimate of the Extension Rent Rate to Tenant under the preceding sentence, Tenant shall, by written notice delivered to Landlord, either (i) give Landlord notice accepting Landlord’s determination of the Extension Rent Rate for the applicable Extension Term, or (ii) give Landlord notice disputing Landlord’s determination of such applicable Extension Rent Rate, which notice under clause (ii) shall state Tenant’s determination of such applicable Extension Rent Rate.  Failure timely to give a notice disputing Landlord’s determination of such applicable Extension Rent Rate shall constitute an acceptance of Landlord’s determination of such applicable Extension Rent Rate. Notwithstanding anything to the contrary, Tenant may request, but no earlier than sixteen (16) months prior to the then scheduled expiration of the Term, that Landlord provide its determination of the Extension Rent Rate prior to Tenant’s delivery of an exercise notice pursuant to subparagraph (a) above, and Landlord shall deliver such determination within thirty (30) days following Landlord’s receipt of Tenant’s request therefor.</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Arbitration</w:t>
      </w:r>
      <w:r>
        <w:rPr>
          <w:rFonts w:ascii="Times New Roman;sans-serif" w:hAnsi="Times New Roman;sans-serif"/>
          <w:b w:val="false"/>
          <w:color w:val="000000"/>
          <w:sz w:val="22"/>
        </w:rPr>
        <w:t>.  If Tenant disputes Landlord’s determination of the applicable Extension Rent Rate under subparagraph (b)(ii) above, the parties shall use good faith efforts to resolve such dispute for a period of thirty (30) days after such dispute notice is delivered.  If, after such thirty (30) day period, the dispute over such Extension Rent Rate is not resolved, then either party may cause the matter of the Fair Market Rent Rate to be submitted to arbitration as set forth below, by giving notice of such submission to the other party.  Each of Landlord and Tenant, within twenty (20) days after notice of such submission to arbitration, shall appoint an independent, licensed, commercial real estate broker with at least ten (10) years’ experience as a broker for first-class high-rise office buildings in downtown Boston, Massachusetts (a “</w:t>
      </w:r>
      <w:r>
        <w:rPr>
          <w:rFonts w:ascii="Times New Roman;sans-serif" w:hAnsi="Times New Roman;sans-serif"/>
          <w:b w:val="false"/>
          <w:color w:val="000000"/>
          <w:sz w:val="22"/>
          <w:u w:val="single"/>
        </w:rPr>
        <w:t>Qualified Broker</w:t>
      </w:r>
      <w:r>
        <w:rPr>
          <w:color w:val="000000"/>
        </w:rPr>
        <w:t>”</w:t>
      </w:r>
      <w:r>
        <w:rPr>
          <w:rFonts w:ascii="Times New Roman;sans-serif" w:hAnsi="Times New Roman;sans-serif"/>
          <w:b w:val="false"/>
          <w:color w:val="000000"/>
          <w:sz w:val="22"/>
        </w:rPr>
        <w:t>), and shall give notice of such appointment to the other party.  If either Landlord or Tenant shall fail timely to appoint a Qualified Broker, the other may apply to the Boston Office of the American Arbitration Association (“</w:t>
      </w:r>
      <w:r>
        <w:rPr>
          <w:rFonts w:ascii="Times New Roman;sans-serif" w:hAnsi="Times New Roman;sans-serif"/>
          <w:b w:val="false"/>
          <w:color w:val="000000"/>
          <w:sz w:val="22"/>
          <w:u w:val="single"/>
        </w:rPr>
        <w:t>AAA</w:t>
      </w:r>
      <w:r>
        <w:rPr>
          <w:color w:val="000000"/>
        </w:rPr>
        <w:t>”</w:t>
      </w:r>
      <w:r>
        <w:rPr>
          <w:rFonts w:ascii="Times New Roman;sans-serif" w:hAnsi="Times New Roman;sans-serif"/>
          <w:b w:val="false"/>
          <w:color w:val="000000"/>
          <w:sz w:val="22"/>
        </w:rPr>
        <w:t>) for appointment of such a Qualified Broker five (5) Business Days after notice of such failure to the delinquent party if such Qualified Broker has not then been appointed.  Within thirty (30) days after appointment of the second Qualified Broker, the two Qualified Brokers shall each determine the Fair Market Rent Rate and furnish a written statement thereof to Landlord and Tenant. Unless the higher of the determinations of the Fair Market Rent Rate made by a Qualified Broker is more than one hundred ten percent (110%) of the lower, the average of the two such determinations shall be binding on Landlord and Tenant. In the event that (i) the higher of the two such determinations is more than one hundred ten percent (110%) of the lower, and (ii) Landlord and Tenant are unable to agree on the Fair Market Rent Rate within thirty (30) days after the parties’ receipt of the Qualified Brokers’ written statements, then the Qualified Brokers shall together promptly appoint a third such licensed, and experienced commercial real estate broker, from a firm unaffiliated with Landlord or Tenant or either of the firms with which the Qualified Brokers are associated (the “</w:t>
      </w:r>
      <w:r>
        <w:rPr>
          <w:rFonts w:ascii="Times New Roman;sans-serif" w:hAnsi="Times New Roman;sans-serif"/>
          <w:b w:val="false"/>
          <w:color w:val="000000"/>
          <w:sz w:val="22"/>
          <w:u w:val="single"/>
        </w:rPr>
        <w:t>Third Broker</w:t>
      </w:r>
      <w:r>
        <w:rPr>
          <w:color w:val="000000"/>
        </w:rPr>
        <w:t>”</w:t>
      </w:r>
      <w:r>
        <w:rPr>
          <w:rFonts w:ascii="Times New Roman;sans-serif" w:hAnsi="Times New Roman;sans-serif"/>
          <w:b w:val="false"/>
          <w:color w:val="000000"/>
          <w:sz w:val="22"/>
        </w:rPr>
        <w:t xml:space="preserve">), which Third Broker shall determine the Fair Market Rent Rate and furnish a written statement thereof to Landlord and Tenant. In the event that the Qualified Brokers cannot promptly agree on the appointment of the Third Broker, then the Third Broker shall be appointed by the Boston office of the AAA. Unless the determination of the Third Broker, as aforesaid, is less than the lower or more than the higher determination of the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F-3</w:t>
                      </w:r>
                    </w:p>
                  </w:txbxContent>
                </v:textbox>
                <w10:wrap type="none"/>
              </v:rect>
            </w:pict>
          </mc:Fallback>
        </mc:AlternateContent>
      </w:r>
    </w:p>
    <w:p>
      <w:pPr>
        <w:pStyle w:val="TextBody"/>
        <w:bidi w:val="0"/>
        <w:spacing w:lineRule="auto" w:line="240"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Qualified Brokers, such determination of the Third Broker shall be binding on Landlord and Tenant. In the event that the determination of the Third Broker, as aforesaid, is the lowest of the three such determinations, then the lower of the determinations of the Qualified Brokers shall be binding on Landlord and Tenant. Conversely, if the determination of the Third Broker, as aforesaid, is the highest of the three such determinations, then the higher of the determinations of the Qualified Brokers shall be binding on Landlord and Tenant. Any and all fees and expenses incurred in making the aforesaid determinations shall be paid to the Qualified Broker chosen by Tenant exclusively by Tenant, to the Qualified Broker chosen by Landlord exclusively by Landlord, and to the Third Broker and the AAA in equal proportion by Landlord and Tenant.  If the AAA shall cease to provide arbitration for commercial disputes in Boston, a Qualified Broker or Third Broker, as the case may be, shall be appointed by any successor organization providing substantially the same services, and in the absence of such an organization, by a court of competent jurisdiction under the arbitration act of The Commonwealth of Massachusetts.  For any period during which the applicable Extension Rent Rate is in dispute hereunder, Tenant shall make payment on account of the applicable Extension Rent Rate at the rate estimated by Landlord as such Extension Rent Rate, and the parties shall adjust for overpayments or underpayments within thirty (30) days after the decision of the arbitrators is announced.</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Fair Market Rent Rate</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Fair Market Rent Rate</w:t>
      </w:r>
      <w:r>
        <w:rPr>
          <w:color w:val="000000"/>
        </w:rPr>
        <w:t xml:space="preserve">” </w:t>
      </w:r>
      <w:r>
        <w:rPr>
          <w:rFonts w:ascii="Times New Roman;sans-serif" w:hAnsi="Times New Roman;sans-serif"/>
          <w:b w:val="false"/>
          <w:color w:val="000000"/>
          <w:sz w:val="22"/>
        </w:rPr>
        <w:t>for the Extension Term in question shall mean the annual fair market rent per square foot for the Premises for a term coterminous with the applicable Extension Term under the terms of this Lease, as though the Premises were in the condition then existing or in such better condition as such space is required to be maintained hereunder.  In making such determination, reference shall be made to lease transactions for comparable office space in the Building and comparable first-class high-rise buildings in downtown Boston, and appropriate adjustments to the rent rates in such comparable transactions shall be made for any relevant factors, including, without limitation, the timing of the transaction, the location and condition of the space, the quality of the Building, and any free rent, tenant improvements or other tenant concessions (or the lack thereof).  Without limiting the generality of the foregoing adjustments, if the rent rate in a comparable transaction was determined based on a percentage discount to fair market rent, then the amount of such discount shall be disregarded (i.e., added back into the rental rate) for purposes of determining the Fair Market Rent Rate hereunder.  The Fair Market Rent Rate shall be determined using a new Base Year for charges for Expense Excess and Tax Excess in respect of the applicable Extension Term, based on the calendar year in which such Extension Term commences, which new Base Year shall apply to the Premises during such Extension Term.</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Confirmatory Instrument</w:t>
      </w:r>
      <w:r>
        <w:rPr>
          <w:rFonts w:ascii="Times New Roman;sans-serif" w:hAnsi="Times New Roman;sans-serif"/>
          <w:b w:val="false"/>
          <w:color w:val="000000"/>
          <w:sz w:val="22"/>
        </w:rPr>
        <w:t>.  If Tenant shall exercise an Extension Option in accordance with this Section, the provisions of this Section shall be self-operative, but upon request by either party after determination of the Extension Rent Rate for the applicable Extension Term, the parties shall execute an agreement specifying the Extension Rent Rate for the applicable Extension Term and acknowledging the extension of the Term.</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Notwithstanding any provision of this Section to the contrary, the Extension Options shall be void, at Landlord’s election, if (i) Tenant is in default hereunder, after any applicable notice and cure periods have expired, at the time Tenant elects to extend the Term or at the time the Term would expire but for such extension, or (ii) at the time of Tenant’s exercise of the Extension Option more than fifty percent (50%) of the Premises is subleased (other than pursuant to a Permitted Transfer), or an assignment of the Lease (other than in connection with a Permitted Transfer) is then in full force and effect. </w:t>
      </w:r>
    </w:p>
    <w:p>
      <w:pPr>
        <w:pStyle w:val="TextBody"/>
        <w:bidi w:val="0"/>
        <w:spacing w:lineRule="auto" w:line="24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Right of First Offer</w:t>
      </w:r>
      <w:r>
        <w:rPr>
          <w:rFonts w:ascii="Times New Roman;sans-serif" w:hAnsi="Times New Roman;sans-serif"/>
          <w:b w:val="false"/>
          <w:color w:val="000000"/>
          <w:sz w:val="22"/>
        </w:rPr>
        <w:t>.  As used herein, the “</w:t>
      </w:r>
      <w:r>
        <w:rPr>
          <w:rFonts w:ascii="Times New Roman;sans-serif" w:hAnsi="Times New Roman;sans-serif"/>
          <w:b w:val="false"/>
          <w:color w:val="000000"/>
          <w:sz w:val="22"/>
          <w:u w:val="single"/>
        </w:rPr>
        <w:t>First Offer Space</w:t>
      </w:r>
      <w:r>
        <w:rPr>
          <w:color w:val="000000"/>
        </w:rPr>
        <w:t xml:space="preserve">” </w:t>
      </w:r>
      <w:r>
        <w:rPr>
          <w:rFonts w:ascii="Times New Roman;sans-serif" w:hAnsi="Times New Roman;sans-serif"/>
          <w:b w:val="false"/>
          <w:color w:val="000000"/>
          <w:sz w:val="22"/>
        </w:rPr>
        <w:t xml:space="preserve">shall mean any of the following spaces or any part thereof that Landlord from time to time during the initial Term determines is available for lease to a third party in accordance with and subject to the provisions of this Section </w:t>
      </w:r>
      <w:hyperlink w:anchor="if9007981896147a6b199228f5a8da41b_13">
        <w:r>
          <w:rPr>
            <w:rStyle w:val="InternetLink"/>
            <w:rFonts w:ascii="Times New Roman;sans-serif" w:hAnsi="Times New Roman;sans-serif"/>
            <w:b w:val="false"/>
            <w:strike w:val="false"/>
            <w:dstrike w:val="false"/>
            <w:color w:val="000000"/>
            <w:sz w:val="22"/>
            <w:u w:val="none"/>
            <w:effect w:val="none"/>
          </w:rPr>
          <w:t>3</w:t>
        </w:r>
      </w:hyperlink>
      <w:r>
        <w:rPr>
          <w:rFonts w:ascii="Times New Roman;sans-serif" w:hAnsi="Times New Roman;sans-serif"/>
          <w:b w:val="false"/>
          <w:color w:val="000000"/>
          <w:sz w:val="22"/>
        </w:rPr>
        <w:t xml:space="preserve">:  Any space on any floor immediately above the highest floor of the Premises, any space on any floor immediately </w:t>
        <w:br/>
        <w:b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F-4</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br/>
        <w:t xml:space="preserve">below the lowest floor of the Premises, and any space on any floor on which the Premises occupy only a portion of such floor.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Landlord’s ROFO Notice</w:t>
      </w:r>
      <w:r>
        <w:rPr>
          <w:rFonts w:ascii="Times New Roman;sans-serif" w:hAnsi="Times New Roman;sans-serif"/>
          <w:b w:val="false"/>
          <w:color w:val="000000"/>
          <w:sz w:val="22"/>
        </w:rPr>
        <w:t>.  Subject to the Superior Rights (as defined below), before hereafter entering into a lease for all or any part of the First Offer Space with a third party (other than the then existing tenant of such space), Landlord shall give Tenant a notice (each, a “</w:t>
      </w:r>
      <w:r>
        <w:rPr>
          <w:rFonts w:ascii="Times New Roman;sans-serif" w:hAnsi="Times New Roman;sans-serif"/>
          <w:b w:val="false"/>
          <w:color w:val="000000"/>
          <w:sz w:val="22"/>
          <w:u w:val="single"/>
        </w:rPr>
        <w:t>Landlord’s ROFO Notice</w:t>
      </w:r>
      <w:r>
        <w:rPr>
          <w:color w:val="000000"/>
        </w:rPr>
        <w:t>”</w:t>
      </w:r>
      <w:r>
        <w:rPr>
          <w:rFonts w:ascii="Times New Roman;sans-serif" w:hAnsi="Times New Roman;sans-serif"/>
          <w:b w:val="false"/>
          <w:color w:val="000000"/>
          <w:sz w:val="22"/>
        </w:rPr>
        <w:t>) specifying (i) the location and Rentable Floor Area of the part of the First Offer Space designated by Landlord for offer to Tenant hereunder (each, an “</w:t>
      </w:r>
      <w:r>
        <w:rPr>
          <w:rFonts w:ascii="Times New Roman;sans-serif" w:hAnsi="Times New Roman;sans-serif"/>
          <w:b w:val="false"/>
          <w:color w:val="000000"/>
          <w:sz w:val="22"/>
          <w:u w:val="single"/>
        </w:rPr>
        <w:t>Offered Space</w:t>
      </w:r>
      <w:r>
        <w:rPr>
          <w:color w:val="000000"/>
        </w:rPr>
        <w:t>”</w:t>
      </w:r>
      <w:r>
        <w:rPr>
          <w:rFonts w:ascii="Times New Roman;sans-serif" w:hAnsi="Times New Roman;sans-serif"/>
          <w:b w:val="false"/>
          <w:color w:val="000000"/>
          <w:sz w:val="22"/>
        </w:rPr>
        <w:t xml:space="preserve">) and (ii) the terms on which Landlord would be willing to lease such Offered Space to Tenant in accordance with the terms of this Section </w:t>
      </w:r>
      <w:hyperlink w:anchor="if9007981896147a6b199228f5a8da41b_13">
        <w:r>
          <w:rPr>
            <w:rStyle w:val="InternetLink"/>
            <w:rFonts w:ascii="Times New Roman;sans-serif" w:hAnsi="Times New Roman;sans-serif"/>
            <w:b w:val="false"/>
            <w:strike w:val="false"/>
            <w:dstrike w:val="false"/>
            <w:color w:val="000000"/>
            <w:sz w:val="22"/>
            <w:u w:val="none"/>
            <w:effect w:val="none"/>
          </w:rPr>
          <w:t>3</w:t>
        </w:r>
      </w:hyperlink>
      <w:r>
        <w:rPr>
          <w:rFonts w:ascii="Times New Roman;sans-serif" w:hAnsi="Times New Roman;sans-serif"/>
          <w:b w:val="false"/>
          <w:color w:val="000000"/>
          <w:sz w:val="22"/>
        </w:rPr>
        <w:t xml:space="preserve">, provided that Rent in respect of the Offered Space shall be at the Fair Market Rent Rate, as reasonably determined by Landlord, taking into account all relevant factors. The term for the Offered Space shall be coterminous with the Term of this Lease (as the same may be extended pursuant to this Lease). Landlord reserves the right to offer all or part of the First Offer Space in such size and configuration for the applicable Offered Space specified in any Landlord’s ROFO Notice hereunder as Landlord determines in its sole discretion.  </w:t>
      </w:r>
    </w:p>
    <w:p>
      <w:pPr>
        <w:pStyle w:val="TextBody"/>
        <w:bidi w:val="0"/>
        <w:spacing w:lineRule="auto" w:line="240" w:before="0" w:after="0"/>
        <w:jc w:val="left"/>
        <w:rPr/>
      </w:pPr>
      <w:r>
        <w:rPr>
          <w:rFonts w:ascii="Times New Roman;sans-serif" w:hAnsi="Times New Roman;sans-serif"/>
          <w:b w:val="false"/>
          <w:color w:val="000000"/>
          <w:sz w:val="22"/>
        </w:rPr>
        <w:t xml:space="preserve">Notwithstanding anything in this Section </w:t>
      </w:r>
      <w:hyperlink w:anchor="if9007981896147a6b199228f5a8da41b_13">
        <w:r>
          <w:rPr>
            <w:rStyle w:val="InternetLink"/>
            <w:rFonts w:ascii="Times New Roman;sans-serif" w:hAnsi="Times New Roman;sans-serif"/>
            <w:b w:val="false"/>
            <w:strike w:val="false"/>
            <w:dstrike w:val="false"/>
            <w:color w:val="000000"/>
            <w:sz w:val="22"/>
            <w:u w:val="none"/>
            <w:effect w:val="none"/>
          </w:rPr>
          <w:t>3</w:t>
        </w:r>
      </w:hyperlink>
      <w:r>
        <w:rPr>
          <w:rFonts w:ascii="Times New Roman;sans-serif" w:hAnsi="Times New Roman;sans-serif"/>
          <w:b w:val="false"/>
          <w:color w:val="000000"/>
          <w:sz w:val="22"/>
        </w:rPr>
        <w:t xml:space="preserve"> to the contrary, Tenant’s rights of first offer hereunder with respect to any applicable First Offer Space shall be subject and subordinate to the “</w:t>
      </w:r>
      <w:r>
        <w:rPr>
          <w:rFonts w:ascii="Times New Roman;sans-serif" w:hAnsi="Times New Roman;sans-serif"/>
          <w:b w:val="false"/>
          <w:color w:val="000000"/>
          <w:sz w:val="22"/>
          <w:u w:val="single"/>
        </w:rPr>
        <w:t>Superior Rights</w:t>
      </w:r>
      <w:r>
        <w:rPr>
          <w:color w:val="000000"/>
        </w:rPr>
        <w:t>”</w:t>
      </w:r>
      <w:r>
        <w:rPr>
          <w:rFonts w:ascii="Times New Roman;sans-serif" w:hAnsi="Times New Roman;sans-serif"/>
          <w:b w:val="false"/>
          <w:color w:val="000000"/>
          <w:sz w:val="22"/>
        </w:rPr>
        <w:t xml:space="preserve">, which shall include and refer to Landlord’s right from time to time to lease all or part of the applicable First Offer Space to (i) any tenant with existing rights to such First Offer Space as of the Effective Date, which tenants are Analog, SunTrust, FirstPro, and Novetta, (ii) after such time as Tenant has rejected (or is deemed to have rejected) a Landlord’s ROFO Notice for an Offered Space hereunder, any tenant that is granted rights for all or part of such Offered Space in the initial lease for such space entered into by Landlord in accordance with the provisions of this Section </w:t>
      </w:r>
      <w:hyperlink w:anchor="if9007981896147a6b199228f5a8da41b_13">
        <w:r>
          <w:rPr>
            <w:rStyle w:val="InternetLink"/>
            <w:rFonts w:ascii="Times New Roman;sans-serif" w:hAnsi="Times New Roman;sans-serif"/>
            <w:b w:val="false"/>
            <w:strike w:val="false"/>
            <w:dstrike w:val="false"/>
            <w:color w:val="000000"/>
            <w:sz w:val="22"/>
            <w:u w:val="none"/>
            <w:effect w:val="none"/>
          </w:rPr>
          <w:t>3</w:t>
        </w:r>
      </w:hyperlink>
      <w:r>
        <w:rPr>
          <w:rFonts w:ascii="Times New Roman;sans-serif" w:hAnsi="Times New Roman;sans-serif"/>
          <w:b w:val="false"/>
          <w:color w:val="000000"/>
          <w:sz w:val="22"/>
        </w:rPr>
        <w:t xml:space="preserve">, (iii) any tenant that is granted rights for all or part of the currently vacant First Offer Space in the initial leases entered into by Landlord pursuant to the initial lease up, and (iv) any then existing tenant of the First Offer Space (it being understood and agreed that Landlord shall have the right to extend or renew any then current lease (or enter into a new lease) with any then existing tenant even if no extension or renewal rights are contained in said then current lease).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Tenant’s Response</w:t>
      </w:r>
      <w:r>
        <w:rPr>
          <w:rFonts w:ascii="Times New Roman;sans-serif" w:hAnsi="Times New Roman;sans-serif"/>
          <w:b w:val="false"/>
          <w:color w:val="000000"/>
          <w:sz w:val="22"/>
        </w:rPr>
        <w:t>.  Within ten (10) Business Days after receipt of Landlord's ROFO Notice, Tenant shall, by written notice delivered to Landlord, either (a) reject Landlord's ROFO Notice, or (b) reject Landlord's ROFO Notice but unconditionally and irrevocably offer to lease the Offered Space from Landlord for its own use at a Base Rent rate proposed in Tenant’s response and otherwise on the terms set forth in Landlord’s ROFO Notice, or (c) unconditionally and irrevocably accept Landlord’s offer to lease the Offered Space from Landlord for its own use on the terms set forth in Landlord's ROFO Notice. The failure by Tenant to timely respond as aforesaid shall be deemed Tenant's rejection of Landlord's ROFO Notice for the Offered Space under clause (a).</w:t>
      </w:r>
    </w:p>
    <w:p>
      <w:pPr>
        <w:pStyle w:val="TextBody"/>
        <w:bidi w:val="0"/>
        <w:spacing w:lineRule="auto" w:line="240" w:before="240" w:after="240"/>
        <w:jc w:val="left"/>
        <w:rPr>
          <w:color w:val="000000"/>
        </w:rPr>
      </w:pPr>
      <w:r>
        <w:rPr>
          <w:color w:val="000000"/>
        </w:rPr>
        <w:t>    </w:t>
      </w:r>
      <w:r>
        <w:rPr>
          <w:rFonts w:ascii="Times New Roman;sans-serif" w:hAnsi="Times New Roman;sans-serif"/>
          <w:b w:val="false"/>
          <w:color w:val="000000"/>
          <w:sz w:val="22"/>
        </w:rPr>
        <w:t>If Landlord's ROFO Notice is rejected under clause (a) above (or deemed rejected by Tenant's failure to timely respond), then Landlord may enter into any lease for all or part of the Offered Space on such terms and conditions (including without limitation extension or expansion rights with respect to the Offered Space or any portion thereof) as Landlord determines in its sole discretion.</w:t>
      </w:r>
    </w:p>
    <w:p>
      <w:pPr>
        <w:pStyle w:val="TextBody"/>
        <w:bidi w:val="0"/>
        <w:spacing w:lineRule="auto" w:line="240" w:before="240" w:after="240"/>
        <w:jc w:val="left"/>
        <w:rPr/>
      </w:pPr>
      <w:r>
        <w:rPr>
          <w:color w:val="000000"/>
        </w:rPr>
        <w:t>    </w:t>
      </w:r>
      <w:r>
        <w:rPr>
          <w:rFonts w:ascii="Times New Roman;sans-serif" w:hAnsi="Times New Roman;sans-serif"/>
          <w:b w:val="false"/>
          <w:color w:val="000000"/>
          <w:sz w:val="22"/>
        </w:rPr>
        <w:t>If Tenant timely offers to lease the Offered Space on alternative terms as set forth in clause (b) above, then Landlord may, by written notice delivered within thirty (30) days of receipt thereof, accept or decline such offer (the failure to so respond being deemed Landlord's election to decline Tenant's offer). If such offer under clause (b) is declined (or deemed declined), then, for a period of one (1) year after Landlord's receipt of Tenant's offer (the “</w:t>
      </w:r>
      <w:r>
        <w:rPr>
          <w:rFonts w:ascii="Times New Roman;sans-serif" w:hAnsi="Times New Roman;sans-serif"/>
          <w:b w:val="false"/>
          <w:color w:val="000000"/>
          <w:sz w:val="22"/>
          <w:u w:val="single"/>
        </w:rPr>
        <w:t>Leasing Period</w:t>
      </w:r>
      <w:r>
        <w:rPr>
          <w:color w:val="000000"/>
        </w:rPr>
        <w:t>”</w:t>
      </w:r>
      <w:r>
        <w:rPr>
          <w:rFonts w:ascii="Times New Roman;sans-serif" w:hAnsi="Times New Roman;sans-serif"/>
          <w:b w:val="false"/>
          <w:color w:val="000000"/>
          <w:sz w:val="22"/>
        </w:rPr>
        <w:t xml:space="preserve">), Landlord may enter into any lease for all or part of the Offered Space (which may be enlarged to include other space by up to twenty five percent of the rentable square feet without requiring any re-offer hereunder) at an effective rent (after taking into </w:t>
        <w:br/>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F-5</w:t>
                      </w:r>
                    </w:p>
                  </w:txbxContent>
                </v:textbox>
                <w10:wrap type="none"/>
              </v:rect>
            </w:pict>
          </mc:Fallback>
        </mc:AlternateContent>
      </w:r>
    </w:p>
    <w:p>
      <w:pPr>
        <w:pStyle w:val="TextBody"/>
        <w:bidi w:val="0"/>
        <w:spacing w:lineRule="auto" w:line="240"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br/>
        <w:t xml:space="preserve">account any tenant improvement allowance) greater than ninety percent of the effective rent under Tenant's offer. If, during such Leasing Period, Landlord desires to enter into a third-party lease for all of part of such Offered Space at an effective rent less than or equal to ninety percent of the effective rent under Tenant's offer, Landlord shall deliver to Tenant a new Landlord's ROFO Notice for such space. If and to the extent that Landlord does not enter into any lease for all or part of the Offered Space within such Leasing Period, Landlord shall re-commence the process under this Section before entering into a lease for such space.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End of Term</w:t>
      </w:r>
      <w:r>
        <w:rPr>
          <w:rFonts w:ascii="Times New Roman;sans-serif" w:hAnsi="Times New Roman;sans-serif"/>
          <w:b w:val="false"/>
          <w:color w:val="000000"/>
          <w:sz w:val="22"/>
        </w:rPr>
        <w:t>.  Notwithstanding the foregoing, with respect to any First Offer Space with a delivery date that would occur within the last three (3) years of the initial Term (a “</w:t>
      </w:r>
      <w:r>
        <w:rPr>
          <w:rFonts w:ascii="Times New Roman;sans-serif" w:hAnsi="Times New Roman;sans-serif"/>
          <w:b w:val="false"/>
          <w:color w:val="000000"/>
          <w:sz w:val="22"/>
          <w:u w:val="single"/>
        </w:rPr>
        <w:t>Late Term ROFO Space</w:t>
      </w:r>
      <w:r>
        <w:rPr>
          <w:color w:val="000000"/>
        </w:rPr>
        <w:t>”</w:t>
      </w:r>
      <w:r>
        <w:rPr>
          <w:rFonts w:ascii="Times New Roman;sans-serif" w:hAnsi="Times New Roman;sans-serif"/>
          <w:b w:val="false"/>
          <w:color w:val="000000"/>
          <w:sz w:val="22"/>
        </w:rPr>
        <w:t xml:space="preserve">), any right of Tenant to lease such Late Term ROFO Space under this Section shall apply if and only if, Tenant has timely and validly exercised, or has the right to exercise its First Extension Option pursuant to Section 2 of this </w:t>
      </w:r>
      <w:r>
        <w:rPr>
          <w:rFonts w:ascii="Times New Roman;sans-serif" w:hAnsi="Times New Roman;sans-serif"/>
          <w:b w:val="false"/>
          <w:color w:val="000000"/>
          <w:sz w:val="22"/>
          <w:u w:val="single"/>
        </w:rPr>
        <w:t>Exhibit F</w:t>
      </w:r>
      <w:r>
        <w:rPr>
          <w:rFonts w:ascii="Times New Roman;sans-serif" w:hAnsi="Times New Roman;sans-serif"/>
          <w:b w:val="false"/>
          <w:color w:val="000000"/>
          <w:sz w:val="22"/>
        </w:rPr>
        <w:t xml:space="preserve">, and simultaneously with the acceptance (if any) of the applicable offer to lease such Late Term ROFO Space in accordance with this Section, Tenant shall irrevocably and unconditionally agree to exercise Tenant’s First Extension Option, in which event the Term shall be extended in accordance with the terms of such Extension Option, provided that the Fair Market Base Rent for the Premises thereunder shall be determined at the time provided under such Extension Option, notwithstanding the timing of Tenant’s agreement under this sentence to exercise such Extension Option. Notwithstanding anything to the contrary, if Tenant does not timely exercise its First Extension Option, Landlord shall have no obligation to deliver a Landlord’s ROFO Notice as of the expiration of the First Extension Option. </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Confirmatory Instrument</w:t>
      </w:r>
      <w:r>
        <w:rPr>
          <w:rFonts w:ascii="Times New Roman;sans-serif" w:hAnsi="Times New Roman;sans-serif"/>
          <w:b w:val="false"/>
          <w:color w:val="000000"/>
          <w:sz w:val="22"/>
        </w:rPr>
        <w:t>.  If the applicable offer to lease an Offered Space is accepted as provided under this Section above, the Offered Space shall, subject to the provisions set forth below and without further action by the parties, be leased by Tenant on the accepted terms and otherwise on all of the terms of the Lease in effect immediately prior to such expansion, provided that, at the request of either party, Landlord and Tenant shall promptly execute and deliver an agreement confirming such expansion of the Premises and the estimated date the Premises are to be expanded pursuant to this Section with a provision for establishing the effective date of such expansion based on actual delivery.  Landlord’s failure to deliver, or delay in delivering, all or any part of such leased Offered Space, for any reason, shall not give rise to any liability of Landlord, shall not alter Tenant’s obligation to accept such space when delivered, shall not constitute a default of Landlord, and shall not affect the validity of the Lease.</w:t>
      </w:r>
    </w:p>
    <w:p>
      <w:pPr>
        <w:pStyle w:val="TextBody"/>
        <w:bidi w:val="0"/>
        <w:spacing w:lineRule="auto" w:line="240" w:before="24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Notwithstanding any provision of this Section to the contrary, Tenant’s rights under this Section shall be void, at Landlord’s election, if (i) Tenant is in default hereunder, after any applicable notice and cure periods have expired, at the time Landlord would otherwise give a Landlord’s ROFO Notice to Tenant hereunder or at the time Tenant makes any election with respect to the First Offer Space under this Section or at the time the First Offer Space would be added to the Premises, or (ii) any Transfer has occurred under Section 11 of the Lease (other than a Permitted Transfer).</w:t>
      </w:r>
    </w:p>
    <w:p>
      <w:pPr>
        <w:pStyle w:val="TextBody"/>
        <w:bidi w:val="0"/>
        <w:spacing w:lineRule="auto" w:line="240" w:before="0" w:after="240"/>
        <w:ind w:left="0" w:right="0" w:firstLine="810"/>
        <w:jc w:val="left"/>
        <w:rPr/>
      </w:pPr>
      <w:r>
        <w:rPr>
          <w:rFonts w:ascii="Times New Roman;sans-serif" w:hAnsi="Times New Roman;sans-serif"/>
          <w:b w:val="false"/>
          <w:color w:val="000000"/>
          <w:sz w:val="22"/>
        </w:rPr>
        <w:t>4.</w:t>
      </w:r>
      <w:r>
        <w:rPr>
          <w:color w:val="000000"/>
        </w:rPr>
        <w:t>    </w:t>
      </w:r>
      <w:r>
        <w:rPr>
          <w:rFonts w:ascii="Times New Roman;sans-serif" w:hAnsi="Times New Roman;sans-serif"/>
          <w:b w:val="false"/>
          <w:color w:val="000000"/>
          <w:sz w:val="22"/>
          <w:u w:val="single"/>
        </w:rPr>
        <w:t>Hazardous Materials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Hazardous Materials</w:t>
      </w:r>
      <w:r>
        <w:rPr>
          <w:rFonts w:ascii="Times New Roman;sans-serif" w:hAnsi="Times New Roman;sans-serif"/>
          <w:b w:val="false"/>
          <w:color w:val="000000"/>
          <w:sz w:val="22"/>
        </w:rPr>
        <w:t>. As used herein, the term “</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 xml:space="preserve">shall mean any wastes, materials or substances (whether in the form of liquids, solids, aerosols or gases, and whether or not air-borne), specifically including live organisms, viruses and fungi, medical waste and so-called “bio-hazard” materials, which are or are deemed to be (i) pollutants or contaminants, or which are or are deemed to be hazardous, toxic, ignitable, reactive, corrosive, infectious, dangerous, harmful or injurious, or which present a risk to public health or to the environment, or which are or may become regulated by or under the authority of any applicable local, state (including, without limitation, Chapter 21E of the General Laws of the Commonwealth of Massachusetts) or federal laws, judgments, ordinances, orders, rules, regulations, codes or other governmental restrictions, guidelines or requirements, any amendments or successor(s)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 xml:space="preserve">thereto, replacements thereof or publications promulgated pursuant thereto, including, without limitation, any such items or substances which are or may become regulated by any of the Environmental, Health and Safety Laws (as hereinafter defined); (ii) listed as a chemical known to the Commonwealth of Massachusetts to cause cancer or reproductive toxicity; or (iii) a pesticide, petroleum, including crude oil or any fraction thereof, asbestos or an asbestos-containing material, a polychlorinated biphenyl, radioactive material, urea formaldehyde, biohazard material, mold, fungus, virus, living organisms or other medical waste.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Environmental, Health and Safety Laws</w:t>
      </w:r>
      <w:r>
        <w:rPr>
          <w:rFonts w:ascii="Times New Roman;sans-serif" w:hAnsi="Times New Roman;sans-serif"/>
          <w:b w:val="false"/>
          <w:color w:val="000000"/>
          <w:sz w:val="22"/>
        </w:rPr>
        <w:t>. In addition to the laws referred to in Section 4(a) above, the term “</w:t>
      </w:r>
      <w:r>
        <w:rPr>
          <w:rFonts w:ascii="Times New Roman;sans-serif" w:hAnsi="Times New Roman;sans-serif"/>
          <w:b w:val="false"/>
          <w:color w:val="000000"/>
          <w:sz w:val="22"/>
          <w:u w:val="single"/>
        </w:rPr>
        <w:t>Environmental, Health and Safety Laws</w:t>
      </w:r>
      <w:r>
        <w:rPr>
          <w:color w:val="000000"/>
        </w:rPr>
        <w:t xml:space="preserve">” </w:t>
      </w:r>
      <w:r>
        <w:rPr>
          <w:rFonts w:ascii="Times New Roman;sans-serif" w:hAnsi="Times New Roman;sans-serif"/>
          <w:b w:val="false"/>
          <w:color w:val="000000"/>
          <w:sz w:val="22"/>
        </w:rPr>
        <w:t xml:space="preserve">shall be deemed to include, without limitation, 33 U.S.C. Section 1251 </w:t>
      </w:r>
      <w:r>
        <w:rPr>
          <w:rFonts w:ascii="Times New Roman;sans-serif" w:hAnsi="Times New Roman;sans-serif"/>
          <w:b w:val="false"/>
          <w:color w:val="000000"/>
          <w:sz w:val="22"/>
          <w:u w:val="single"/>
        </w:rPr>
        <w:t>et</w:t>
      </w:r>
      <w:r>
        <w:rPr>
          <w:color w:val="000000"/>
        </w:rPr>
        <w:t xml:space="preserve"> </w:t>
      </w:r>
      <w:r>
        <w:rPr>
          <w:rFonts w:ascii="Times New Roman;sans-serif" w:hAnsi="Times New Roman;sans-serif"/>
          <w:b w:val="false"/>
          <w:color w:val="000000"/>
          <w:sz w:val="22"/>
          <w:u w:val="single"/>
        </w:rPr>
        <w:t>seq</w:t>
      </w:r>
      <w:r>
        <w:rPr>
          <w:rFonts w:ascii="Times New Roman;sans-serif" w:hAnsi="Times New Roman;sans-serif"/>
          <w:b w:val="false"/>
          <w:color w:val="000000"/>
          <w:sz w:val="22"/>
        </w:rPr>
        <w:t xml:space="preserve">., 42 U.S.C. Section 6901 </w:t>
      </w:r>
      <w:r>
        <w:rPr>
          <w:rFonts w:ascii="Times New Roman;sans-serif" w:hAnsi="Times New Roman;sans-serif"/>
          <w:b w:val="false"/>
          <w:color w:val="000000"/>
          <w:sz w:val="22"/>
          <w:u w:val="single"/>
        </w:rPr>
        <w:t>et</w:t>
      </w:r>
      <w:r>
        <w:rPr>
          <w:color w:val="000000"/>
        </w:rPr>
        <w:t xml:space="preserve"> </w:t>
      </w:r>
      <w:r>
        <w:rPr>
          <w:rFonts w:ascii="Times New Roman;sans-serif" w:hAnsi="Times New Roman;sans-serif"/>
          <w:b w:val="false"/>
          <w:color w:val="000000"/>
          <w:sz w:val="22"/>
          <w:u w:val="single"/>
        </w:rPr>
        <w:t>seq</w:t>
      </w:r>
      <w:r>
        <w:rPr>
          <w:rFonts w:ascii="Times New Roman;sans-serif" w:hAnsi="Times New Roman;sans-serif"/>
          <w:b w:val="false"/>
          <w:color w:val="000000"/>
          <w:sz w:val="22"/>
        </w:rPr>
        <w:t xml:space="preserve">., 42 U.S.C. Section 7401 </w:t>
      </w:r>
      <w:r>
        <w:rPr>
          <w:rFonts w:ascii="Times New Roman;sans-serif" w:hAnsi="Times New Roman;sans-serif"/>
          <w:b w:val="false"/>
          <w:color w:val="000000"/>
          <w:sz w:val="22"/>
          <w:u w:val="single"/>
        </w:rPr>
        <w:t>et</w:t>
      </w:r>
      <w:r>
        <w:rPr>
          <w:color w:val="000000"/>
        </w:rPr>
        <w:t xml:space="preserve"> </w:t>
      </w:r>
      <w:r>
        <w:rPr>
          <w:rFonts w:ascii="Times New Roman;sans-serif" w:hAnsi="Times New Roman;sans-serif"/>
          <w:b w:val="false"/>
          <w:color w:val="000000"/>
          <w:sz w:val="22"/>
          <w:u w:val="single"/>
        </w:rPr>
        <w:t>seq</w:t>
      </w:r>
      <w:r>
        <w:rPr>
          <w:rFonts w:ascii="Times New Roman;sans-serif" w:hAnsi="Times New Roman;sans-serif"/>
          <w:b w:val="false"/>
          <w:color w:val="000000"/>
          <w:sz w:val="22"/>
        </w:rPr>
        <w:t xml:space="preserve">., 42 U.S.C. Section 9601 </w:t>
      </w:r>
      <w:r>
        <w:rPr>
          <w:rFonts w:ascii="Times New Roman;sans-serif" w:hAnsi="Times New Roman;sans-serif"/>
          <w:b w:val="false"/>
          <w:color w:val="000000"/>
          <w:sz w:val="22"/>
          <w:u w:val="single"/>
        </w:rPr>
        <w:t>et</w:t>
      </w:r>
      <w:r>
        <w:rPr>
          <w:color w:val="000000"/>
        </w:rPr>
        <w:t xml:space="preserve"> </w:t>
      </w:r>
      <w:r>
        <w:rPr>
          <w:rFonts w:ascii="Times New Roman;sans-serif" w:hAnsi="Times New Roman;sans-serif"/>
          <w:b w:val="false"/>
          <w:color w:val="000000"/>
          <w:sz w:val="22"/>
          <w:u w:val="single"/>
        </w:rPr>
        <w:t>seq</w:t>
      </w:r>
      <w:r>
        <w:rPr>
          <w:rFonts w:ascii="Times New Roman;sans-serif" w:hAnsi="Times New Roman;sans-serif"/>
          <w:b w:val="false"/>
          <w:color w:val="000000"/>
          <w:sz w:val="22"/>
        </w:rPr>
        <w:t xml:space="preserve">., the Emergency Planning and Community Right to Know Act (EPCRTKA) 42 U.S.C. § 11001-11050 and all local, state and federal laws, judgments, ordinances, orders, rules, regulations, codes and other governmental restrictions, guidelines and requirements, any amendments and successors thereto, replacements thereof and publications promulgated pursuant thereto, which deal with or otherwise in any manner relate to, Hazardous Materials, air or water quality, air emissions, soil or ground conditions, environmental, health and safety, including, but not limited to, industrial hygiene, soil, water, or environmental conditions or other environmental, health and safety matters of any kind. In addition to the foregoing, Tenant shall comply with all terms, conditions and guidelines contained in all licenses, permits and approvals applicable to Tenant’s laboratory uses and agrees to further acknowledge such agreement to so comply in writing upon request of Landlord.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Use of Hazardous Materials; Licenses; Audit Reports</w:t>
      </w:r>
      <w:r>
        <w:rPr>
          <w:rFonts w:ascii="Times New Roman;sans-serif" w:hAnsi="Times New Roman;sans-serif"/>
          <w:b w:val="false"/>
          <w:color w:val="000000"/>
          <w:sz w:val="22"/>
        </w:rPr>
        <w:t>. Tenant agrees that during the Term of this Lease, there shall be no use, presence, disposal, storage, generation, leakage, treatment, manufacture, import, handling, processing, release, or threatened release of Hazardous Materials on, from or under the Premises, the Building or the Property (individually and collectively, “</w:t>
      </w:r>
      <w:r>
        <w:rPr>
          <w:rFonts w:ascii="Times New Roman;sans-serif" w:hAnsi="Times New Roman;sans-serif"/>
          <w:b w:val="false"/>
          <w:color w:val="000000"/>
          <w:sz w:val="22"/>
          <w:u w:val="single"/>
        </w:rPr>
        <w:t>Hazardous Use</w:t>
      </w:r>
      <w:r>
        <w:rPr>
          <w:color w:val="000000"/>
        </w:rPr>
        <w:t>”</w:t>
      </w:r>
      <w:r>
        <w:rPr>
          <w:rFonts w:ascii="Times New Roman;sans-serif" w:hAnsi="Times New Roman;sans-serif"/>
          <w:b w:val="false"/>
          <w:color w:val="000000"/>
          <w:sz w:val="22"/>
        </w:rPr>
        <w:t xml:space="preserve">) except for Hazardous Materials which are typically used in the operation of offices or laboratories (including in connection with the Back-Up Power And Supplemental Components referenced in </w:t>
      </w:r>
      <w:r>
        <w:rPr>
          <w:rFonts w:ascii="Times New Roman;sans-serif" w:hAnsi="Times New Roman;sans-serif"/>
          <w:b w:val="false"/>
          <w:color w:val="000000"/>
          <w:sz w:val="22"/>
          <w:u w:val="single"/>
        </w:rPr>
        <w:t>Exhibit F</w:t>
      </w:r>
      <w:r>
        <w:rPr>
          <w:rFonts w:ascii="Times New Roman;sans-serif" w:hAnsi="Times New Roman;sans-serif"/>
          <w:b w:val="false"/>
          <w:color w:val="000000"/>
          <w:sz w:val="22"/>
        </w:rPr>
        <w:t xml:space="preserve">), provided that such Hazardous Materials are stored, used and disposed of in strict compliance with all applicable Environmental, Health and Safety Laws and with all BSL-2 requirements and protocol. Tenant represents and warrants that the list attached hereto as </w:t>
      </w:r>
      <w:r>
        <w:rPr>
          <w:rFonts w:ascii="Times New Roman;sans-serif" w:hAnsi="Times New Roman;sans-serif"/>
          <w:b w:val="false"/>
          <w:color w:val="000000"/>
          <w:sz w:val="22"/>
          <w:u w:val="single"/>
        </w:rPr>
        <w:t>Schedule F-1</w:t>
      </w:r>
      <w:r>
        <w:rPr>
          <w:color w:val="000000"/>
        </w:rPr>
        <w:t xml:space="preserve"> </w:t>
      </w:r>
      <w:r>
        <w:rPr>
          <w:rFonts w:ascii="Times New Roman;sans-serif" w:hAnsi="Times New Roman;sans-serif"/>
          <w:b w:val="false"/>
          <w:color w:val="000000"/>
          <w:sz w:val="22"/>
        </w:rPr>
        <w:t>is a list of substantially all Hazardous Materials expected to be used and stored by Tenant in the Premises as of the Term Commencement Date.</w:t>
      </w:r>
    </w:p>
    <w:p>
      <w:pPr>
        <w:pStyle w:val="TextBody"/>
        <w:bidi w:val="0"/>
        <w:spacing w:lineRule="auto" w:line="240" w:before="0" w:after="240"/>
        <w:ind w:left="0" w:right="0" w:firstLine="720"/>
        <w:jc w:val="both"/>
        <w:rPr/>
      </w:pPr>
      <w:r>
        <w:rPr>
          <w:color w:val="000000"/>
        </w:rPr>
        <w:t>    </w:t>
      </w:r>
      <w:r>
        <w:rPr>
          <w:rFonts w:ascii="Times New Roman;sans-serif" w:hAnsi="Times New Roman;sans-serif"/>
          <w:b w:val="false"/>
          <w:color w:val="000000"/>
          <w:sz w:val="22"/>
        </w:rPr>
        <w:t>Notwithstanding the foregoing, under no circumstances shall Tenant use or permit to exist in the Premises, or obtain any license, permit, registration or consent from any local, federal or state governmental agency, authority, commission, board or the like (each, a “</w:t>
      </w:r>
      <w:r>
        <w:rPr>
          <w:rFonts w:ascii="Times New Roman;sans-serif" w:hAnsi="Times New Roman;sans-serif"/>
          <w:b w:val="false"/>
          <w:color w:val="000000"/>
          <w:sz w:val="22"/>
          <w:u w:val="single"/>
        </w:rPr>
        <w:t>Governmental Authority</w:t>
      </w:r>
      <w:r>
        <w:rPr>
          <w:color w:val="000000"/>
        </w:rPr>
        <w:t>”</w:t>
      </w:r>
      <w:r>
        <w:rPr>
          <w:rFonts w:ascii="Times New Roman;sans-serif" w:hAnsi="Times New Roman;sans-serif"/>
          <w:b w:val="false"/>
          <w:color w:val="000000"/>
          <w:sz w:val="22"/>
        </w:rPr>
        <w:t xml:space="preserve">) permitting Tenant to use or store in the Premises, any of the Hazardous Materials or classes thereof listed and/or identified on </w:t>
      </w:r>
      <w:r>
        <w:rPr>
          <w:rFonts w:ascii="Times New Roman;sans-serif" w:hAnsi="Times New Roman;sans-serif"/>
          <w:b w:val="false"/>
          <w:color w:val="000000"/>
          <w:sz w:val="22"/>
          <w:u w:val="single"/>
        </w:rPr>
        <w:t>Schedule F-2</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color w:val="000000"/>
        </w:rPr>
      </w:pPr>
      <w:r>
        <w:rPr>
          <w:color w:val="000000"/>
        </w:rPr>
        <w:t>    </w:t>
      </w:r>
      <w:r>
        <w:rPr>
          <w:rFonts w:ascii="Times New Roman;sans-serif" w:hAnsi="Times New Roman;sans-serif"/>
          <w:b w:val="false"/>
          <w:color w:val="000000"/>
          <w:sz w:val="22"/>
        </w:rPr>
        <w:t xml:space="preserve">Within five (5) business days following Tenant’s receipt of Landlord’s written request therefor, Tenant shall promptly provide Landlord with copies of any and all licenses, permits, registrations or consents relating to the use, storage or disposal of Hazardous Materials that are obtained, modified or renewed during the Term. In addition, Tenant shall not permit the imposition of any lien by Governmental Authority or other party to secure payment for damages caused by, or the recovery of any costs or expenses for, the cleanup, remediation, investigation, transportation, disposal, release or threatened release of any Hazardous Material. Tenant also shall provide Landlord with prompt written notice in reasonable detail of (i) any release or threatened release at, on, under or from the Premises, Building or Property of which Tenant becomes aware which would reasonably be expected to exceed reportable quantities or give rise to a violation of any Environmental, Health and Safety Laws, or which could result in a legal obligation to investigate or remediate Hazardous Materials pursuant to, Environmental, Health and Safety Laws or any provisions of this Lease; (ii) any notice received by Tenant, or of which Tenant has knowledge, from any </w:t>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 xml:space="preserve">Governmental Authority in connection with any such release or any violation of Environmental, Health and Safety Laws, or in connection with the presence or alleged presence of any Hazardous Materials at the Premises, Building or Property; or (iii) any incurrence of expense by any Governmental Authority or other party in connection with the assessment, containment, disposal or removal of any Hazardous Materials located at, on, in, or under, or emanating from the Premises. </w:t>
      </w:r>
    </w:p>
    <w:p>
      <w:pPr>
        <w:pStyle w:val="TextBody"/>
        <w:bidi w:val="0"/>
        <w:spacing w:lineRule="auto" w:line="240" w:before="0" w:after="240"/>
        <w:ind w:left="0" w:right="0" w:firstLine="720"/>
        <w:jc w:val="both"/>
        <w:rPr/>
      </w:pPr>
      <w:r>
        <w:rPr>
          <w:color w:val="000000"/>
        </w:rPr>
        <w:t>    </w:t>
      </w:r>
      <w:r>
        <w:rPr>
          <w:rFonts w:ascii="Times New Roman;sans-serif" w:hAnsi="Times New Roman;sans-serif"/>
          <w:b w:val="false"/>
          <w:color w:val="000000"/>
          <w:sz w:val="22"/>
        </w:rPr>
        <w:t>Within five (5) days following Tenant’s receipt of Landlord’s written request from time to time given no more than once in any Lease Year, Tenant shall provide Landlord with an updated list of all Hazardous Materials, including quantifies used and such other information as Landlord may reasonably request, used or stored by Tenant in the Premises or otherwise on the Property. In the event Tenant fails to handle, store or dispose of Hazardous Materials in the Premises or otherwise on the Property in compliance with all applicable Environmental, Health and Safety Laws and all BSL-2 requirements and protocols, Tenant shall not handle, store or dispose of such Hazardous Materials in the Premises or on the Property until Tenant complies with all Environmental, Health and Safety Laws and BSL-2 requirements and protocols applicable to the handling, storage, or disposal of such Hazardous Materials. For the purposes of this Section 4(c), the term Hazardous Use shall include Hazardous Use(s) on, from or under the Premises by Tenant or any of its directors, officers, employees, shareholders, partners, licensees, invitees, agents, contractors or occupants (collectively, “</w:t>
      </w:r>
      <w:r>
        <w:rPr>
          <w:rFonts w:ascii="Times New Roman;sans-serif" w:hAnsi="Times New Roman;sans-serif"/>
          <w:b w:val="false"/>
          <w:color w:val="000000"/>
          <w:sz w:val="22"/>
          <w:u w:val="single"/>
        </w:rPr>
        <w:t>Tenant’s Parties</w:t>
      </w:r>
      <w:r>
        <w:rPr>
          <w:color w:val="000000"/>
        </w:rPr>
        <w:t>”</w:t>
      </w:r>
      <w:r>
        <w:rPr>
          <w:rFonts w:ascii="Times New Roman;sans-serif" w:hAnsi="Times New Roman;sans-serif"/>
          <w:b w:val="false"/>
          <w:color w:val="000000"/>
          <w:sz w:val="22"/>
        </w:rPr>
        <w:t>), whether known or unknown to Tenant, and whether occurring and/or existing during or prior to the commencement of the Term of this 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Compliance</w:t>
      </w:r>
      <w:r>
        <w:rPr>
          <w:rFonts w:ascii="Times New Roman;sans-serif" w:hAnsi="Times New Roman;sans-serif"/>
          <w:b w:val="false"/>
          <w:color w:val="000000"/>
          <w:sz w:val="22"/>
        </w:rPr>
        <w:t>. During the Term of this Lease, Tenant, at its sole cost and expense, shall comply with, and shall not be in violation of, any Environmental, Health and Safety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Inspection and Testing by Landlord</w:t>
      </w:r>
      <w:r>
        <w:rPr>
          <w:rFonts w:ascii="Times New Roman;sans-serif" w:hAnsi="Times New Roman;sans-serif"/>
          <w:b w:val="false"/>
          <w:color w:val="000000"/>
          <w:sz w:val="22"/>
        </w:rPr>
        <w:t>. If Landlord has reason to believe that Tenant has violated the provisions of this Section 4 or other provisions of this Lease governing Hazardous Materials, Landlord shall have the right to (i) inspect the Premises and to (ii) conduct tests and investigations to confirm whether Tenant is in compliance with the provisions of this Section. Except in case of emergency, Landlord shall give reasonable notice to Tenant before conducting any inspections, tests, or investigations. The cost of all such inspections, tests and investigations shall be borne by Tenant if Tenant is in breach of Section 4 or other provisions of the Lease governing Hazardous Materials. Neither any action nor inaction on the part of Landlord pursuant to this 4(e) shall be deemed in any way to release Tenant from, or in any way modify or alter, Tenant’s responsibilities, obligations, and/or liabilities incurred pursuant to Section 4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Decommissioning</w:t>
      </w:r>
      <w:r>
        <w:rPr>
          <w:rFonts w:ascii="Times New Roman;sans-serif" w:hAnsi="Times New Roman;sans-serif"/>
          <w:b w:val="false"/>
          <w:color w:val="000000"/>
          <w:sz w:val="22"/>
        </w:rPr>
        <w:t xml:space="preserve">. On or before the date that Tenant, and anyone claiming by, through or under Tenant, vacates the Premises, and immediately prior to the time that Tenant delivers the Premises to Landlord, Tenant shall, to the reasonable satisfaction of Landlord: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cause the Premises to be decommissioned in accordance with the regulations of the U.S. Nuclear Regulatory Commission and/or the Massachusetts Department of Public Health for the control of radiation, cause the Premises to be released for unrestricted use by the Radiation Control Program of the Massachusetts Department of Public Health for the control of radiation, and deliver to Landlord the report of a qualified radiation health physicist or radiation safety officer confirming, in substance, that he or she has examined the Premises (including visual inspection, Geiger counter evaluation and airborne and surface monitoring) and found no evidence of residual radioactive materials, radiation above natural background levels, or violation of any Environmental Health and </w:t>
        <w:br/>
        <w:br/>
        <w:br/>
        <w:br/>
        <w:br/>
        <w:br/>
        <w:br/>
        <w:b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br/>
        <w:t xml:space="preserve">Safety Laws; and deliver to Landlord the report of a certified industrial hygienist confirming, in substance, that he or she has examined the Premises (including visual inspection, onsite screening and laboratory analysis and found no evidence that the Premises contains any Hazardous Materials, no building materials or components have been adversely impacted by Hazardous Materials, or is otherwise in violation of any Environmental Health and Safety Laws;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intentionally deleted;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decommission all laboratory space in and about the Premises, including without limitation, to the extent required to deliver a complete Laboratory Decommissioning Checklist, and otherwise in accordance with applicable Laws and best practices for similarly used laboratory space, and to the satisfaction of Landlord and any Governmental Authority involved in the closure;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    terminate all licenses, permits, registrations and consents obtained by Tenant for the use or storage of Hazardous Materials or radioactive materials at the Premises or transfer such licenses, permits, registrations and consents for Tenant’s activities at another location;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remove from the Premises and dispose of all universal waste, Hazardous Materials, and radioactive materials stored in the Premises in compliance with applicable Laws (including, without limitation, all Environmental, Health and Safety Laws);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    decontaminate all surfaces and fixed equipment in the Premises;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    review and remediate and properly dispose of any specific Hazardous or Radioactive Materials that may be associated with any laboratory fixtures used by Tenant in the Premises; and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(viii)    provide to Landlord a copy of its most current universal, chemical, radiological and biological waste removal manifests and or bills of lading and a certification from Tenant executed by an officer of Tenant that no Hazardous Materials or other potentially dangerous or harmful chemicals brought onto the Premises from and after the date that Tenant first took occupancy of the Premises remain in the Premises.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Tenant shall indemnify, hold harmless, and, at Landlord’s option (with such attorneys as Landlord may approve in advance and in writing), defend Landlord and Landlord’s officers, directors, shareholders, partners, members, managers, employees, contractors, property managers, agents and mortgagees and other lien holders, from and against any and all Losses (including without limitation, any costs of cleanup, remediation, removal and restoration) arising from or related to: (a) any violation or alleged violation by Tenant or any of Tenant’s Parties of any of the requirements, ordinances, statutes, regulations or other laws referred to in this Section 4, including, without limitation, the Environmental, Health and Safety Laws; (b) any breach of the provisions of this Section 4 by Tenant or any of Tenant’s Parties; or (c) any Hazardous Use on, about or from the Premises of any Hazardous Material approved by Landlord under this Lease (including in connection with the Back-Up Power And Supplemental Components). The indemnification of Landlord by Tenant includes, without limitation, reasonable costs incurred in connection with any investigation of site conditions or any cleanup, remedial, removal or restoration work required by any federal, state or local governmental agency or political subdivision because of Hazardous Material present in the Building, soil or ground water, on or under the Premises based upon the circumstances identified in the first sentence of this subsection (g). The indemnification and hold harmless obligations of Tenant under this subsection (g) shall survive any termination of this Lease. </w:t>
      </w:r>
    </w:p>
    <w:p>
      <w:pPr>
        <w:pStyle w:val="TextBody"/>
        <w:bidi w:val="0"/>
        <w:spacing w:lineRule="auto" w:line="240" w:before="0" w:after="24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Dedicated Venting System</w:t>
      </w:r>
      <w:r>
        <w:rPr>
          <w:rFonts w:ascii="Times New Roman;sans-serif" w:hAnsi="Times New Roman;sans-serif"/>
          <w:b w:val="false"/>
          <w:color w:val="000000"/>
          <w:sz w:val="22"/>
        </w:rPr>
        <w:t xml:space="preserve">. During the Term, Tenant shall have the exclusive right to use the venting system to be installed as part of the Initial Tenant Work to exclusively serve the Premises, along with all related facilities, including, without limitation, any ducts flues, or chases installed to provide access to space outside of the Premises for the operation, maintenance, and repair of such venting system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br/>
        <w:t>(collectively the “</w:t>
      </w:r>
      <w:r>
        <w:rPr>
          <w:rFonts w:ascii="Times New Roman;sans-serif" w:hAnsi="Times New Roman;sans-serif"/>
          <w:b w:val="false"/>
          <w:color w:val="000000"/>
          <w:sz w:val="22"/>
          <w:u w:val="single"/>
        </w:rPr>
        <w:t>Dedicated Venting System</w:t>
      </w:r>
      <w:r>
        <w:rPr>
          <w:color w:val="000000"/>
        </w:rPr>
        <w:t>”</w:t>
      </w:r>
      <w:r>
        <w:rPr>
          <w:rFonts w:ascii="Times New Roman;sans-serif" w:hAnsi="Times New Roman;sans-serif"/>
          <w:b w:val="false"/>
          <w:color w:val="000000"/>
          <w:sz w:val="22"/>
        </w:rPr>
        <w:t xml:space="preserve">) and the non-exclusive right to access those portions of the Building and the Property (including, without limitation, the roof of the Building), to the extent necessary for the operation, maintenance, and repair of the Dedicated Venting System. Tenant acknowledges and agrees that access to any portion of the Dedicated Venting System located outside of the Premises shall be subject to coordination with the Landlord for such access. Tenant shall at all times comply with any and permits and approvals issues by applicable governmental authorities with respect to the use of the Dedicated Venting System. Tenant’s use of the Dedicated Venting System shall not at any time: (i) affect the waterproofing of the roof; or (ii) cause any interference with (w) the Building’s operating or mechanical systems, (x) the operations of any tenant in the Building, including any tenant’s roof deck use by reason of the emission of noxious vapors or odors (it being understood that emissions from the Dedicated Venting System shall be colorless and odorless so as to avoid such interruption and shall be in compliance with all Laws related to such emissions), (y) any telecommunications equipment in or on the Building (A) of any telecommunications service provider which makes its services available generally to the tenants of the Building or (B) serving a larger portion of the Building than the Premises. Tenant shall also cooperate with any rooftop management policy which Landlord may implement for the Building, provided that such policy does not materially decrease Tenant’s rights or materially increase Tenant’s obligations under this Lease. Tenant shall not be charged any Additional Rent as a result of the installation of the Dedicated Venting System, unless Tenant damages any portion of the Building or the roof in connection with its operation, maintenance, or repair of such Dedicated Venting System. Notwithstanding anything to the contrary contained in Section 8.03 of the Lease, in the event Landlord elects to remove the Dedicated Venting System and completes the removal of the Dedicated Venting System within ninety (90) days following the end of the Term, Tenant shall reimburse Landlord for its actual, documented, out-of-pocket costs of such removal within thirty (30) days following Tenant’s receipt of Landlord’s invoice therefor, accompanied by reasonably detailed documentation supporting such costs, given delivered within fifteen (15) days following the completion of such removal; provided, however, that Landlord shall have delivered Tenant an estimate of such costs of removal no later than five (5) Business Days prior to the commencement of such removal. Landlord shall have the right to retain the Letter of Credit until Landlord’s receipt of Tenant’s reimbursement of such removal costs; provided that Tenant shall have the right to deposit with Landlord a cash security deposit for the cost of such removal in lieu of the Letter of Credit, in which event Landlord will return the Letter of Credit to Tenant promptly after its receipt of such a cash security deposit. </w:t>
      </w:r>
    </w:p>
    <w:p>
      <w:pPr>
        <w:pStyle w:val="TextBody"/>
        <w:bidi w:val="0"/>
        <w:spacing w:lineRule="auto" w:line="240" w:before="0" w:after="24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Generator</w:t>
      </w:r>
      <w:r>
        <w:rPr>
          <w:rFonts w:ascii="Times New Roman;sans-serif" w:hAnsi="Times New Roman;sans-serif"/>
          <w:b w:val="false"/>
          <w:color w:val="000000"/>
          <w:sz w:val="22"/>
        </w:rPr>
        <w:t>. Tenant shall have the right to install, at Tenant’s sole cost, a back-up generator on the roof of the Building, a booster in the Garage, the associated gas line and related components (collectively, the “</w:t>
      </w:r>
      <w:r>
        <w:rPr>
          <w:rFonts w:ascii="Times New Roman;sans-serif" w:hAnsi="Times New Roman;sans-serif"/>
          <w:b w:val="false"/>
          <w:color w:val="000000"/>
          <w:sz w:val="22"/>
          <w:u w:val="single"/>
        </w:rPr>
        <w:t>Back-Up Power And Supplemental Components</w:t>
      </w:r>
      <w:r>
        <w:rPr>
          <w:color w:val="000000"/>
        </w:rPr>
        <w:t>”</w:t>
      </w:r>
      <w:r>
        <w:rPr>
          <w:rFonts w:ascii="Times New Roman;sans-serif" w:hAnsi="Times New Roman;sans-serif"/>
          <w:b w:val="false"/>
          <w:color w:val="000000"/>
          <w:sz w:val="22"/>
        </w:rPr>
        <w:t xml:space="preserve">), in the locations designated therefor by Landlord, subject to Landlord’s prior written approval of Tenant’s plans and specifications therefor, which approval shall not be unreasonably withheld, conditioned or delayed. Tenant shall also have the non-exclusive right to access those portions of the Building and the Property (including, without limitation, the roof of the Building), to the extent necessary for the installation, operation, maintenance, and repair of the Back-Up Power And Supplemental Components. Landlord shall have no obligations to Tenant with respect to the installation, operation, repair, maintenance or replacement of the Back-Up Power And Supplemental Components. Tenant shall be responsible, at Tenant's sole cost and expense, for maintaining, testing, refueling and cleaning the Back-Up Power And Supplemental Components, all in compliance with applicable Laws. Tenant shall, at its own cost and expense, enter into a regularly scheduled preventive maintenance/service contract with a maintenance contractor approved by Landlord for servicing the Back-Up Power And Supplemental Components (and a copy thereof shall be furnished to Landlord). The service contract must include all services suggested by the equipment manufacturers in the operation/maintenance manual or required by applicable government laws, ordinances, rules and regulations. Landlord may, upon notice to Tenant, enter into such a maintenance/service contract on behalf of Tenant or perform the work and, in either case, charge Tenant the cost thereof along with a reasonable amount for Landlord's overhead.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F-10</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Tenant acknowledges and agrees that access to any portion of the Back-Up Power and Supplemental Components located outside of the Premises shall be subject to coordination with the Landlord for such access. Tenant shall at all times comply with any and permits and approvals issues by applicable governmental authorities with respect to the use of the Back-Up Power and Supplemental Components. Tenant’s use of the Back-Up Power and Supplemental Components shall not at any time: (i) affect the waterproofing of the roof; or (ii) cause any interference with (w) the Building’s operating or mechanical systems, (x) the operations of any tenant in the Building, including any tenant’s roof deck use, (y) any telecommunications equipment in or on the Building (A) of any telecommunications service provider which makes its services available generally to the tenants of the Building or (B) serving a larger portion of the Building than the Premises. Tenant shall also cooperate with any rooftop management policy which Landlord may implement for the Building, provided that such policy does not materially decrease Tenant’s rights or materially increase Tenant’s obligations under this Lease. Tenant shall not be charged any Additional Rent as a result of the installation of the Back-Up Power and Supplemental Components, unless Tenant damages any portion of the Building or the roof in connection with its installation, operation, maintenance, or repair of such Back-Up Power and Supplemental Components. Notwithstanding anything to the contrary contained in Section 8.03 of the Lease, in the event Landlord elects to remove the Back-Up Power and Supplemental Components and completes the removal of the Back-Up Power and Supplemental Components within ninety (90) days following the end of the Term, Tenant shall reimburse Landlord for its actual, documented, out-of-pocket costs of such removal within thirty (30) days following Tenant’s receipt of Landlord’s invoice therefor, accompanied by reasonably detailed documentation supporting such costs, given delivered within fifteen (15) days following the completion of such removal; provided, however, that Landlord shall have delivered Tenant an estimate of such costs of removal no later than five (5) Business Days prior to the commencement of such removal. Landlord shall have the right to retain the Letter of Credit until Landlord’s receipt of Tenant’s reimbursement of such removal costs; provided that Tenant shall have the right to deposit with Landlord a cash security deposit for the cost of such removal in lieu of the Letter of Credit, in which event Landlord will return the Letter of Credit to Tenant promptly after its receipt of such a cash security deposit.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7. </w:t>
      </w:r>
      <w:r>
        <w:rPr>
          <w:rFonts w:ascii="Times New Roman;sans-serif" w:hAnsi="Times New Roman;sans-serif"/>
          <w:b w:val="false"/>
          <w:color w:val="000000"/>
          <w:sz w:val="22"/>
          <w:u w:val="single"/>
        </w:rPr>
        <w:t>Negative Condition</w:t>
      </w:r>
      <w:r>
        <w:rPr>
          <w:rFonts w:ascii="Times New Roman;sans-serif" w:hAnsi="Times New Roman;sans-serif"/>
          <w:b w:val="false"/>
          <w:color w:val="000000"/>
          <w:sz w:val="22"/>
        </w:rPr>
        <w:t>. In light of the fact that the Premises are in a multi-tenant Building, Tenant shall not perform any act or carry on any practice or operate any machinery or equipment (including, but without limitation, the use of grinders) which would be in violation of the provisions of Article 5 of the Lease and Sections 5 and 6 of this Exhibit F (a “</w:t>
      </w:r>
      <w:r>
        <w:rPr>
          <w:rFonts w:ascii="Times New Roman;sans-serif" w:hAnsi="Times New Roman;sans-serif"/>
          <w:b w:val="false"/>
          <w:color w:val="000000"/>
          <w:sz w:val="22"/>
          <w:u w:val="single"/>
        </w:rPr>
        <w:t>Negative Condition</w:t>
      </w:r>
      <w:r>
        <w:rPr>
          <w:color w:val="000000"/>
        </w:rPr>
        <w:t>”</w:t>
      </w:r>
      <w:r>
        <w:rPr>
          <w:rFonts w:ascii="Times New Roman;sans-serif" w:hAnsi="Times New Roman;sans-serif"/>
          <w:b w:val="false"/>
          <w:color w:val="000000"/>
          <w:sz w:val="22"/>
        </w:rPr>
        <w:t>). Upon Landlord’s written notice to Tenant that such a Negative Condition exists, Tenant shall thereafter promptly undertake actions to remedy such Negative Condition (which actions may include the installation, operation, maintenance and inspection of odor, noise, vibration, water and/or smoke control devices, and the establishment of effective control procedures to eliminate such odors, noise, vibration, smoke, water or other objectionable emissions) within five (5) days following receipt of such notice, or such longer period of time as is reasonably necessary to remedy such Negative Condition so long as Tenant promptly undertakes to remedy any such condition and diligently and continuously pursues such remedy to completion within thirty (30) days of receipt of such notice from Landlord. Tenant shall cease the activity causing the Negative Condition upon receipt of Landlord’s notice until the Negative Condition has been remedied. The means Tenant uses to prevent such migration may include but not be limited to: (i) operating the HVAC systems, including any special exhaust systems, under negative pressure, (ii) sealing all openings in the demising walls, (iii) providing continuous waterproof base (per Landlord’s criteria) along the demising walls in the showers (if any), kitchen and laboratory areas in the Premises, and (iv) placing machines or equipment in settings of cork, rubber or spring type noise and vibration eliminators. If any such Negative Condition is not so remedied, Landlord may, at its discretion either: (i) cure such Negative Condition, and Tenant shall then pay, as additional rent hereunder, the cost and expense incurred by Landlord to effect such cure within thirty (30) days following Tenant’s receipt of Landlord’s written demand therefor, or (ii) treat Tenant’s failure to remedy such Negative Condition as a Default, entitling Landlord to any of its remedies pursuant to the terms of this Lease.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F-11</w:t>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A. Simon,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8, 2024 </w:t>
      </w:r>
    </w:p>
    <w:tbl>
      <w:tblPr>
        <w:tblW w:w="5718"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556"/>
        <w:gridCol w:w="556"/>
        <w:gridCol w:w="556"/>
        <w:gridCol w:w="556"/>
        <w:gridCol w:w="556"/>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James C. D'Arecca,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8, 2024</w:t>
      </w:r>
    </w:p>
    <w:tbl>
      <w:tblPr>
        <w:tblW w:w="6366" w:type="dxa"/>
        <w:jc w:val="left"/>
        <w:tblInd w:w="0" w:type="dxa"/>
        <w:tblLayout w:type="fixed"/>
        <w:tblCellMar>
          <w:top w:w="28" w:type="dxa"/>
          <w:left w:w="28" w:type="dxa"/>
          <w:bottom w:w="28" w:type="dxa"/>
          <w:right w:w="28" w:type="dxa"/>
        </w:tblCellMar>
      </w:tblPr>
      <w:tblGrid>
        <w:gridCol w:w="124"/>
        <w:gridCol w:w="109"/>
        <w:gridCol w:w="109"/>
        <w:gridCol w:w="628"/>
        <w:gridCol w:w="628"/>
        <w:gridCol w:w="628"/>
        <w:gridCol w:w="628"/>
        <w:gridCol w:w="628"/>
        <w:gridCol w:w="628"/>
        <w:gridCol w:w="628"/>
        <w:gridCol w:w="628"/>
        <w:gridCol w:w="6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Haemonetics Corporation (the “Company”) on Form 10-Q for the period ended December 30, 2023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8, 2024 </w:t>
      </w:r>
    </w:p>
    <w:tbl>
      <w:tblPr>
        <w:tblW w:w="3918" w:type="dxa"/>
        <w:jc w:val="left"/>
        <w:tblInd w:w="0" w:type="dxa"/>
        <w:tblLayout w:type="fixed"/>
        <w:tblCellMar>
          <w:top w:w="28" w:type="dxa"/>
          <w:left w:w="28" w:type="dxa"/>
          <w:bottom w:w="28" w:type="dxa"/>
          <w:right w:w="28" w:type="dxa"/>
        </w:tblCellMar>
      </w:tblPr>
      <w:tblGrid>
        <w:gridCol w:w="124"/>
        <w:gridCol w:w="109"/>
        <w:gridCol w:w="109"/>
        <w:gridCol w:w="356"/>
        <w:gridCol w:w="356"/>
        <w:gridCol w:w="356"/>
        <w:gridCol w:w="356"/>
        <w:gridCol w:w="356"/>
        <w:gridCol w:w="356"/>
        <w:gridCol w:w="356"/>
        <w:gridCol w:w="356"/>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32.2</w:t>
      </w:r>
    </w:p>
    <w:p>
      <w:pPr>
        <w:pStyle w:val="TextBody"/>
        <w:bidi w:val="0"/>
        <w:spacing w:before="240" w:after="283"/>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Haemonetics Corporation (the “Company”) on Form 10-Q for the period ended December 30, 2023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8, 2024 </w:t>
      </w:r>
    </w:p>
    <w:tbl>
      <w:tblPr>
        <w:tblW w:w="4809" w:type="dxa"/>
        <w:jc w:val="left"/>
        <w:tblInd w:w="0" w:type="dxa"/>
        <w:tblLayout w:type="fixed"/>
        <w:tblCellMar>
          <w:top w:w="28" w:type="dxa"/>
          <w:left w:w="28" w:type="dxa"/>
          <w:bottom w:w="28" w:type="dxa"/>
          <w:right w:w="28" w:type="dxa"/>
        </w:tblCellMar>
      </w:tblPr>
      <w:tblGrid>
        <w:gridCol w:w="124"/>
        <w:gridCol w:w="109"/>
        <w:gridCol w:w="109"/>
        <w:gridCol w:w="455"/>
        <w:gridCol w:w="455"/>
        <w:gridCol w:w="455"/>
        <w:gridCol w:w="455"/>
        <w:gridCol w:w="455"/>
        <w:gridCol w:w="455"/>
        <w:gridCol w:w="455"/>
        <w:gridCol w:w="455"/>
        <w:gridCol w:w="4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D'Arecca,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3143/000031314319000035/exhibit31-restatedarticles.htm" TargetMode="External"/><Relationship Id="rId3" Type="http://schemas.openxmlformats.org/officeDocument/2006/relationships/hyperlink" Target="http://www.sec.gov/Archives/edgar/data/313143/000031314320000052/by-lawsasamended62920.htm" TargetMode="External"/><Relationship Id="rId4" Type="http://schemas.openxmlformats.org/officeDocument/2006/relationships/hyperlink" Target="https://www.sec.gov/Archives/edgar/data/313143/000031314323000051/exhibit21-arrangementagree.htm" TargetMode="External"/><Relationship Id="rId5" Type="http://schemas.openxmlformats.org/officeDocument/2006/relationships/hyperlink" Target="https://www.sec.gov/Archives/edgar/data/313143/000031314323000051/exhibit101-formofvotingsup.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54414</Words>
  <Characters>294247</Characters>
  <CharactersWithSpaces>347383</CharactersWithSpaces>
  <Paragraphs>3760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