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26,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October 24, 2015: 50,724,474</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9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Income and Comprehensive (Loss) Income - Three and Six Months Ended September 26, 2015 and</w:t>
              </w:r>
            </w:hyperlink>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September 27, 2014</w:t>
              </w:r>
            </w:hyperlink>
          </w:p>
        </w:tc>
        <w:tc>
          <w:tcPr>
            <w:tcW w:w="878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 - September 26, 2015 and Audited Consolidated Balance Sheet - March 28, 2015</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80" w:type="dxa"/>
            <w:vAlign w:val="bottom"/>
            <w:tcBorders>
              <w:top w:val="single" w:sz="8" w:color="0000EE"/>
            </w:tcBorders>
            <w:gridSpan w:val="1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Cash Flows - Six Months Ended September 26, 2015 and September 27, 2014</w:t>
              </w:r>
            </w:hyperlink>
          </w:p>
        </w:tc>
        <w:tc>
          <w:tcPr>
            <w:tcW w:w="15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4480" w:type="dxa"/>
            <w:vAlign w:val="bottom"/>
            <w:tcBorders>
              <w:top w:val="single" w:sz="8" w:color="0000EE"/>
            </w:tcBorders>
            <w:gridSpan w:val="3"/>
          </w:tcPr>
          <w:p>
            <w:pPr>
              <w:spacing w:after="0"/>
              <w:rPr>
                <w:sz w:val="21"/>
                <w:szCs w:val="21"/>
                <w:color w:val="auto"/>
              </w:rPr>
            </w:pPr>
          </w:p>
        </w:tc>
        <w:tc>
          <w:tcPr>
            <w:tcW w:w="180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18">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19</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4">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left="260" w:right="2040"/>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(LOSS)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4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240" w:type="dxa"/>
            <w:vAlign w:val="bottom"/>
          </w:tcPr>
          <w:p>
            <w:pPr>
              <w:spacing w:after="0"/>
              <w:rPr>
                <w:sz w:val="13"/>
                <w:szCs w:val="13"/>
                <w:color w:val="auto"/>
              </w:rPr>
            </w:pPr>
          </w:p>
        </w:tc>
        <w:tc>
          <w:tcPr>
            <w:tcW w:w="124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3"/>
              </w:rPr>
              <w:t>September 26,</w:t>
            </w:r>
          </w:p>
        </w:tc>
        <w:tc>
          <w:tcPr>
            <w:tcW w:w="22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27,</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227,580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433,106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452,068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119,466</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225,270</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237,676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108,114</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207,836</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214,392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10,938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22,874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84,769</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162,177</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177,331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95,707</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185,051</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203,650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12,407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22,785</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10,742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(4,615)</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9,762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18,170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5,554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5,574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12,863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7,487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12,596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3,839</w:t>
            </w:r>
          </w:p>
        </w:tc>
      </w:tr>
      <w:tr>
        <w:trPr>
          <w:trHeight w:val="311"/>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0.25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50,680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51,391</w:t>
            </w:r>
          </w:p>
        </w:tc>
        <w:tc>
          <w:tcPr>
            <w:tcW w:w="24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51,020</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51,567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51,925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51,638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52,056</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6,990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2,495</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26,</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160,662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$2,273 at September 26, 2015 and $1,749 at March 28, 2015</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145,411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145,827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211,077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11,977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12,608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40,103</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500,724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570,277</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328,233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321,948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4"/>
              </w:rPr>
              <w:t>Intangible assets, less accumulated amortization of $150,318 at September 26, 2015 and $133,175 at March 28, 2015</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237,685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244,588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334,310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3,023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11,271</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1,418,944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21,522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42,088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48,425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51,115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taxes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3,819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64,211</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188,105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189,092</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387,715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406,369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deferred tax liability</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34,781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32,097</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31,737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$0.01 par value; Authorized — 150,000,000 shares; Issued and outstanding — 50,620,986 shares at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September 26, 2015 and 51,670,969 shares at March 28, 2015</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430,488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426,964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384,359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420,365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(38,473)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(21,724)</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776,880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826,122</w:t>
            </w: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1,418,944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1,485,417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13"/>
                <w:szCs w:val="13"/>
                <w:color w:val="auto"/>
              </w:rPr>
            </w:pPr>
          </w:p>
        </w:tc>
        <w:tc>
          <w:tcPr>
            <w:tcW w:w="136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September 27,</w:t>
            </w: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3,839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41,625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financing costs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572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Loss on sale of property, plant and equipment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(gain)/loss from hedging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write-down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inventories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(13,185)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prepaid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other assets and other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accounts payable and accrued expenses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2,529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377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acquisitions and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(70,495)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short-term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4,042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(33,770)</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(35,456)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(62,498)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192,469</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100,247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129,971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4,180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Transfers from inventory to fixed assets for placement of Haemonetics equipment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4,026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380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six months ended are not necessarily indicative of the results that may be expected for the full fiscal year ending April 2, 2016, or any other interim period. Operating results for the six months ended September 26, 2015 include the correction of an understatement of the provision for income taxes in fiscal 2015, which was determined to be immaterial to all periods impacted. Absent this correction, the provision for income taxes in the six months ended September 26, 2015 would have been $1.0 million lower than the amount included in the accompanying Consolidated Statements of Income and Comprehensive (Loss) Income. This understatement was due to an error in the computation of the provision for income taxes due to a recent change in the capital gains tax rate in Puerto Rico related to certain deferred tax liabilities. These unaudited consolidated financial statements should be read in conjunction with our audited consolidated financial statements and footnotes included in our annual report on Form 10-K for the fiscal year ended March 28, 2015.</w:t>
      </w:r>
    </w:p>
    <w:p>
      <w:pPr>
        <w:spacing w:after="0" w:line="18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2016 includes 53 weeks with each of the first three quarters having 13 weeks and the fourth quarter having 14 weeks. Fiscal year 2015 included 52 weeks with each quarter having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For additional information regarding significant accounting policies, refer to our annual report on Form 10-K for the fiscal year ended March 28, 2015.</w:t>
      </w:r>
    </w:p>
    <w:p>
      <w:pPr>
        <w:spacing w:after="0" w:line="174" w:lineRule="exact"/>
        <w:rPr>
          <w:sz w:val="20"/>
          <w:szCs w:val="20"/>
          <w:color w:val="auto"/>
        </w:rPr>
      </w:pPr>
    </w:p>
    <w:p>
      <w:pPr>
        <w:ind w:right="734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No. 2014-08,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(Topic 205) and Property, Plant, and Equipment (Topic 360): Reporting Discontinued Operations and Disclosures of Disposals of Components of an Entity</w:t>
      </w:r>
      <w:r>
        <w:rPr>
          <w:rFonts w:ascii="Arial" w:cs="Arial" w:eastAsia="Arial" w:hAnsi="Arial"/>
          <w:sz w:val="17"/>
          <w:szCs w:val="17"/>
          <w:color w:val="auto"/>
        </w:rPr>
        <w:t>. ASU No. 2014-08 limits the requirement to report discontinued operations to disposals of components of an entity that represent strategic shifts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ASU No. 2014-08 are effective prospectively for reporting periods beginning on or after December 15, 2014, with early adoption permitted. We adopted ASU No. 2014-08 beginning in the first quarter of fiscal 2016. The adoption of ASU No. 2014-08 did not impact our financial position or results of operations.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No. 2014-09 stipulates that an entity should recognize revenue to depict the transfer of promised goods or services to customers in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line="293" w:lineRule="auto"/>
        <w:rPr>
          <w:sz w:val="20"/>
          <w:szCs w:val="20"/>
          <w:color w:val="auto"/>
        </w:rPr>
      </w:pPr>
      <w:r>
        <w:rPr>
          <w:rFonts w:ascii="Arial" w:cs="Arial" w:eastAsia="Arial" w:hAnsi="Arial"/>
          <w:sz w:val="16"/>
          <w:szCs w:val="16"/>
          <w:color w:val="auto"/>
        </w:rPr>
        <w:t>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 The impact of adopting ASU No. 2014-09 on our financial position and results of operations is being assessed by management.</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Compensation—Stock Compensation (Topic 718): Accounting for Share-Based Payments When the 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an Award Provide That a Performance Target Could Be Achieved after the Requisite Service Period</w:t>
      </w:r>
      <w:r>
        <w:rPr>
          <w:rFonts w:ascii="Arial" w:cs="Arial" w:eastAsia="Arial" w:hAnsi="Arial"/>
          <w:sz w:val="17"/>
          <w:szCs w:val="17"/>
          <w:color w:val="auto"/>
        </w:rPr>
        <w:t>. ASU No. 2014-12 requires that a performance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affects vesting and could be achieved after the 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Management does not believe that the adoption of ASU No. 2014-12 will have a material effect on our financial position or results of operations.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2015, the FASB issued ASU No. 2015-01, </w:t>
      </w:r>
      <w:r>
        <w:rPr>
          <w:rFonts w:ascii="Arial" w:cs="Arial" w:eastAsia="Arial" w:hAnsi="Arial"/>
          <w:sz w:val="18"/>
          <w:szCs w:val="18"/>
          <w:i w:val="1"/>
          <w:iCs w:val="1"/>
          <w:color w:val="auto"/>
        </w:rPr>
        <w:t>Income Statement-Extraordinary and Unusual Items (Subtopic 225-20): Simplifying Income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by Eliminating the Concept of Extraordinary Items</w:t>
      </w:r>
      <w:r>
        <w:rPr>
          <w:rFonts w:ascii="Arial" w:cs="Arial" w:eastAsia="Arial" w:hAnsi="Arial"/>
          <w:sz w:val="18"/>
          <w:szCs w:val="18"/>
          <w:color w:val="auto"/>
        </w:rPr>
        <w:t>. ASU No. 2015-01 eliminates from GAAP the concept of extraordinary items. An entity will</w:t>
      </w:r>
      <w:r>
        <w:rPr>
          <w:rFonts w:ascii="Arial" w:cs="Arial" w:eastAsia="Arial" w:hAnsi="Arial"/>
          <w:sz w:val="18"/>
          <w:szCs w:val="18"/>
          <w:i w:val="1"/>
          <w:iCs w:val="1"/>
          <w:color w:val="auto"/>
        </w:rPr>
        <w:t xml:space="preserve"> </w:t>
      </w:r>
      <w:r>
        <w:rPr>
          <w:rFonts w:ascii="Arial" w:cs="Arial" w:eastAsia="Arial" w:hAnsi="Arial"/>
          <w:sz w:val="18"/>
          <w:szCs w:val="18"/>
          <w:color w:val="auto"/>
        </w:rPr>
        <w:t>no longer be required to (1) segregate an extraordinary item from the results of ordinary operations; (2) separately present an extraordinary item on its income statement, net of tax, after income from continuing operations; and (3) disclose income taxes and earnings-per-share data applicable to an extraordinary item. ASU No. 2015-01 will be effective for fiscal years beginning after December 15, 2015. An entity may apply the amendments prospectively or retrospectively to all prior periods presented in the financial statements. Early adoption is permitted provided that the guidance is applied from the beginning of the fiscal year of adoption. Management does not believe that the adoption of ASU No. 2015-01 will have a material effect on our financial position or results of operations.</w:t>
      </w:r>
    </w:p>
    <w:p>
      <w:pPr>
        <w:spacing w:after="0" w:line="19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ASU No. 2015-02 amended the process that a reporting entity must perform to determine whether it should consolidate certain types of legal entities. ASU No. 2015-02 is effective for annual periods ending after December 15, 2015, and for annual periods and interim periods thereafter with early adoption permitted. Management does not believe that the adoption of ASU No. 2015-02 will have a material effect on our financial position or results of operations.</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xml:space="preserve"> ASU No. 2015-03 requires that debt issuance costs related to a recognized debt liability be presented in the balance sheet as a direct deduction from the carrying amount of that debt liability, consistent with debt discounts. This guidance simplifies the presentation of debt issuance costs but does not address presentation or subsequent measurement of debt issue costs related to line of credit arrangements. In August 2015, the FASB issued ASU No. 2015-15, </w:t>
      </w:r>
      <w:r>
        <w:rPr>
          <w:rFonts w:ascii="Arial" w:cs="Arial" w:eastAsia="Arial" w:hAnsi="Arial"/>
          <w:sz w:val="16"/>
          <w:szCs w:val="16"/>
          <w:i w:val="1"/>
          <w:iCs w:val="1"/>
          <w:color w:val="auto"/>
        </w:rPr>
        <w:t xml:space="preserve">Interest—Imputation of Interest (Subtopic 835-30): Presentation and Subsequent Measurement of Debt Issuance Costs Associated with Line-of-Credit Arrangements. </w:t>
      </w:r>
      <w:r>
        <w:rPr>
          <w:rFonts w:ascii="Arial" w:cs="Arial" w:eastAsia="Arial" w:hAnsi="Arial"/>
          <w:sz w:val="16"/>
          <w:szCs w:val="16"/>
          <w:color w:val="auto"/>
        </w:rPr>
        <w:t>ASU No. 2015-15 indicates that the SEC staff would not object to an entity deferring and presenting debt issuance costs related to line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arrangements as an asset and subsequently amortizing the deferred debt issuance costs over the term of the line of credit arrangement, regardless of whether there are any outstanding borrowings on the line of credit arrangement. ASU No. 2015-03 is effective for annual periods beginning after December 15, 2015, and interim periods within those annual periods. Early adoption is permitted. Management does not believe that the adoption of ASU No. 2015-03 will have a material effect on our financial position or results of operations.</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In April 2015, the FASB issued ASU No. 2015-04, </w:t>
      </w:r>
      <w:r>
        <w:rPr>
          <w:rFonts w:ascii="Arial" w:cs="Arial" w:eastAsia="Arial" w:hAnsi="Arial"/>
          <w:sz w:val="18"/>
          <w:szCs w:val="18"/>
          <w:i w:val="1"/>
          <w:iCs w:val="1"/>
          <w:color w:val="auto"/>
        </w:rPr>
        <w:t>Compensation—Retirement Benefits (Topic 715): Practical Expedient for the Measurement Date of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Employer’s Defined Benefit Obligation and Plan Assets. </w:t>
      </w:r>
      <w:r>
        <w:rPr>
          <w:rFonts w:ascii="Arial" w:cs="Arial" w:eastAsia="Arial" w:hAnsi="Arial"/>
          <w:sz w:val="18"/>
          <w:szCs w:val="18"/>
          <w:color w:val="auto"/>
        </w:rPr>
        <w:t>ASU No. 2015-04 provides a practical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ind w:right="80"/>
        <w:spacing w:after="0" w:line="279" w:lineRule="auto"/>
        <w:rPr>
          <w:sz w:val="20"/>
          <w:szCs w:val="20"/>
          <w:color w:val="auto"/>
        </w:rPr>
      </w:pPr>
      <w:r>
        <w:rPr>
          <w:rFonts w:ascii="Arial" w:cs="Arial" w:eastAsia="Arial" w:hAnsi="Arial"/>
          <w:sz w:val="17"/>
          <w:szCs w:val="17"/>
          <w:color w:val="auto"/>
        </w:rPr>
        <w:t>expedient, for an entity with a fiscal year-end that does not coincide with a month-end, that permits the entity to measure defined benefit plan assets and obligations using the month-end that is closest to the entity's fiscal year-end and apply that practical expedient consistently from year to year. ASU No. 2015-04 is effective for fiscal years beginning after December 15, 2015, and interim periods within those fiscal years. Early application is permitted. Management does not believe that the adoption of ASU No. 2015-04 will have a material effect on our financial position or results of operations.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Fees Paid in a Cloud Computing Arrangement</w:t>
      </w:r>
      <w:r>
        <w:rPr>
          <w:rFonts w:ascii="Arial" w:cs="Arial" w:eastAsia="Arial" w:hAnsi="Arial"/>
          <w:sz w:val="16"/>
          <w:szCs w:val="16"/>
          <w:color w:val="auto"/>
        </w:rPr>
        <w:t>. ASU No. 2015-05 will help entities evaluate the accounting for fees paid by a customer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ASU No. 2015-05 is effective for interim and annual periods beginning after December 15, 2015 with early adoption permitted. Management does not believe that the adoption of ASU No. 2015-05 will have a material effect on our financial position or results of operations.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ASU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ASU No. 2015-11 is effective for annual reporting periods beginning after December 15, 2016 and interim periods within those fiscal years. ASU No. 2015-11 should be applied prospectively with earlier application permitted as of the beginning of an interim or annual reporting period. Management does not believe that the adoption of ASU No. 2015-11 will have a material effect on our financial position or results of operations.</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2015, the FASB issued ASU No. 2015-12, </w:t>
      </w:r>
      <w:r>
        <w:rPr>
          <w:rFonts w:ascii="Arial" w:cs="Arial" w:eastAsia="Arial" w:hAnsi="Arial"/>
          <w:sz w:val="17"/>
          <w:szCs w:val="17"/>
          <w:i w:val="1"/>
          <w:iCs w:val="1"/>
          <w:color w:val="auto"/>
        </w:rPr>
        <w:t>Plan Accounting: Defined Benefit Pension Plans (Topic 960), Defined Contribution Pension Plans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7"/>
          <w:szCs w:val="17"/>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is effective for fiscal years beginning after December 15, 2015 with early adoption permitted. Management does not believe that the adoption of ASU No. 2015-12 will have a material effect on our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13"/>
                <w:szCs w:val="13"/>
                <w:color w:val="auto"/>
              </w:rPr>
            </w:pPr>
          </w:p>
        </w:tc>
        <w:tc>
          <w:tcPr>
            <w:tcW w:w="13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3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51,391</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3840" w:type="dxa"/>
            <w:vAlign w:val="bottom"/>
            <w:tcBorders>
              <w:bottom w:val="single" w:sz="8" w:color="CCEEFF"/>
            </w:tcBorders>
            <w:gridSpan w:val="2"/>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51,391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51,187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51,925</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384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720" w:type="dxa"/>
            <w:vAlign w:val="bottom"/>
            <w:vMerge w:val="restart"/>
          </w:tcPr>
          <w:p>
            <w:pPr>
              <w:jc w:val="right"/>
              <w:ind w:right="2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7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3"/>
                <w:szCs w:val="13"/>
                <w:color w:val="auto"/>
              </w:rPr>
            </w:pPr>
          </w:p>
        </w:tc>
        <w:tc>
          <w:tcPr>
            <w:tcW w:w="13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September 27,</w:t>
            </w:r>
          </w:p>
        </w:tc>
      </w:tr>
      <w:tr>
        <w:trPr>
          <w:trHeight w:val="192"/>
        </w:trPr>
        <w:tc>
          <w:tcPr>
            <w:tcW w:w="794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3,839</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51,567</w:t>
            </w:r>
          </w:p>
        </w:tc>
      </w:tr>
      <w:tr>
        <w:trPr>
          <w:trHeight w:val="297"/>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0.07</w:t>
            </w:r>
          </w:p>
        </w:tc>
      </w:tr>
      <w:tr>
        <w:trPr>
          <w:trHeight w:val="23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3,839</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51,567</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489</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52,056</w:t>
            </w:r>
          </w:p>
        </w:tc>
      </w:tr>
      <w:tr>
        <w:trPr>
          <w:trHeight w:val="257"/>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Diluted income per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0.07</w:t>
            </w:r>
          </w:p>
        </w:tc>
      </w:tr>
      <w:tr>
        <w:trPr>
          <w:trHeight w:val="20"/>
        </w:trPr>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Weighted average shares outstanding, assuming dilution, excludes the impact of 1.6 million and 1.1 million anti-dilutive shares for the three and six months ended September 26, 2015, respectively, as compared to 1.6 million anti-dilutive shares for the three and six months ended September 27,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Total stock-based compensation expense of $3.9 million and $6.9 million was recognized for the six months ended September 26, 2015 and September 27, 2014, respectively. The related income tax benefit recognized was $1.2 million and $2.2 million for the six months ended September 26, 2015 and September 27, 2014, respectively.</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weighted average fair value for our options granted was $9.05 and $8.08 per share for the six months ended September 26, 2015 and September 27, 2014, respectively. The assumptions utilized for estimating the fair value of option grants during the periods presented are as follows:</w:t>
      </w:r>
    </w:p>
    <w:p>
      <w:pPr>
        <w:spacing w:after="0" w:line="152"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September 26,</w:t>
            </w:r>
          </w:p>
        </w:tc>
        <w:tc>
          <w:tcPr>
            <w:tcW w:w="1660" w:type="dxa"/>
            <w:vAlign w:val="bottom"/>
          </w:tcPr>
          <w:p>
            <w:pPr>
              <w:jc w:val="right"/>
              <w:ind w:right="336"/>
              <w:spacing w:after="0"/>
              <w:rPr>
                <w:sz w:val="20"/>
                <w:szCs w:val="20"/>
                <w:color w:val="auto"/>
              </w:rPr>
            </w:pPr>
            <w:r>
              <w:rPr>
                <w:rFonts w:ascii="Arial" w:cs="Arial" w:eastAsia="Arial" w:hAnsi="Arial"/>
                <w:sz w:val="14"/>
                <w:szCs w:val="14"/>
                <w:b w:val="1"/>
                <w:bCs w:val="1"/>
                <w:color w:val="auto"/>
              </w:rPr>
              <w:t>September 27,</w:t>
            </w:r>
          </w:p>
        </w:tc>
      </w:tr>
      <w:tr>
        <w:trPr>
          <w:trHeight w:val="192"/>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22.62%</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26, 2015, there was $17.8 million of total unrecognized compensation cost related to non-vested equity based compensation, including stock options, restricted stock units, market stock units and performance share units. This cost is expected to be recognized over a weighted average period of 2.3 years.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September 26, 2015 and September 27, 2014, there were 73,360 and 97,415 shares, respectively, purchased under the Employee Stock Purchase Plan at an average price of $30.84 and $25.85 per share,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27,</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577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572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w:t>
            </w: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17,183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12,462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126,335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126,821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207,645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211,077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manufacture, market and sell our products globally. For the six months ended September 26, 2015, approximately 42.8% of our sales were generated outside the U.S. in local currencies. We also incur certain manufacturing, marketing and selling costs in international markets in local currency.</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British Pound Sterling,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September 26, 2015 and March 28, 2015 were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record the effective portion of any change in the fair value of designated foreign currency hedge contracts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$123.2 million as of September 26, 2015 and $145.8 million as of March 28, 2015.</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six months ended September 26, 2015, we recognized net gains of $6.6 million in earnings from our cash flow hedges, compared to recognized net gains of $1.6 million during the six months ended September 27, 2014. For the six months ended September 26, 2015, a $1.2 million loss, net of tax, was recorded in Accumulated Other Comprehensive Loss to recognize the effective portion of the fair value of any designated foreign currency hedge contracts that are, or previously were, designated as foreign currency cash flow hedges, as compared to a gain of $4.4 million, net of tax, for the six months 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ind w:right="40"/>
        <w:spacing w:after="0" w:line="277" w:lineRule="auto"/>
        <w:rPr>
          <w:sz w:val="20"/>
          <w:szCs w:val="20"/>
          <w:color w:val="auto"/>
        </w:rPr>
      </w:pPr>
      <w:r>
        <w:rPr>
          <w:rFonts w:ascii="Arial" w:cs="Arial" w:eastAsia="Arial" w:hAnsi="Arial"/>
          <w:sz w:val="18"/>
          <w:szCs w:val="18"/>
          <w:color w:val="auto"/>
        </w:rPr>
        <w:t>September 27, 2014. At September 26, 2015, nominal losses, net of tax, will be reclassified to earnings within the next twelve months. All currency cash flow hedges outstanding as of September 26, 2015 mature within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$42.7 million as of September 26, 2015 and $45.8 million as of March 28,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1, 2012, we entered into a credit agreement, as amended June 30, 2014, which provided for a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allows us to borrow in multiple tranches.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We formally document our hedge relationships (including identifying the hedged instrument and hedged item) at hedge inception to ensure that our interest rate swaps qualify for hedge accounting.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six months ended September 26, 2015 and September 27, 2014, a loss of $0.2 million and a loss of $0.1 million, respectively, net of tax, were recorded in Accumulated Other Comprehensive Loss to recognize the effective portion of the fair value of interest rate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Topic 815 in our consolidated statements of income and comprehensive income for the six months ended September 26, 2015: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4"/>
              </w:rPr>
              <w:t>Amount of Loss</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Amount of Gain</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6"/>
              </w:rPr>
              <w:t>Amount of Gain</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1"/>
              </w:rPr>
              <w:t>Recognized</w:t>
            </w:r>
          </w:p>
        </w:tc>
        <w:tc>
          <w:tcPr>
            <w:tcW w:w="2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7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4"/>
              </w:rPr>
              <w:t>from Accumulated Other</w:t>
            </w:r>
          </w:p>
        </w:tc>
        <w:tc>
          <w:tcPr>
            <w:tcW w:w="2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3"/>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7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3"/>
              </w:rPr>
              <w:t>Comprehensive Loss into</w:t>
            </w:r>
          </w:p>
        </w:tc>
        <w:tc>
          <w:tcPr>
            <w:tcW w:w="2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3"/>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(Loss) Income</w:t>
            </w:r>
          </w:p>
        </w:tc>
        <w:tc>
          <w:tcPr>
            <w:tcW w:w="160" w:type="dxa"/>
            <w:vAlign w:val="bottom"/>
          </w:tcPr>
          <w:p>
            <w:pPr>
              <w:spacing w:after="0"/>
              <w:rPr>
                <w:sz w:val="7"/>
                <w:szCs w:val="7"/>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Testing *</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restart"/>
          </w:tcPr>
          <w:p>
            <w:pPr>
              <w:jc w:val="center"/>
              <w:ind w:right="99"/>
              <w:spacing w:after="0"/>
              <w:rPr>
                <w:sz w:val="20"/>
                <w:szCs w:val="20"/>
                <w:color w:val="auto"/>
              </w:rPr>
            </w:pPr>
            <w:r>
              <w:rPr>
                <w:rFonts w:ascii="Arial" w:cs="Arial" w:eastAsia="Arial" w:hAnsi="Arial"/>
                <w:sz w:val="14"/>
                <w:szCs w:val="14"/>
                <w:color w:val="auto"/>
                <w:w w:val="92"/>
              </w:rPr>
              <w:t>Retained Earnings</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Derivative Instruments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1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September 26, 2015 or March 28,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right="700"/>
        <w:spacing w:after="0" w:line="277" w:lineRule="auto"/>
        <w:rPr>
          <w:sz w:val="20"/>
          <w:szCs w:val="20"/>
          <w:color w:val="auto"/>
        </w:rPr>
      </w:pPr>
      <w:r>
        <w:rPr>
          <w:rFonts w:ascii="Arial" w:cs="Arial" w:eastAsia="Arial" w:hAnsi="Arial"/>
          <w:sz w:val="18"/>
          <w:szCs w:val="18"/>
          <w:color w:val="auto"/>
        </w:rPr>
        <w:t>As of September 26, 2015, the amount recognized as a deferred tax liability for designated foreign currency hedges was $0.2 million and the amount recognized as a deferred tax asset for interest rate swap hedges was $0.2 million.</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26, 2015,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our derivative instruments as they appear in our consolidated balance sheets as of September 26,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28, 2015: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Location in</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September 26, 2015</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9,740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ASC Topic 820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six months ended September 26, 2015,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September 26, 2015 and March 28,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September 26,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March 28, 2015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63,180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63,180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119,946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119,946</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9,740</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63,180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65,800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119,946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9,740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129,686</w:t>
            </w:r>
          </w:p>
        </w:tc>
      </w:tr>
      <w:tr>
        <w:trPr>
          <w:trHeight w:val="67"/>
        </w:trPr>
        <w:tc>
          <w:tcPr>
            <w:tcW w:w="23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2,499</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Designated 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4,727</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3,418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7,385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six months ended September 26, 2015, non-designated foreign currency hedge contracts were not significant and are not disclosed separately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 This Level 3 fair value measurement was performed using a probability-weighted discounted cash flow over a ten year period. 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reconciliation of the beginning and ending Level 3 liabilities for the six months ended September 26,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March 28,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4,898</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w w:val="95"/>
              </w:rPr>
              <w:t>The fair value adjustment to contingent consideration was a result of updated assumptions pertaining to timing and unit volumes.</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Other Fair Value Disclosures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9,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in addition to the United States. Our reported tax rate is lower than the U.S. federal statutory rate in all reported periods as the income tax rates in the foreign jurisdictions are generally lower than the U.S. statutory tax rate.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reported income tax rate for the six months ended September 26, 2015 was 30.7%, as compared to a reported income tax rate of 30.9% for the six months ended September 27, 2014.</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September 26, 2015, we recorded pre-tax losses in Scotland, Italy and Malaysia due to restructuring and transformation costs associated with our manufacturing transformation, and we did not record a corresponding tax benefit due to the valuation allowance maintained against our net deferred tax assets in these jurisdictions. Similarly, during the six months ended September 27, 2014, we recorded pre-tax losses in Scotland and Malaysia associated with restructuring costs, and we did not record a corresponding tax benefit due to the valuation allowance maintained against our net deferred tax assets in these jurisdictions.</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recorded tax expense of $1.0 million during the six months ended September 26, 2015 as a result of a deferred tax rate change which impacted an indefinite-lived deferred tax liability of our Puerto Rican subsidiary.</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 2012, 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the achievement of leverage ratios and customary credit terms which included financial and negative covenants.</w:t>
      </w:r>
    </w:p>
    <w:p>
      <w:pPr>
        <w:spacing w:after="0" w:line="18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September 26, 2015, $379.4 million was outstanding under the term loan and $50.0 million was outstanding on the Revolving Credit Facility, both with an interest rate of 1.625%. No additional amounts were borrowed as a result of this modification. The fair value of debt approximates its current value of approximately $429.4 million as of September 26, 2015. We were in compliance with the leverage and interest coverage ratios specified in the Credit Agreement as well as all other bank covenants as of September 26,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The maturity profile is as follows:</w:t>
            </w: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b w:val="1"/>
                <w:bCs w:val="1"/>
                <w:i w:val="1"/>
                <w:iCs w:val="1"/>
                <w:color w:val="auto"/>
              </w:rPr>
              <w:t>(in thousands)</w:t>
            </w:r>
          </w:p>
        </w:tc>
        <w:tc>
          <w:tcPr>
            <w:tcW w:w="4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21,342</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42,683</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45,054</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151,763</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168,564</w:t>
            </w:r>
          </w:p>
        </w:tc>
      </w:tr>
      <w:tr>
        <w:trPr>
          <w:trHeight w:val="237"/>
        </w:trPr>
        <w:tc>
          <w:tcPr>
            <w:tcW w:w="4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429,406</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26, 2015, the total amount of damages claimed by the plaintiffs in these matters is approximately $3.8 million. It is not possible at this point in the proceedings to accurately evaluate the likelihood or amount of any potential losses and therefore no amounts have been accrued. We may receive other, similar claims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manage a global business which designs, manufactures and markets blood management solutions. Our solutions are marketed through operating units organized primarily on geography: North America Plasma, North America Blood Center and Hospital, Europe, Asia Pacific and Japan.</w:t>
      </w:r>
    </w:p>
    <w:p>
      <w:pPr>
        <w:spacing w:after="0" w:line="12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permits the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w:t>
      </w:r>
    </w:p>
    <w:p>
      <w:pPr>
        <w:spacing w:after="0" w:line="166"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Based on the criteria of ASC 280, we have one reportable segment. This conclusion is consistent with how our chief operating decision-maker views the business. Our chief operating decision maker primarily uses consolidated results to make operating and strategic decisions.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is expected to be completed in fiscal 2017 and included changes to the manufacturing footprint and supply chain structure (the "Network Plan"). To date, we have (i) discontinued manufacturing activities at our Ascoli-Piceno, Italy and Bothwell, Scotland facilities,</w:t>
      </w:r>
    </w:p>
    <w:p>
      <w:pPr>
        <w:spacing w:after="0" w:line="2" w:lineRule="exact"/>
        <w:rPr>
          <w:sz w:val="20"/>
          <w:szCs w:val="20"/>
          <w:color w:val="auto"/>
        </w:rPr>
      </w:pPr>
    </w:p>
    <w:p>
      <w:pPr>
        <w:ind w:right="140" w:firstLine="8"/>
        <w:spacing w:after="0" w:line="253"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expanded our facility in Tijuana, Mexico, (iii) engaged Sanmina Corporation as a contract manufacturer to produce certain medical equipment, and (iv) built a new manufacturing facility in Penang, Malaysia closer to our customers in Asia. We expect to complete the transfer of manufacturing activities from the Braintree, Massachusetts facility by the end of fiscal 2016 and the Bothwell, Scotland facility by early fiscal 2017. See the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discussion of the</w:t>
      </w:r>
      <w:r>
        <w:rPr>
          <w:rFonts w:ascii="Arial" w:cs="Arial" w:eastAsia="Arial" w:hAnsi="Arial"/>
          <w:sz w:val="18"/>
          <w:szCs w:val="18"/>
          <w:i w:val="1"/>
          <w:iCs w:val="1"/>
          <w:color w:val="auto"/>
        </w:rPr>
        <w:t xml:space="preserve"> Management Discussion and Analysis of Financial Condition and Results of Operations </w:t>
      </w:r>
      <w:r>
        <w:rPr>
          <w:rFonts w:ascii="Arial" w:cs="Arial" w:eastAsia="Arial" w:hAnsi="Arial"/>
          <w:sz w:val="18"/>
          <w:szCs w:val="18"/>
          <w:color w:val="auto"/>
        </w:rPr>
        <w:t>for further discussion of the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estimate we will incur approximately $45.0 million in restructuring and restructuring related expense in 2016.</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337"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summarizes the restructuring costs for the six months ended September 26, 2015 and September 27,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center"/>
              <w:ind w:left="1037"/>
              <w:spacing w:after="0"/>
              <w:rPr>
                <w:sz w:val="20"/>
                <w:szCs w:val="20"/>
                <w:color w:val="auto"/>
              </w:rPr>
            </w:pPr>
            <w:r>
              <w:rPr>
                <w:rFonts w:ascii="Arial" w:cs="Arial" w:eastAsia="Arial" w:hAnsi="Arial"/>
                <w:sz w:val="14"/>
                <w:szCs w:val="14"/>
                <w:b w:val="1"/>
                <w:bCs w:val="1"/>
                <w:color w:val="auto"/>
                <w:w w:val="92"/>
              </w:rPr>
              <w:t>Six Months Ended September 26, 2015</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28,</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Less Payments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26, 2015</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14,383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13,760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1037"/>
              <w:spacing w:after="0"/>
              <w:rPr>
                <w:sz w:val="20"/>
                <w:szCs w:val="20"/>
                <w:color w:val="auto"/>
              </w:rPr>
            </w:pPr>
            <w:r>
              <w:rPr>
                <w:rFonts w:ascii="Arial" w:cs="Arial" w:eastAsia="Arial" w:hAnsi="Arial"/>
                <w:sz w:val="14"/>
                <w:szCs w:val="14"/>
                <w:b w:val="1"/>
                <w:bCs w:val="1"/>
                <w:color w:val="auto"/>
                <w:w w:val="92"/>
              </w:rPr>
              <w:t>Six Months Ended September 27, 2014</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Less Payments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27, 2014</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22,971</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22,933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23,349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deployed significant financial resources for these activities. Many of the costs necessary to complete the VCC initiatives, such as severance and other plant closing costs, qualify as restructuring expenses under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We incurred $14.4 million in severance, asset write-downs and other restructuring charges during the six months ended September 26, 2015. In addition, we also incurred $7.1 million of costs that do not constitute restructuring under ASC 420, which we refer to as "Transformation Costs". These costs consist primarily of expenditures directly related to our transformation activities including program management, product line transfer teams and related costs, infrastructure related costs, accelerated depreciation and asset disposals.</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table below presents transformation and restructuring costs recorded in cost of goods sold, research and development, selling, general and administrative expenses and interest and other expense in our Consolidated Statements of Income and Comprehensive (Loss) Income for the periods presented.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Transformation costs</w:t>
            </w:r>
          </w:p>
        </w:tc>
        <w:tc>
          <w:tcPr>
            <w:tcW w:w="20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27,</w:t>
            </w:r>
          </w:p>
        </w:tc>
      </w:tr>
      <w:tr>
        <w:trPr>
          <w:trHeight w:val="192"/>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Transformation and other costs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7,009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14,987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7,085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15,405</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53"/>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16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1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12,743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22,933</w:t>
            </w:r>
          </w:p>
        </w:tc>
        <w:tc>
          <w:tcPr>
            <w:tcW w:w="0" w:type="dxa"/>
            <w:vAlign w:val="bottom"/>
          </w:tcPr>
          <w:p>
            <w:pPr>
              <w:spacing w:after="0"/>
              <w:rPr>
                <w:sz w:val="1"/>
                <w:szCs w:val="1"/>
                <w:color w:val="auto"/>
              </w:rPr>
            </w:pPr>
          </w:p>
        </w:tc>
      </w:tr>
      <w:tr>
        <w:trPr>
          <w:trHeight w:val="318"/>
        </w:trPr>
        <w:tc>
          <w:tcPr>
            <w:tcW w:w="56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6,652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21,468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38,338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13. CAPITALIZATION OF SOFTWARE DEVELOPMENT COSTS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capitalized $8.5 million and $3.5 million in software development costs for ongoing initiatives during the six months ended September 26, 2015 and September 27, 2014, respectively. At September 26, 2015 and March 28, 2015, we have a total of $48.2 million and $39.7 million of capitalized software costs, of which $9.9 million and $7.9 million are related to in-process software development initiatives, respectively. During the six months ended September 26, 2015, $6.4 million of capitalized costs were placed into service. The costs capitalized for each project are included in intangible assets in the consolidated financial statements. We review these assets for impairment at least annually.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roll-forward of the components of Accumulated Other Comprehensive Loss, net of tax, for the six months ended September 26,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Derivatives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28,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8"/>
              </w:rPr>
              <w:t>Other comprehensive (loss)/income before reclassifications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(loss)/income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September 26,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Details pertaining to the amount reclassified from Accumulated Other Comprehensive Loss for the six months ended September 26, 2015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reclassified to income statement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revenues, Cost of goods sold,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2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of taxes</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6,592</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2015 Annual Report on Form 10-K filed with the Securities and Exchange Commission (the “SEC”) on May 22, 2015. The following discussion may contain forward-looking statements and should be read in conjunction with the “Cautionary Statement Regarding Forward-Looking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Blood and its components – plasma, platelets, and red cells –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devices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Russian Economic Conditions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Economic weakness in Russia has impacted our financial results in the first half of fiscal 2016. While the need for our products in the Russian marketplace continues, there is reduced government healthcare spending and, as a result, our distributors are placing fewer orders and maintaining less inventory. In the second quarter of fiscal 2016 and 2015, Russia accounted for 2% and 3% of net revenues, respectively. We continue to work closely with our Russian distributors to monitor market conditions and manage credit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Sales to U.S. blood centers of our whole blood disposables represent approximately 6% of our total revenue in the second quarter of fiscal 2016. The demand for these disposable products in the U.S. declined in fiscal 2015 and 2014 due to a rapid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decline in demand for blood products associated with actions taken by hospitals to improve blood management techniques and protocols. During the first six months of fiscal 2016, we estimate the decline in U.S. blood center collections to be approximately 8%, compared to approximately 10% in fiscal 2015.</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response to this trend, certain large U.S. blood center collection groups pursued single source vendors for whole blood collection products which required significant reductions in average selling prices in order to retain or increase our share of their business. During fiscal 2014 we entered into a multi-year agreement to supply the HemeXcel Purchasing Alliance, LLC with certain whole blood collection components during the calendar years 2014-2016. The agreement included a reduction in average selling prices which was implemented at the end of first quarter of fiscal 2015 and, as a result, negatively impacted our financial results on a comparative basis during the first quarter of fiscal 2016. In March 2014, the American Red Cross selected another exclusive supplier to provide certain whole blood products. This reduced annualized revenues by approximately $25.0 million beginning in the second quarter of fiscal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half of fiscal 2016, the American Red Cross and two group purchasing organizations representing other U.S. blood collectors ("Blood Center GPOs") pursued arrangements for apheresis red cell collections. These negotiations have largely concluded and will negatively affect red cell revenues and gross margins.</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 August 1, 2015, we entered into a contract for apheresis devices and single-use disposables with the American Red Cross. In accordance with this agreement, we provided a one-time payment to assist in the transition of red cell collections to our technology. This contract is expected to result in 100% share of the American Red Cross's apheresis red cell collection business and higher sales volumes, but at lower prices. However, considering the price concessions, we expect that the overall impact of this contract will be a decrease in revenue and gross profit.</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both Blood Center GPOs have selected competitive technologies. We expect revenue to decline as their individual blood center members convert to the competitive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Red cell disposable revenues in the U.S. totaled $37.6 million during fiscal 2015 and $17.9 million during the first half of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Impairment Considerations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and intangible assets are reviewed at least annually for impairment. We review our amortizable intangible assets when conditions indicate that an impairment may exist. Those conditions include, but are not limited to, a change in the competitive landscape, internal decisions to pursue new or different technology strategies, a loss of a significant customer or a significant change in the market for our products, such as pricing or total market size. We perform our annual goodwill impairment test on the first day of the fiscal fourth quarter for each of our reporting units. We first perform a qualitative test and if necessary, perform a quantitative test. We perform reviews on an interim basis between annual tests when events or circumstances indicate that an impairment may have arisen.</w:t>
      </w:r>
    </w:p>
    <w:p>
      <w:pPr>
        <w:spacing w:after="0" w:line="19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 perform our goodwill impairment test, we estimate the fair value of our reporting units, using either an income approach (discounted cash flow) or a market multiple approach, and compare the fair value of each reporting unit to its carrying value. We have five reporting units that are organized based primarily on geography: North America Plasma, North America Blood Center and Hospital, Europe, Asia-Pacific and Japan. As more fully described in our Form 10-k, we used a market multiple approach in our most recent annual test, in which we estimated the fair value of our reporting units based on a combination of, a) market multiples of projected earnings before interest, taxes, depreciation and amortization (“EBITDA”) and b) market multiples of projected net revenues for each individual reporting unit. Based on this most recent test, none of our reporting units had goodwill impairment.</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aforementioned recent developments in Russia and our US blood center business have negatively impacted EBITDA and revenues for our North America Blood Center and Hospital and Europe reporting units. While we do not currently believe that it is more likely than not that the fair value of any of our reporting units is below its carrying value, declines in forecasted EBITDA and revenues negatively impact reporting unit fair values. As a result, it is reasonably possible that the goodwill allocated to those reporting units will fail the first step of the impairment test in future reporting periods. We also continue to monitor our amortizable intangible assets for potential impairment resulting from reductions in forecasted revenues and EBITDA.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is expected to be completed in fiscal 2017 and included changes to the manufacturing footprint and supply chain structure (the "Network Plan"). To date, we have (i) discontinued manufacturing activities at our Ascoli-Piceno, Italy and Bothwell, Scotland facilities,</w:t>
      </w:r>
    </w:p>
    <w:p>
      <w:pPr>
        <w:spacing w:after="0" w:line="2" w:lineRule="exact"/>
        <w:rPr>
          <w:sz w:val="20"/>
          <w:szCs w:val="20"/>
          <w:color w:val="auto"/>
        </w:rPr>
      </w:pPr>
    </w:p>
    <w:p>
      <w:pPr>
        <w:ind w:right="240"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expanded our facility in Tijuana, Mexico, (iii) engaged Sanmina Corporation as a contract manufacturer to produce certain medical equipment, and (iv) built a new manufacturing facility in Penang, Malaysia closer to our customers in Asia. See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discussion for further discussion of the costs of these activities.</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VCC initiatives are largely completed. We expect to complete the transfer of manufacturing activities from the Braintree, Massachusetts facility by the end of fiscal 2016 and the Bothwell, Scotland facility by early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 6s Hemostasis Management Device Receives Final U.S. Regulatory Clearance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first quarter of fiscal 2016, our next generation diagnostics device, the TEG 6s, and its single-use disposable cartridges received final U.S. regulatory clearance for use in cardiovascular and cardiology procedures. The U.S. commercial launch is currently commencing and sales have been realized in Europe, Australia, and Japan in the first half of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14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7"/>
              </w:rPr>
              <w:t>(In thousands, except per share data)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219,693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227,580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433,106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452,068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105,297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108,114</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207,836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214,392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86,118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95,707</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185,051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203,650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12,407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10,742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112.1 %</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Interest and other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16,573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69.8 %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227.2 %</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225.0 %</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23.3%</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30.9%</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228.1 %</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242.9 %</w:t>
            </w:r>
          </w:p>
        </w:tc>
      </w:tr>
      <w:tr>
        <w:trPr>
          <w:trHeight w:val="27"/>
        </w:trPr>
        <w:tc>
          <w:tcPr>
            <w:tcW w:w="2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revenues decreased 3.5% and 4.2% for the three and six months ended September 26, 2015, respectively, as compared to the same periods of fiscal 2015. Without the effect of foreign exchange, net revenues were flat for the three and six months ended September 26, 2015, respectively, as compared to the same periods of fiscal 2015. Revenue increases in plasma and TEG disposables were offset by declines in Russia due to market conditions and reduced Japan platelet sales for the three months ended September 26, 2015. Revenues for the six months ended September 26, 2015 were also negatively impacted by our reduced share of the declining U.S. whole blood market.</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Operating income increased 54.6% and 112.1% for the three and six months ended September 26, 2015, respectively, as compared to the same periods of fiscal 2015. Foreign exchange did not have an effect on operating income for the three and six months ended September 26, 2015 as compared to the same periods of fiscal 2015. Operating income increased for the three and six months ended September 26, 2015 primarily as a result of the reduction in restructuring and transformation expenses of $8.7 million and $16.9 million, respectively, as compared to the same periods of fiscal 2015. The reduction of restructuring and transformation expenses were partially offset by the declines in Russia, Japan, and the U.S. whole blood market discussed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Net income increased 71.8% and 228.1% for the three and six months ended September 26, 2015, respectively, as compared to the same periods of fiscal 2015. Foreign exchange did not have an effect on net income for the three and six months ended September 26, 2015 as compared to the same periods of fiscal 2015. The change in net income is attributable to the increase in operating income described above, offset by an increase in the income tax provision.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0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100" w:type="dxa"/>
            <w:vAlign w:val="bottom"/>
          </w:tcPr>
          <w:p>
            <w:pPr>
              <w:spacing w:after="0"/>
              <w:rPr>
                <w:sz w:val="13"/>
                <w:szCs w:val="13"/>
                <w:color w:val="auto"/>
              </w:rPr>
            </w:pPr>
          </w:p>
        </w:tc>
        <w:tc>
          <w:tcPr>
            <w:tcW w:w="148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124,406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245,155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92,662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103,174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185,380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206,913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219,693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227,580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433,106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452,068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approximated 42.2% and 42.8% of total net revenues for the three and six months ended September 26, 2015, respectively. International sales are generally conducted in local currencies, primarily Japanese Yen, Euro, Chinese Yuan and Australian Dollars. Our revenue was impacted by changes in the value of these currencies relative to the U.S. Dollar.</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placed foreign currency hedges to mitigate our exposure to foreign currency fluctuations. Relative weakness in the Japanese Yen and Euro to the U.S. Dollar is expected to negatively impact revenue and operating income in the second half of fiscal 2016 and into fiscal 2017. International revenue was also negatively impacted by reduced sales to our Russian distributors in the first half of fiscal 2016.</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26,</w:t>
            </w: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188,575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194,245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390,438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17,701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18,145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35,883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15,190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25,747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219,693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227,580</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433,106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452,068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Disposables Revenue</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5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58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26,</w:t>
            </w: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80,355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164,871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159,582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7"/>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Blood center disposables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39,370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Red cell</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10,176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20,422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33,738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71,688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73,844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83,284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147,949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169,651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Diagnostics</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10,047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19,645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31,281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OrthoPAT</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10,279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30,606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61,205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57"/>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Total disposables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188,575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194,245</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374,305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390,438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disposables revenue stream includes the sales of single-use disposables, which accounted for 85.8% and 85.4% of our total revenue for the three months ended September 26, 2015 and September 27, 2014, respectively, and 86.4% of our total revenue for both the six months ended September 26, 2015 and September 27, 2014.</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Disposables revenue decreased 2.9% and 4.1% for the three and six months ended September 26, 2015, respectively, as compared to the same periods of fiscal 2015. Without the effect of foreign exchange, disposables revenue was flat for the three and six months ended September 26, 2015, respectively, as compared to the same periods of fiscal 2015. Revenue increases in plasma and TEG disposables were offset by declines in sales of our blood center disposables.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Plasma Disposables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Plasma disposables revenue increased 4.4% and 3.3% for the three and six months ended September 26, 2015, respectively, as compared to the same periods of fiscal 2015. Without the effect of foreign exchange, plasma revenue increased 7.3% and 5.9% for the three and six months ended September 26, 2015, respectively, as compared to the same periods of fiscal 2015. Plasma revenue increased due to higher volumes in the U.S. associated with end market growth for plasma-derived biopharmaceuticals. This growth was partially offset by fewer plasma collections in Germany and market conditions in Russia.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Blood Center Disposables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Collection efficiencies which increase the yield of platelets per collection and more efficient use of collected platelets reduce the number of collections required to meet market demand. Where we see adoption of these techniques we experience reduced demand for our products, however, not all markets have adopted these alternative collection methods at the same level. Japan's recent adoption of these techniques has begun to negatively impact revenue from platelet collection disposables.</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Platelet disposables revenue decreased 13.3% and 16.0% for the three and six months ended September 26, 2015, respectively, as compared to the same periods of fiscal 2015. Without the effect of foreign exchange, platelet disposable revenue decreased 6.4% and 9.7% for the three and six months ended September 26, 2015, respectively, as compared to the same periods of fiscal 2015. The decrease in platelet disposable revenue during the second quarter of fiscal 2016 was primarily the result of lower sales in Japan due to the adoption of the collection methods discussed above, partially offset by a strong second quarter in the Middle East. During the first half of fiscal 2016, the decrease in platelet disposable revenue was primarily due to declines in sales in Japan, Russia, and China due to collection methods in Japan, reductions in inventory on hand by our largest Russian distributor, and the timing of orders in China.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Red cell disposables revenue decreased 8.6% and 2.3% for the three and six months ended September 26, 2015, respectively, as compared to the same periods of fiscal 2015. Without the effect of foreign exchange, red cell disposables revenue decreased 7.6% and 1.2% for the three and six months ended September 26, 2015, respectively, as compared to the same periods of fiscal 2015. The decrease during the three and six months ended September 26, 2015 was driven by price reductions in our principal red cell market in the U.S. During the first half of fiscal 2016, U.S. blood collection groups pursued arrangements for apheresis red cell collections with the objective of standardizing their collection technology and securing price reductions. These arrangements are now largely in place and began to negatively affect red cell revenues and gross margins during the second quarter of fiscal 2016.</w:t>
      </w:r>
    </w:p>
    <w:p>
      <w:pPr>
        <w:spacing w:after="0" w:line="16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As discussed above, during the second quarter of fiscal 2016, we entered into a contract with the American Red Cross which included an incentive to transition to our technology and price reductions tied to higher volumes. In addition, both Blood Center GPOs have selected competitive technologies. We expect revenue to decline from both the lower pricing in the American Red Cross contract and the conversion by Blood Center GPO's to the competitive technologies. Red cell disposable revenues in the U.S. totaled $37.6 million during fiscal 2015 and $17.9 million during the first half of fiscal 2016.</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Whole blood disposables revenue decreased 9.9% and 12.4% for the three and six months ended September 26, 2015, respectively, as compared to the same periods of fiscal 2015. Without the effect of foreign exchange, whole blood revenue decreased 6.7% and 9.8% for the three and six months ended September 26, 2015, respectively, as compared to the same periods of fiscal 2015. Revenue for the three and six months ended September 26, 2015 decreased primarily due to a declining U.S. whole blood market. The anniversary of the loss of the American Red Cross whole blood business occurred at the end of the first quarter of fiscal 2016, however, we continue to be negatively impacted by the declining market. Declines in the Middle East were offset by growth in Korea, both of which were primarily the result of the timing of orders.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Hospital Disposables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Diagnostics product revenue consists principally of the consumable reagents used with the TEG hemostasis management family of products. Revenue from our diagnostics products increased 24.1% and 23.4% for the three and six months ended September 26, 2015, respectively, as compared to the same periods of fiscal 2015. Without the effect of foreign exchange, diagnostics product revenues increased 23.3% and 21.5% for the three and six months ended September 26, 2015, respectively, as compared to the same periods of fiscal 2015. The revenue increase is due to continued adoption of our TEG analyzer, principally in the U.S. and China. We are expecting our growth rate to increase with the launch of the TEG 6s device and disposables which received final U.S. regulatory clearance in the first quarter of fiscal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w:t>
      </w:r>
    </w:p>
    <w:p>
      <w:pPr>
        <w:spacing w:after="0" w:line="117"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Surgical disposables revenue consists principally of the Cell Saver and CardioPAT products. Revenues from our surgical disposables decreased 6.2% and 5.3% for the three and six months ended September 26, 2015, respectively, as compared to the same periods of fiscal 2015. Without the effect of foreign exchange, surgical disposables revenue was flat for the three and six months ended September 26, 2015, respectively, as compared to the same periods of fiscal 2015. Minimal growth in emerging markets was offset by minimal declines in the U.S. and Western Europe.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OrthoPAT</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Revenues from our OrthoPAT disposables decreased 25.3% and 25.7% for the three and six months ended September 26, 2015, respectively, as compared to the same periods of fiscal 2015. Without the effect of foreign exchange, OrthoPAT disposables revenue decreased 19.4% and 20.5% for the three and six months ended September 26, 2015, respectively, as compared to the same periods of fiscal 2015. Better blood management has reduced orthopedic blood loss and continues to impact demand for OrthoPAT disposables. Recent trends in blood management, particularly the adoption of tranexamic acid to treat and prevent orthopedic post-operative blood loss, continue to lessen hospital use of OrthoPAT disposables.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Software Solutions Revenue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software solutions revenues include sales of our information technology software platforms and consulting services. Software revenues decreased 2.4% and 3.7% for the three and six months ended September 26, 2015, respectively, as compared to the same periods of fiscal 2015. Without the effect of foreign exchange, software revenues were flat for the three and six months ended September 26, 2015, respectively, as compared to the same periods of fiscal 2015. In fiscal 2016, increased support and maintenance revenue in the U.S. was offset by reductions in implementations as we develop the pipeline for the new BloodTrack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Equipment &amp; Other Revenue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decreased 11.7% and 5.8% for the three and six months ended September 26, 2015, respectively, as compared to the same periods of fiscal 2015. Without the effect of foreign exchange, equipment and other revenues decreased 6.5% for the three months ended September 26, 2015 and were flat for the six months ended September 26, 2015, as compared to the same periods of fiscal 2015. The decrease in revenue during the three months ended September 26, 2015 was primarily due to the timing of orders, as sizable orders were made in the second quarter of fiscal 2015. For the six months ended September 26, 2015, the growth in the U.S. and Asia achieved in the first quarter of fiscal 2016, was offset by the unfavorable timing of orders discussed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7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105,297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108,114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  $</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207,836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214,392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Gross profit decreased 2.6% and 3.1% for the three and six months ended September 26, 2015, respectively, as compared to the same periods of fiscal 2015. Without the effect of foreign exchange, gross profit increased 0.8% and 0.4% for the three and six months ended September 26, 2015, respectively, as compared to the same periods of fiscal 2015. The gross profit margin increased by 40 and 60 basis points for the three and six months ended September 26, 2015, respectively, as compared to the same period of fiscal 2015. The increase in gross profit margin during the three and six months ended September 26, 2015 was primarily due to cost savings from productivity programs, including the VCC initiatives. The increase was partially offset by product mix and price reductions in our blood center business. Gross profit margin continues to be impacted by the inefficiency of underutilized productive capacity.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142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10,938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26,319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74,565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84,769</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162,177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177,331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95,707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185,051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203,650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Research and development expenses increased 5.6% and decreased 13.1% for the three and six months ended September 26, 2015, respectively, as compared to the same periods of fiscal 2015. Without the effect of foreign exchange, research and development expenses increased 7.4% and decreased 11.2% for the three and six months ended September 26, 2015, respectively, as compared to the same periods of fiscal 2015. The increase for the three months ended September 26, 2015 was primarily driven by increased activities for several projects designed to support our long-term product plans and to increase our competitiveness, partially offset by a reduction in restructuring and transformation costs of $0.9 million. For the six months ended September 26, 2015, the decrease was primarily the result of a reduction in restructuring and transformation costs of $4.1 million, partially offset by the increased research and development activities discussed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expenses decreased 12.0% and 8.5% for the three and six months ended September 26, 2015, respectively, as compared to the same periods of fiscal 2015. Without the effect of foreign exchange, selling, general, and administrative expenses decreased 8.0% and 4.6% for the three and six months ended September 26, 2015, respectively, as compared to the same periods of fiscal 2015. The decrease for the three and six months ended September 26, 2015 was primarily the result of reductions in restructuring and transformation costs of $5.9 million and $9.3 million, respectively. In addition, reduced sales and marketing activities in Europe and the donor business in the U.S., as well as decreased variable compensation, contributed to the reduction. The decrease in fiscal 2016 was partially offset by increased spending in sales and marketing activities related to Asia Pacific, and our plasma and TEG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and other expense, net decreased 1.5% and 11.0% for the three and six months ended September 26, 2015, respectively, as compared to the same periods of fiscal 2015. Interest expense from our term loan borrowings constitutes the majority of expense reported in both periods. The effective interest rate on total debt outstanding for the three months ended September 26, 2015 was 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Increase/ (Decrease)</w:t>
            </w:r>
          </w:p>
        </w:tc>
        <w:tc>
          <w:tcPr>
            <w:tcW w:w="100" w:type="dxa"/>
            <w:vAlign w:val="bottom"/>
            <w:vMerge w:val="restart"/>
          </w:tcPr>
          <w:p>
            <w:pPr>
              <w:spacing w:after="0"/>
              <w:rPr>
                <w:sz w:val="13"/>
                <w:szCs w:val="13"/>
                <w:color w:val="auto"/>
              </w:rPr>
            </w:pP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 Increase/ (Decrease)</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in addition to the United States. Our reported tax rate is lower than the U.S. federal statutory rate in all reported periods as the income tax rates in the foreign jurisdictions are generally lower than the U.S. statutory tax rate.</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reported income tax rate for the six months ended September 26, 2015 was 30.7%, as compared to a reported income tax rate of 30.9% for the six months ended September 27, 2014. During the six months ended September 26, 2015, we recorded pre-tax losses in Scotland, Italy and Malaysia due to restructuring and transformation costs associated with our manufacturing transformation, and we did not record a corresponding tax benefit due to the valuation allowance maintained against our net deferred tax assets in these jurisdictions. Similarly, during the six months ended September 27, 2014, we recorded pre-tax losses in Scotland and Malaysia associated with restructuring costs, and we did not record a corresponding tax benefit due to the valuation allowance maintained against our net deferred tax assets in these jurisdictions. We recorded tax expense of $1.0 million during the six months ended September 26, 2015 as a result of a deferred tax rate change which impacted an indefinite-lived deferred tax liability of our Puerto Rican subsidiary. 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312,619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381,185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debt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(334,061)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(267,229)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previously discussed, during fiscal 2015 our business was negatively impacted by reductions in the demand for blood products caused by changes in blood management practices and actions taken by U.S. blood center customers in response to reductions in demand. This includes the loss of the American Red Cross whole blood contract which impacted our results beginning in the first quarter of fiscal 2015.</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VCC initiatives require cash expenditures for plant exit and closure costs; including separation benefits, new plant construction and temporary increases in inventory levels as manufacturing is transitioned to new facilities. We estimate we will incur approximately $45.0 million in restructuring and restructuring related expense in fiscal 2016.</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April 28, 2014, we announced a share repurchase plan of up to $100.0 million worth of shares in the open market. The repurchase program adheres to all debt covenants and is subject to market conditions. During the three months ended September 26, 2015, we completed this repurchase program, purchasing approximately 0.5 million shares at a total cost of $20.1 million. In total, we repurchased approximately 2.7 million shares at a total cost of $100.0 million under this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August 1, 2012, 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approximately $429.4 million as of September 26, 2015. We were in compliance with the leverage and interest coverage ratios specified in the Credit Agreement as well as all other bank covenants as of September 26,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6"/>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6"/>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2"/>
                <w:szCs w:val="12"/>
                <w:color w:val="auto"/>
              </w:rPr>
            </w:pPr>
          </w:p>
        </w:tc>
        <w:tc>
          <w:tcPr>
            <w:tcW w:w="1460" w:type="dxa"/>
            <w:vAlign w:val="bottom"/>
          </w:tcPr>
          <w:p>
            <w:pPr>
              <w:jc w:val="right"/>
              <w:ind w:right="296"/>
              <w:spacing w:after="0" w:line="147"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36"/>
              <w:spacing w:after="0" w:line="147"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36,761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44,980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(8,219)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8,525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1,169</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decreased by $8.2 million during the six months ended September 26, 2015, as compared to the six months ended September 27, 2014. Cash provided by operating activities decreased primarily due to a working capital outflow, partially offset by increased earnings resulting from a reduction in expenses associated with our VCC initiatives during the six months ended September 26, 2015. The working capital outflow was primarily attributable to a decrease in accounts payable and accrued expenses, driven largely by the annual payout of cash bonuses for performance in the prior fiscal year. Also contributing to the reduction in cash provided by operating activities was a significant decrease in accounts receivable during the prior year comparable period due to a reduction in revenues. The decrease in cash provided by operating activities was partially offset by lower inventory purchases during the six months ended September 26, 2015 as compared to the six months ended September 27, 2014.</w:t>
      </w:r>
    </w:p>
    <w:p>
      <w:pPr>
        <w:spacing w:after="0" w:line="178"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Net cash used in investing activities decreased by $17.7 million during the six months ended September 26, 2015, as compared to the six months ended September 27, 2014. The decrease in cash used in investing activities was the result of a reduction in capital expenditures in the first half of fiscal 2016 related to manufacturing operations under construction in Malaysia and Tijuana, which have been substantially completed. During the six months ended September 27, 2014, cash used in investing activities included significant costs related to plant construction activities in Malaysia and Tijuana and the purchase of two previously leased facilities, our manufacturing facility in Salt Lake City and an administrative office at our corporate headquarters in Braintree, Massachusetts.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financing activities increased by $8.5 million during the six months ended September 26, 2015, as compared to the six months ended September 27, 2014. This was primarily due to $61.0 million of cash used to repurchase shares during the six months ended September 26, 2015, as discussed above, compared to the $33.8 million used for repurchase during the six months ended September 27, 2014. This was offset by lower term loan repayments during the six months ended September 26, 2015 due to our debt restructuring and an increase in short-term loans.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six months ended September 26, 2015, approximately 42.8%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years 2014, 2015 and 2016 or are presently outstanding. These hedges cover our long foreign currency positions that result from our sales designated in Euro, Japanese Yen and Australian Dollars. These hedges include our short positions associated with costs incurred in Canadian Dollars, British Pounds, Swiss Francs and Mexican Pesos. The table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First</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Favorable /</w:t>
            </w:r>
          </w:p>
        </w:tc>
        <w:tc>
          <w:tcPr>
            <w:tcW w:w="1100" w:type="dxa"/>
            <w:vAlign w:val="bottom"/>
            <w:gridSpan w:val="2"/>
          </w:tcPr>
          <w:p>
            <w:pPr>
              <w:ind w:left="300"/>
              <w:spacing w:after="0"/>
              <w:rPr>
                <w:sz w:val="20"/>
                <w:szCs w:val="20"/>
                <w:color w:val="auto"/>
              </w:rPr>
            </w:pPr>
            <w:r>
              <w:rPr>
                <w:rFonts w:ascii="Arial" w:cs="Arial" w:eastAsia="Arial" w:hAnsi="Arial"/>
                <w:sz w:val="13"/>
                <w:szCs w:val="13"/>
                <w:color w:val="auto"/>
              </w:rPr>
              <w:t>Second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Favorable /</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Third</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Favorable /</w:t>
            </w:r>
          </w:p>
        </w:tc>
        <w:tc>
          <w:tcPr>
            <w:tcW w:w="1080" w:type="dxa"/>
            <w:vAlign w:val="bottom"/>
            <w:gridSpan w:val="2"/>
          </w:tcPr>
          <w:p>
            <w:pPr>
              <w:ind w:left="320"/>
              <w:spacing w:after="0"/>
              <w:rPr>
                <w:sz w:val="20"/>
                <w:szCs w:val="20"/>
                <w:color w:val="auto"/>
              </w:rPr>
            </w:pPr>
            <w:r>
              <w:rPr>
                <w:rFonts w:ascii="Arial" w:cs="Arial" w:eastAsia="Arial" w:hAnsi="Arial"/>
                <w:sz w:val="13"/>
                <w:szCs w:val="13"/>
                <w:color w:val="auto"/>
              </w:rPr>
              <w:t>Fourth</w:t>
            </w:r>
          </w:p>
        </w:tc>
        <w:tc>
          <w:tcPr>
            <w:tcW w:w="1140" w:type="dxa"/>
            <w:vAlign w:val="bottom"/>
          </w:tcPr>
          <w:p>
            <w:pPr>
              <w:jc w:val="right"/>
              <w:ind w:right="199"/>
              <w:spacing w:after="0"/>
              <w:rPr>
                <w:sz w:val="20"/>
                <w:szCs w:val="20"/>
                <w:color w:val="auto"/>
              </w:rPr>
            </w:pPr>
            <w:r>
              <w:rPr>
                <w:rFonts w:ascii="Arial" w:cs="Arial" w:eastAsia="Arial" w:hAnsi="Arial"/>
                <w:sz w:val="13"/>
                <w:szCs w:val="13"/>
                <w:color w:val="auto"/>
              </w:rPr>
              <w:t>Favorable /</w:t>
            </w:r>
          </w:p>
        </w:tc>
      </w:tr>
      <w:tr>
        <w:trPr>
          <w:trHeight w:val="170"/>
        </w:trPr>
        <w:tc>
          <w:tcPr>
            <w:tcW w:w="22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100" w:type="dxa"/>
            <w:vAlign w:val="bottom"/>
            <w:gridSpan w:val="2"/>
          </w:tcPr>
          <w:p>
            <w:pPr>
              <w:ind w:left="300"/>
              <w:spacing w:after="0"/>
              <w:rPr>
                <w:sz w:val="20"/>
                <w:szCs w:val="20"/>
                <w:color w:val="auto"/>
              </w:rPr>
            </w:pPr>
            <w:r>
              <w:rPr>
                <w:rFonts w:ascii="Arial" w:cs="Arial" w:eastAsia="Arial" w:hAnsi="Arial"/>
                <w:sz w:val="13"/>
                <w:szCs w:val="13"/>
                <w:color w:val="auto"/>
              </w:rPr>
              <w:t>Quarter</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(Unfavorable)</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Quarter</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(Unfavorable)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Quarter</w:t>
            </w:r>
          </w:p>
        </w:tc>
        <w:tc>
          <w:tcPr>
            <w:tcW w:w="1140" w:type="dxa"/>
            <w:vAlign w:val="bottom"/>
          </w:tcPr>
          <w:p>
            <w:pPr>
              <w:jc w:val="right"/>
              <w:ind w:right="139"/>
              <w:spacing w:after="0"/>
              <w:rPr>
                <w:sz w:val="20"/>
                <w:szCs w:val="20"/>
                <w:color w:val="auto"/>
              </w:rPr>
            </w:pPr>
            <w:r>
              <w:rPr>
                <w:rFonts w:ascii="Arial" w:cs="Arial" w:eastAsia="Arial" w:hAnsi="Arial"/>
                <w:sz w:val="13"/>
                <w:szCs w:val="13"/>
                <w:color w:val="auto"/>
              </w:rPr>
              <w:t>(Unfavorable)</w:t>
            </w:r>
          </w:p>
        </w:tc>
      </w:tr>
      <w:tr>
        <w:trPr>
          <w:trHeight w:val="250"/>
        </w:trPr>
        <w:tc>
          <w:tcPr>
            <w:tcW w:w="2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Euro - Hedge Spot Rate (USD per Euro)</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FY15</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FY17</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FY14</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79.85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79.68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84.32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93.92</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97.16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98.18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101.09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102.44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FY16</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102.05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106.84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118.46</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117.25</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124.07</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122.18</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Australian Dollar - Hedge Spot Rate (USD per AUD)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0.91</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FY15</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0.94</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4 %</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0.79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FY17</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0.76</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0.73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20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2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Canadian Dollar - Hedge Spot Rate (CAD per USD)</w:t>
            </w:r>
          </w:p>
        </w:tc>
        <w:tc>
          <w:tcPr>
            <w:tcW w:w="1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FY14</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FY16</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1.14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1.17</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1.25</w:t>
            </w:r>
          </w:p>
        </w:tc>
        <w:tc>
          <w:tcPr>
            <w:tcW w:w="9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10 %</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1.30</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14 %</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(USD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1.55</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1.52</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1.56</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1.62</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1.65</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1.64</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FY17</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1.55</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0.96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17 %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0.93</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FY16</w:t>
            </w:r>
          </w:p>
        </w:tc>
        <w:tc>
          <w:tcPr>
            <w:tcW w:w="1920" w:type="dxa"/>
            <w:vAlign w:val="bottom"/>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0.94</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4 %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FY17</w:t>
            </w:r>
          </w:p>
        </w:tc>
        <w:tc>
          <w:tcPr>
            <w:tcW w:w="19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0.93</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0.97</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6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Mexican Peso - Hedge Spot Rate (MXN per USD)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12.34</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12.35</w:t>
            </w: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12.22</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12.40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7 %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13.08</w:t>
            </w:r>
          </w:p>
        </w:tc>
        <w:tc>
          <w:tcPr>
            <w:tcW w:w="8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13.10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13.07</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14.46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FY17</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15.20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15.73</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20 %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16.91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24 %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regarding recent accounting pronouncements is included in Note </w:t>
      </w:r>
      <w:r>
        <w:rPr>
          <w:rFonts w:ascii="Arial" w:cs="Arial" w:eastAsia="Arial" w:hAnsi="Arial"/>
          <w:sz w:val="18"/>
          <w:szCs w:val="18"/>
          <w:i w:val="1"/>
          <w:iCs w:val="1"/>
          <w:color w:val="auto"/>
        </w:rPr>
        <w:t>2, Recent Accounting Pronouncements</w:t>
      </w:r>
      <w:r>
        <w:rPr>
          <w:rFonts w:ascii="Arial" w:cs="Arial" w:eastAsia="Arial" w:hAnsi="Arial"/>
          <w:sz w:val="18"/>
          <w:szCs w:val="18"/>
          <w:color w:val="auto"/>
        </w:rPr>
        <w:t xml:space="preserve"> to our unaudited consolidated financial statements contained in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Value Creation and Capture program, asset revaluations to reflect current business conditions, technological advances in the medical field and standards for transfusion medicine and our ability to successfully commercialize products that incorporate such advances and standards, customer acceptance of new products, demand for whole blood and blood components, product quality, market acceptance, regulatory uncertainties, including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mitigate,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an $8.8 million increase in the fair value of the forward contracts; whereas a 10% weakening of the U.S. Dollar would result in an $8.9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September 26, 2015 was $429.4 million with an interest rate of 1.625% based on prevailing LIBOR rates. An increase of 100 basis points in LIBOR rates would result in additional annual interest expense of $4.3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an evaluation, as of September 26, 2015, under the supervision and with the participation of our management, including our Interim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September 26, 2015. There has been no change in our internal control over financial reporting during the quarter ended September 26,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September 26, 2015, the total amount of damages claimed by the plaintiffs in these matters is approximately $3.8 million. It is not possible at this point in the proceedings to accurately evaluate the likelihood or amount of any potential losses and therefore no amounts have been accrued. We may receive other, similar claims in the future.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28, 2015,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April 28, 2014 press release, we announced that our Board of Directors approved the repurchase of up to $100.0 million worth of Company shares, subject to compliance with its loan covenants. In the second quarter of fiscal 2016, we completed the repurchase program. In total, we repurchased 2,661,945 shares of our common stock for an aggregate purchase price of $100.0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year were made under the publicly announced program and were made in the open market.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29"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Dollar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including</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Repurchased</w:t>
            </w: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Commissions</w:t>
            </w: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Plans or Programs</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30, 2014 - April 26, 2014</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100,000,000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April 27, 2014 - May 24,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694,162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22,079,008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77,920,992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25, 2014 - June 28,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4,778,988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73,142,004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June 29, 2014 - July 26,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75,185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2,668,606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70,473,398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27, 2014 - August 23,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2,302,197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68,171,201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August 24, 2014 - September 27,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62,144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2,209,060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65,962,141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28, 2014 - October 25,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63,646,076</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October 26, 2014 - November 22,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45,129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1,646,262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61,999,814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23, 2014 - December 27,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61,299,392</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December 28, 2014 - January 24,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6,877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253,942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61,045,450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25, 2015 - February 21,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60,966,256</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February 22, 2015 - March 28, 2015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60,966,256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29, 2015 - April 25, 2015</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60,966,256</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April 26, 2015 - May 23,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596,987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24,528,763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36,437,493</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24, 2015 - June 27,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387,719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16,372,940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20,064,553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June 28, 2015 - July 25,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157,603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6,400,234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13,664,319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26, 2015 - August 22,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345,525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13,664,319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2,661,945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37.57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3"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10120" w:type="dxa"/>
            <w:vAlign w:val="bottom"/>
          </w:tcPr>
          <w:p>
            <w:pPr>
              <w:spacing w:after="0"/>
              <w:rPr>
                <w:sz w:val="17"/>
                <w:szCs w:val="17"/>
                <w:color w:val="auto"/>
              </w:rPr>
            </w:pPr>
          </w:p>
        </w:tc>
      </w:tr>
      <w:tr>
        <w:trPr>
          <w:trHeight w:val="399"/>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Borders>
              <w:top w:val="single" w:sz="8" w:color="auto"/>
            </w:tcBorders>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Certification pursuant to Section 302 of Sarbanes-Oxley Act of 2002, of Ronald Gelbman, Interim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6"/>
              </w:rPr>
              <w:t>Certification pursuant to Section 302 of Sarbanes-Oxley of 2002, of Christopher Lindop, Chief Financial Officer and Executive Vice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Ronald Gelbman, Interim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2"/>
              </w:rPr>
              <w:t>The following materials from Haemonetics Corporation on Form 10-Q for the quarter ended September 26, 2015,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w w:val="94"/>
              </w:rPr>
              <w:t>Business Reporting Language (XBRL); (i) Consolidated Statements of Income and Comprehensive Income, (ii) Consolidated Balance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60" w:hanging="685"/>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81" w:lineRule="exact"/>
        <w:rPr>
          <w:sz w:val="20"/>
          <w:szCs w:val="20"/>
          <w:color w:val="auto"/>
        </w:rPr>
      </w:pPr>
    </w:p>
    <w:p>
      <w:pPr>
        <w:ind w:left="5620" w:right="4560" w:hanging="5585"/>
        <w:spacing w:after="0" w:line="350" w:lineRule="auto"/>
        <w:tabs>
          <w:tab w:leader="none" w:pos="72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Agreement, plan, or arrangement related to the compensation of officers or directors 35</w:t>
      </w:r>
    </w:p>
    <w:p>
      <w:pPr>
        <w:sectPr>
          <w:pgSz w:w="11900" w:h="16838" w:orient="portrait"/>
          <w:cols w:equalWidth="0" w:num="1">
            <w:col w:w="11360"/>
          </w:cols>
          <w:pgMar w:left="240" w:top="108" w:right="299"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11/4/2015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Ronald Gelbman, Interim</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11/4/2015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121"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Ronald Gelbman, certify that:</w:t>
      </w:r>
    </w:p>
    <w:p>
      <w:pPr>
        <w:spacing w:after="0" w:line="11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11/4/2015</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Ronald Gelbman, Interim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11/4/2015</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26, 2015 as filed with the Securities and Exchange Commission on the date hereof (the “Report”), I, Ronald Gelbman, Interim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11/4/2015</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Ronald Gelbman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Ronald Gelbman,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connection with the Quarterly Report of Haemonetics Corporation (the “Company”) on Form 10-Q for the period ended September 26, 2015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11/4/2015</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2019-12-29T14:48:06Z</dcterms:created>
  <dcterms:modified xsi:type="dcterms:W3CDTF">2019-12-29T14:48:06Z</dcterms:modified>
</cp:coreProperties>
</file>