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0"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2024</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4200" w:right="1420" w:hanging="3956"/>
        <w:spacing w:after="0" w:line="520" w:lineRule="auto"/>
        <w:tabs>
          <w:tab w:leader="none" w:pos="66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001-14041</w:t>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HAEMONETICS CORPORATION</w:t>
      </w:r>
    </w:p>
    <w:p>
      <w:pPr>
        <w:spacing w:after="0" w:line="72"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313"/>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04-2882273</w:t>
            </w:r>
          </w:p>
        </w:tc>
      </w:tr>
      <w:tr>
        <w:trPr>
          <w:trHeight w:val="189"/>
        </w:trPr>
        <w:tc>
          <w:tcPr>
            <w:tcW w:w="6380" w:type="dxa"/>
            <w:vAlign w:val="bottom"/>
          </w:tcPr>
          <w:p>
            <w:pPr>
              <w:jc w:val="center"/>
              <w:ind w:right="3431"/>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0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638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9"/>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97"/>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9"/>
              </w:rPr>
              <w:t>(781) 848-7100</w:t>
            </w:r>
          </w:p>
        </w:tc>
        <w:tc>
          <w:tcPr>
            <w:tcW w:w="1500" w:type="dxa"/>
            <w:vAlign w:val="bottom"/>
          </w:tcPr>
          <w:p>
            <w:pPr>
              <w:spacing w:after="0"/>
              <w:rPr>
                <w:sz w:val="24"/>
                <w:szCs w:val="24"/>
                <w:color w:val="auto"/>
              </w:rPr>
            </w:pPr>
          </w:p>
        </w:tc>
      </w:tr>
      <w:tr>
        <w:trPr>
          <w:trHeight w:val="210"/>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500" w:type="dxa"/>
            <w:vAlign w:val="bottom"/>
          </w:tcPr>
          <w:p>
            <w:pPr>
              <w:spacing w:after="0"/>
              <w:rPr>
                <w:sz w:val="18"/>
                <w:szCs w:val="18"/>
                <w:color w:val="auto"/>
              </w:rPr>
            </w:pPr>
          </w:p>
        </w:tc>
      </w:tr>
    </w:tbl>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2"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4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HAE</w:t>
            </w:r>
          </w:p>
        </w:tc>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9" w:lineRule="exact"/>
        <w:rPr>
          <w:sz w:val="24"/>
          <w:szCs w:val="24"/>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7"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760"/>
              <w:spacing w:after="0"/>
              <w:rPr>
                <w:sz w:val="20"/>
                <w:szCs w:val="20"/>
                <w:color w:val="auto"/>
              </w:rPr>
            </w:pPr>
            <w:r>
              <w:rPr>
                <w:rFonts w:ascii="Wingdings" w:cs="Wingdings" w:eastAsia="Wingdings" w:hAnsi="Wingdings"/>
                <w:sz w:val="22"/>
                <w:szCs w:val="22"/>
                <w:b w:val="1"/>
                <w:bCs w:val="1"/>
                <w:color w:val="auto"/>
              </w:rPr>
              <w:t>x</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0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4" w:lineRule="exact"/>
        <w:rPr>
          <w:sz w:val="24"/>
          <w:szCs w:val="24"/>
          <w:color w:val="auto"/>
        </w:rPr>
      </w:pPr>
    </w:p>
    <w:p>
      <w:pPr>
        <w:ind w:right="206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of $0.01 par value common stock outstanding as of November 5, 2024: 50,223,887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020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0" w:type="dxa"/>
            <w:vAlign w:val="bottom"/>
            <w:gridSpan w:val="25"/>
            <w:vMerge w:val="continue"/>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Income and Comprehensive Income - Three and Six Months Ended September 28, 2024</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3</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and September 30, 2023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 - September 28, 2024 and Consolidated Balance Sheet - March 30, 2024</w:t>
            </w:r>
          </w:p>
        </w:tc>
        <w:tc>
          <w:tcPr>
            <w:tcW w:w="1160" w:type="dxa"/>
            <w:vAlign w:val="bottom"/>
            <w:gridSpan w:val="4"/>
          </w:tcPr>
          <w:p>
            <w:pPr>
              <w:spacing w:after="0"/>
              <w:rPr>
                <w:sz w:val="19"/>
                <w:szCs w:val="19"/>
                <w:color w:val="auto"/>
              </w:rPr>
            </w:pPr>
          </w:p>
        </w:tc>
        <w:tc>
          <w:tcPr>
            <w:tcW w:w="44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w:t>
            </w:r>
            <w:r>
              <w:rPr>
                <w:rFonts w:ascii="Times New Roman" w:cs="Times New Roman" w:eastAsia="Times New Roman" w:hAnsi="Times New Roman"/>
                <w:sz w:val="18"/>
                <w:szCs w:val="18"/>
                <w:u w:val="single" w:color="auto"/>
                <w:color w:val="0E32E1"/>
              </w:rPr>
              <w:t>’</w:t>
            </w:r>
            <w:r>
              <w:rPr>
                <w:rFonts w:ascii="Times New Roman" w:cs="Times New Roman" w:eastAsia="Times New Roman" w:hAnsi="Times New Roman"/>
                <w:sz w:val="18"/>
                <w:szCs w:val="18"/>
                <w:color w:val="0000FF"/>
              </w:rPr>
              <w:t xml:space="preserve"> Equity - Three and Six Months Ended September 28, 2024 and September</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0000FF"/>
              <w:bottom w:val="single" w:sz="8" w:color="0000FF"/>
            </w:tcBorders>
          </w:tcPr>
          <w:p>
            <w:pPr>
              <w:spacing w:after="0" w:line="136" w:lineRule="exact"/>
              <w:rPr>
                <w:sz w:val="20"/>
                <w:szCs w:val="20"/>
                <w:color w:val="auto"/>
              </w:rPr>
            </w:pPr>
            <w:r>
              <w:rPr>
                <w:rFonts w:ascii="Times New Roman" w:cs="Times New Roman" w:eastAsia="Times New Roman" w:hAnsi="Times New Roman"/>
                <w:sz w:val="15"/>
                <w:szCs w:val="15"/>
                <w:color w:val="0000FF"/>
              </w:rPr>
              <w:t>30, 2023</w:t>
            </w:r>
          </w:p>
        </w:tc>
        <w:tc>
          <w:tcPr>
            <w:tcW w:w="4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6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22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 Six Months Ended September 28, 2024 and September 30, 2023</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rPr>
              <w:t>6</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00" w:type="dxa"/>
            <w:vAlign w:val="bottom"/>
            <w:gridSpan w:val="3"/>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75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266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39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6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ITEM 4. Controls and Procedures</w:t>
            </w:r>
          </w:p>
        </w:tc>
        <w:tc>
          <w:tcPr>
            <w:tcW w:w="2700" w:type="dxa"/>
            <w:vAlign w:val="bottom"/>
            <w:tcBorders>
              <w:top w:val="single" w:sz="8" w:color="0000FF"/>
            </w:tcBorders>
            <w:gridSpan w:val="8"/>
          </w:tcPr>
          <w:p>
            <w:pPr>
              <w:spacing w:after="0"/>
              <w:rPr>
                <w:sz w:val="24"/>
                <w:szCs w:val="24"/>
                <w:color w:val="auto"/>
              </w:rPr>
            </w:pPr>
          </w:p>
        </w:tc>
        <w:tc>
          <w:tcPr>
            <w:tcW w:w="488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7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rPr>
              <w:t>ITEM 1. Legal Proceedings</w:t>
            </w:r>
          </w:p>
        </w:tc>
        <w:tc>
          <w:tcPr>
            <w:tcW w:w="7440" w:type="dxa"/>
            <w:vAlign w:val="bottom"/>
            <w:gridSpan w:val="13"/>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1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810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52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w w:val="99"/>
              </w:rPr>
              <w:t>ITEM 2. Unregistered Sales of Equity Securities and Use of Proceeds</w:t>
            </w:r>
          </w:p>
        </w:tc>
        <w:tc>
          <w:tcPr>
            <w:tcW w:w="492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3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708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5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766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02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580" w:type="dxa"/>
            <w:vAlign w:val="bottom"/>
            <w:gridSpan w:val="4"/>
          </w:tcPr>
          <w:p>
            <w:pPr>
              <w:jc w:val="center"/>
              <w:ind w:left="313"/>
              <w:spacing w:after="0"/>
              <w:rPr>
                <w:sz w:val="20"/>
                <w:szCs w:val="20"/>
                <w:color w:val="auto"/>
              </w:rPr>
            </w:pPr>
            <w:r>
              <w:rPr>
                <w:rFonts w:ascii="Times New Roman" w:cs="Times New Roman" w:eastAsia="Times New Roman" w:hAnsi="Times New Roman"/>
                <w:sz w:val="18"/>
                <w:szCs w:val="18"/>
                <w:color w:val="0000FF"/>
                <w:w w:val="99"/>
              </w:rPr>
              <w:t>40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1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rPr>
              <w:t>ITEM 6. Exhibits</w:t>
            </w:r>
          </w:p>
        </w:tc>
        <w:tc>
          <w:tcPr>
            <w:tcW w:w="806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13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860" w:type="dxa"/>
            <w:vAlign w:val="bottom"/>
            <w:gridSpan w:val="20"/>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60" w:type="dxa"/>
            <w:vAlign w:val="bottom"/>
            <w:gridSpan w:val="2"/>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6380" w:type="dxa"/>
            <w:vAlign w:val="bottom"/>
            <w:gridSpan w:val="16"/>
          </w:tcPr>
          <w:p>
            <w:pPr>
              <w:jc w:val="right"/>
              <w:ind w:right="1920"/>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ind w:left="360" w:right="166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INCOME AND COMPREHENSIVE INCOME (Unaudited in thousands, except per share data)</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8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31"/>
        </w:trPr>
        <w:tc>
          <w:tcPr>
            <w:tcW w:w="53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629,515</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291,740</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337,775</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208,805</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14,695</w:t>
            </w: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248,813</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88,962</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84,422</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18,472</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65,950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70"/>
        </w:trPr>
        <w:tc>
          <w:tcPr>
            <w:tcW w:w="5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51,368</w:t>
            </w:r>
          </w:p>
        </w:tc>
      </w:tr>
      <w:tr>
        <w:trPr>
          <w:trHeight w:val="270"/>
        </w:trPr>
        <w:tc>
          <w:tcPr>
            <w:tcW w:w="5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4"/>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63,626</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28,</w:t>
            </w:r>
          </w:p>
        </w:tc>
        <w:tc>
          <w:tcPr>
            <w:tcW w:w="280" w:type="dxa"/>
            <w:vAlign w:val="bottom"/>
          </w:tcPr>
          <w:p>
            <w:pPr>
              <w:spacing w:after="0"/>
              <w:rPr>
                <w:sz w:val="16"/>
                <w:szCs w:val="16"/>
                <w:color w:val="auto"/>
              </w:rPr>
            </w:pP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30,</w:t>
            </w:r>
          </w:p>
        </w:tc>
        <w:tc>
          <w:tcPr>
            <w:tcW w:w="0" w:type="dxa"/>
            <w:vAlign w:val="bottom"/>
          </w:tcPr>
          <w:p>
            <w:pPr>
              <w:spacing w:after="0"/>
              <w:rPr>
                <w:sz w:val="1"/>
                <w:szCs w:val="1"/>
                <w:color w:val="auto"/>
              </w:rPr>
            </w:pPr>
          </w:p>
        </w:tc>
      </w:tr>
      <w:tr>
        <w:trPr>
          <w:trHeight w:val="214"/>
        </w:trPr>
        <w:tc>
          <w:tcPr>
            <w:tcW w:w="79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178,800</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$5,912 at September 28, 2024 and $5,695 at March 30, 2024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317,202</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66,339</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955,902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768,903</w:t>
            </w:r>
          </w:p>
        </w:tc>
        <w:tc>
          <w:tcPr>
            <w:tcW w:w="0" w:type="dxa"/>
            <w:vAlign w:val="bottom"/>
          </w:tcPr>
          <w:p>
            <w:pPr>
              <w:spacing w:after="0"/>
              <w:rPr>
                <w:sz w:val="1"/>
                <w:szCs w:val="1"/>
                <w:color w:val="auto"/>
              </w:rPr>
            </w:pPr>
          </w:p>
        </w:tc>
      </w:tr>
      <w:tr>
        <w:trPr>
          <w:trHeight w:val="207"/>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300,478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311,362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less accumulated amortization of $484,517 at September 28, 2024 and $455,213 at March 30, 2024</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406,117</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565,082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136,388</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2,525,224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2,195,591</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payable and current maturities of long-term debt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73,358</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payroll and related costs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80,708</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136,088</w:t>
            </w:r>
          </w:p>
        </w:tc>
        <w:tc>
          <w:tcPr>
            <w:tcW w:w="0" w:type="dxa"/>
            <w:vAlign w:val="bottom"/>
          </w:tcPr>
          <w:p>
            <w:pPr>
              <w:spacing w:after="0"/>
              <w:rPr>
                <w:sz w:val="1"/>
                <w:szCs w:val="1"/>
                <w:color w:val="auto"/>
              </w:rPr>
            </w:pPr>
          </w:p>
        </w:tc>
      </w:tr>
      <w:tr>
        <w:trPr>
          <w:trHeight w:val="207"/>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273,946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300,383</w:t>
            </w:r>
          </w:p>
        </w:tc>
        <w:tc>
          <w:tcPr>
            <w:tcW w:w="0" w:type="dxa"/>
            <w:vAlign w:val="bottom"/>
          </w:tcPr>
          <w:p>
            <w:pPr>
              <w:spacing w:after="0"/>
              <w:rPr>
                <w:sz w:val="1"/>
                <w:szCs w:val="1"/>
                <w:color w:val="auto"/>
              </w:rPr>
            </w:pPr>
          </w:p>
        </w:tc>
      </w:tr>
      <w:tr>
        <w:trPr>
          <w:trHeight w:val="212"/>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1,219,523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797,564</w:t>
            </w: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75,041</w:t>
            </w:r>
          </w:p>
        </w:tc>
        <w:tc>
          <w:tcPr>
            <w:tcW w:w="0" w:type="dxa"/>
            <w:vAlign w:val="bottom"/>
          </w:tcPr>
          <w:p>
            <w:pPr>
              <w:spacing w:after="0"/>
              <w:rPr>
                <w:sz w:val="1"/>
                <w:szCs w:val="1"/>
                <w:color w:val="auto"/>
              </w:rPr>
            </w:pPr>
          </w:p>
        </w:tc>
      </w:tr>
      <w:tr>
        <w:trPr>
          <w:trHeight w:val="21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Common stock, $0.01 par value; Authorized — 150,000,000 shares; Issued and outstanding — 50,381,127 shares at</w:t>
            </w:r>
          </w:p>
        </w:tc>
        <w:tc>
          <w:tcPr>
            <w:tcW w:w="2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September 28, 2024 and 50,787,859 shares at March 30, 2024</w:t>
            </w:r>
          </w:p>
        </w:tc>
        <w:tc>
          <w:tcPr>
            <w:tcW w:w="2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634,627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360,456</w:t>
            </w:r>
          </w:p>
        </w:tc>
        <w:tc>
          <w:tcPr>
            <w:tcW w:w="0" w:type="dxa"/>
            <w:vAlign w:val="bottom"/>
          </w:tcPr>
          <w:p>
            <w:pPr>
              <w:spacing w:after="0"/>
              <w:rPr>
                <w:sz w:val="1"/>
                <w:szCs w:val="1"/>
                <w:color w:val="auto"/>
              </w:rPr>
            </w:pPr>
          </w:p>
        </w:tc>
      </w:tr>
      <w:tr>
        <w:trPr>
          <w:trHeight w:val="213"/>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(35,632)</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878,851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959,959</w:t>
            </w:r>
          </w:p>
        </w:tc>
        <w:tc>
          <w:tcPr>
            <w:tcW w:w="0" w:type="dxa"/>
            <w:vAlign w:val="bottom"/>
          </w:tcPr>
          <w:p>
            <w:pPr>
              <w:spacing w:after="0"/>
              <w:rPr>
                <w:sz w:val="1"/>
                <w:szCs w:val="1"/>
                <w:color w:val="auto"/>
              </w:rPr>
            </w:pPr>
          </w:p>
        </w:tc>
      </w:tr>
      <w:tr>
        <w:trPr>
          <w:trHeight w:val="212"/>
        </w:trPr>
        <w:tc>
          <w:tcPr>
            <w:tcW w:w="79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2,525,224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2,195,591</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HAEMONETICS CORPORATION AND SUBSIDIARIES CONDENSED CONSOLIDATED STATEMENTS OF STOCKHOLDERS’ EQUITY (Unaudited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7"/>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tcPr>
          <w:p>
            <w:pPr>
              <w:jc w:val="center"/>
              <w:ind w:right="30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tcPr>
          <w:p>
            <w:pPr>
              <w:jc w:val="center"/>
              <w:ind w:right="28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tcPr>
          <w:p>
            <w:pPr>
              <w:jc w:val="right"/>
              <w:ind w:right="540"/>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5"/>
                <w:szCs w:val="15"/>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March 30, 2024</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634,627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360,456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959,959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Borders>
              <w:top w:val="single" w:sz="8" w:color="CCEEFF"/>
            </w:tcBorders>
            <w:vMerge w:val="continue"/>
          </w:tcPr>
          <w:p>
            <w:pPr>
              <w:spacing w:after="0"/>
              <w:rPr>
                <w:sz w:val="14"/>
                <w:szCs w:val="14"/>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4,703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capped call related to convertible notes</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June 29, 2024</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51,153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560,881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386,642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(42,667)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905,368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Shares repurchased, including excise tax</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6,857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September 28, 2024</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50,381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544,375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368,536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(34,564)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878,851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April 1, 2023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50,449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594,706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253,168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(30,381)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817,997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6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Borders>
              <w:top w:val="single" w:sz="8" w:color="CCEEFF"/>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(4,960)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6,989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41,042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41,042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July 1, 2023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50,706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609,610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284,017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(29,518)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864,616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Borders>
              <w:top w:val="single" w:sz="8" w:color="CCEEFF"/>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net of cancellations</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withholding on employee equity awards</w:t>
            </w: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24,908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2023</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50,740</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616,960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308,898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(32,705)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893,660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58"/>
        </w:trPr>
        <w:tc>
          <w:tcPr>
            <w:tcW w:w="7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September 28,</w:t>
            </w:r>
          </w:p>
        </w:tc>
        <w:tc>
          <w:tcPr>
            <w:tcW w:w="180" w:type="dxa"/>
            <w:vAlign w:val="bottom"/>
          </w:tcPr>
          <w:p>
            <w:pPr>
              <w:spacing w:after="0"/>
              <w:rPr>
                <w:sz w:val="13"/>
                <w:szCs w:val="13"/>
                <w:color w:val="auto"/>
              </w:rPr>
            </w:pPr>
          </w:p>
        </w:tc>
        <w:tc>
          <w:tcPr>
            <w:tcW w:w="1400" w:type="dxa"/>
            <w:vAlign w:val="bottom"/>
          </w:tcPr>
          <w:p>
            <w:pPr>
              <w:jc w:val="right"/>
              <w:ind w:right="228"/>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7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72,204</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65,950</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items: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46,045</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fair value inventory step-up</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13,695</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10,419</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repurchase of convertible senior notes,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Inventory reserve adjustment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Gains on sales of property, plant and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benefit</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non-cash operating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w:t>
            </w: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operating assets and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accounts receivable</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inventories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(30,654)</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prepaid income taxes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other assets and other liabilities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(10,291)</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accounts payable and 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18,762</w:t>
            </w:r>
          </w:p>
        </w:tc>
      </w:tr>
      <w:tr>
        <w:trPr>
          <w:trHeight w:val="189"/>
        </w:trPr>
        <w:tc>
          <w:tcPr>
            <w:tcW w:w="79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118,210</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(16,794)</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transfers from inventory to property, plant and equipment for Haemonetics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(17,523)</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net of cash acquired</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96"/>
        </w:trPr>
        <w:tc>
          <w:tcPr>
            <w:tcW w:w="7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(7,000)</w:t>
            </w:r>
          </w:p>
        </w:tc>
      </w:tr>
      <w:tr>
        <w:trPr>
          <w:trHeight w:val="203"/>
        </w:trPr>
        <w:tc>
          <w:tcPr>
            <w:tcW w:w="7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w:t>
            </w:r>
          </w:p>
        </w:tc>
      </w:tr>
      <w:tr>
        <w:trPr>
          <w:trHeight w:val="214"/>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4"/>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convertible notes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convertible senior notes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capped call related to convertible notes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loan borrowings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 loan redemption</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on revolving facility</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 of term loan borrowings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(5,250)</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issuance costs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repurchases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r>
      <w:tr>
        <w:trPr>
          <w:trHeight w:val="195"/>
        </w:trPr>
        <w:tc>
          <w:tcPr>
            <w:tcW w:w="7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used to net share settle employee equity awards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(5,842)</w:t>
            </w:r>
          </w:p>
        </w:tc>
      </w:tr>
      <w:tr>
        <w:trPr>
          <w:trHeight w:val="210"/>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r>
      <w:tr>
        <w:trPr>
          <w:trHeight w:val="189"/>
        </w:trPr>
        <w:tc>
          <w:tcPr>
            <w:tcW w:w="79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(7,770)</w:t>
            </w: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(3,505)</w:t>
            </w:r>
          </w:p>
        </w:tc>
      </w:tr>
      <w:tr>
        <w:trPr>
          <w:trHeight w:val="189"/>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66,539</w:t>
            </w:r>
          </w:p>
        </w:tc>
      </w:tr>
      <w:tr>
        <w:trPr>
          <w:trHeight w:val="20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178,800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284,466</w:t>
            </w:r>
          </w:p>
        </w:tc>
      </w:tr>
      <w:tr>
        <w:trPr>
          <w:trHeight w:val="203"/>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299,283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351,005</w:t>
            </w:r>
          </w:p>
        </w:tc>
      </w:tr>
      <w:tr>
        <w:trPr>
          <w:trHeight w:val="21"/>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ind w:right="8780" w:firstLine="8"/>
        <w:spacing w:after="0" w:line="565" w:lineRule="auto"/>
        <w:tabs>
          <w:tab w:leader="none" w:pos="1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Basis of Presentation</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six months ended September 28, 2024 are not necessarily indicative of the results that may be expected for the full fiscal year ending March 29, 2025 or any other interim period. These unaudited condensed consolidated financial statements should be read in conjunction with the audited consolidated financial statements and footnotes included in the Annual Report on Form 10-K for the fiscal year ended March 30, 2024.</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There were no material recognized or unrecognized subsequent events as of or for the six months ended September 28, 2024.</w:t>
      </w:r>
    </w:p>
    <w:p>
      <w:pPr>
        <w:spacing w:after="0" w:line="199" w:lineRule="exact"/>
        <w:rPr>
          <w:sz w:val="20"/>
          <w:szCs w:val="20"/>
          <w:color w:val="auto"/>
        </w:rPr>
      </w:pPr>
    </w:p>
    <w:p>
      <w:pPr>
        <w:ind w:right="7140" w:firstLine="8"/>
        <w:spacing w:after="0" w:line="518"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Standards to be Implemented</w:t>
      </w:r>
    </w:p>
    <w:p>
      <w:pPr>
        <w:spacing w:after="0" w:line="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Codification (“ASC”) Update No. 2023-07, Segment Reporting (Topic 280). The new guidance requires public entities to provide expanded disclosures over significant segment expenses and additional disclosures related to the chief operating decision maker. ASC Update No. 2023-07 is effective for fiscal years beginning after December 15, 2023 and interim periods within fiscal years beginning after December 15, 2024, with early adoption permitted. The new guidance is applicable to Haemonetics beginning with the fiscal 2025 Annual Report on Form 10-K. The Company is currently evaluating the impact to its interim and annual report disclosures.</w:t>
      </w:r>
    </w:p>
    <w:p>
      <w:pPr>
        <w:spacing w:after="0" w:line="21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ASC Update No. 2023-09, Income Taxes (Topic 740). ASC Update No. 2023-09 requires public entities to provide detailed income tax disclosures, including rate reconciliations and disaggregated income tax payment information, on an annual basis. The updated guidance is effective for fiscal years beginning after December 15, 2024 and early adoption is permitted. ASC Update No. 2023-09 is applicable to Haemonetics beginning with the fiscal 2026 Annual Report on Form 10-K and the Company is currently evaluating the impact to its annual report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AND STRATEGIC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Attune Medical</w:t>
      </w:r>
    </w:p>
    <w:p>
      <w:pPr>
        <w:spacing w:after="0" w:line="25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On March 5, 2024, the Company entered into a definitive agreement to acquire Advanced Cooling Therapy, Inc., d/b/a Attune Medical (“Attune Medical”), the manufacturer of the ensoETM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proactive esophageal cooling device, pursuant to which, among other things, the Company agreed to acquire all of the issued and outstanding common shares of Attune Medical. On April 1, 2024, the Company completed its acquisition of Attune Medical for total consideration of $187.7 million, which included an upfront cash payment of $162.0 million, or $150.5 million net of cash acquired, the fair value of contingent consideration of $25.3 million, and $0.4 million of working capital adjustments. The contingent consideration is based on sales growth over the next three years, which is uncapped, and the achievement of certain other milestones. The Company financed the acquisition through a combination of cash on hand and borrowings under its senior unsecured revolving credit facility.</w:t>
      </w:r>
    </w:p>
    <w:p>
      <w:pPr>
        <w:spacing w:after="0" w:line="2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Attune Medical expands the Hospital business unit’s presence in electrophysiology and complements its Vascular Closure product line within Interventional Technologies, which is included in the Hospital reportable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 The assessment of fair value is preliminary and is based on information that was available at the time the Condensed Consolidated Financial Statements were prepared. The most significant open item is the accounting for income taxes as the Company is awaiting additional information to complete its assessment of these matters. Measurement period adjustments will be recorded in the period in which they are determined, as if they had been completed at the acquisition date. The finalization of the Company’s purchase accounting assessment could result in changes in the valuation of assets acquired and liabilities assumed, which could be material. The final determination of the fair value of certain assets and liabilities will be completed within the measurement period as required by Topic 805.</w:t>
      </w:r>
    </w:p>
    <w:p>
      <w:pPr>
        <w:spacing w:after="0" w:line="21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preliminary purchase price of $176.2 million, net of $11.5 million of cash acquired, consists of the amounts presented below, which represent the preliminary determination of the fair value of the identifiable assets acquired and liabilities assumed: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April 1, 2024</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70,256</w:t>
            </w:r>
          </w:p>
        </w:tc>
      </w:tr>
      <w:tr>
        <w:trPr>
          <w:trHeight w:val="22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207,246</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31,040</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176,206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was valued using the excess earnings method. Customer contracts and related relationships were valued using the distributor method. The trademark was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Attune Medical, the Company recognized goodwill of $70.3 million based on expected synergies from integration into our Hospital business. The goodwill is not deductible for tax purposes and relates entirely to the Hospital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vMerge w:val="continue"/>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Rates used in Purchase</w:t>
            </w:r>
          </w:p>
        </w:tc>
        <w:tc>
          <w:tcPr>
            <w:tcW w:w="0" w:type="dxa"/>
            <w:vAlign w:val="bottom"/>
          </w:tcPr>
          <w:p>
            <w:pPr>
              <w:spacing w:after="0"/>
              <w:rPr>
                <w:sz w:val="1"/>
                <w:szCs w:val="1"/>
                <w:color w:val="auto"/>
              </w:rPr>
            </w:pPr>
          </w:p>
        </w:tc>
      </w:tr>
      <w:tr>
        <w:trPr>
          <w:trHeight w:val="198"/>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3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105,800</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recorded a long-term net deferred tax liability of $26.2 million primarily related to fair value adjustments recorded associated with definite-lived intangible assets and inventory in which there is no tax basis, partially offset by deferred tax assets primarily related to net operating losses acquired.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incurred $9.8 million of acquisition-related costs during the first quarter of fiscal 2025 in connection with the Attune Medical acquisition. These costs related to legal and other professional fees, which were recognized in selling, general and administrative on the Condensed Consolidated Statements of Income.</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results of Attune Medical from the date the acquisition was completed. Pro forma financial information has not been presented as the acquisition is not material to the Company’s overall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OpSens Inc.</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total consideration of approximately $254.5 million, or $243.9 million, net of cash acquired. The Company financed the acquisition through a combination of cash on hand and borrowings under its senior unsecured revolving credit facility.</w:t>
      </w:r>
    </w:p>
    <w:p>
      <w:pPr>
        <w:spacing w:after="0" w:line="210"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sensor-guided 3-in-1 guidewire for TAVR procedures, advancing the workflow of the procedure and enabling potentially shorter hospital stays for patients; and the OptoWire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and in accordance with FASB ASC Topic 805, Business Combinations (Topic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purchase price of $243.9 million, net of $10.6 million of cash acquired, consists of the amounts presented below, which represent the final determination of the fair value of the identifiable assets acquired and liabilities assumed: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12, 2023</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279,230</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3"/>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35,378</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OpSens, the Company recognized goodwill of $79.4 million based on expected synergies from integration into our Hospital business. The goodwill is not deductible for tax purposes and relates entirely to the Hospital reportable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8"/>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1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Rates used in Purchase</w:t>
            </w: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3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15 years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172,000</w:t>
            </w:r>
          </w:p>
        </w:tc>
        <w:tc>
          <w:tcPr>
            <w:tcW w:w="15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recorded a net long-term deferred tax liability of $14.8 million, primarily as a result of fair value adjustments recorded associated with definite-lived intangible assets and inventory in which there is no tax basis.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incurred $6.6 million of acquisition-related costs for fiscal 2024 in connection with the OpSens acquisition. These costs related to legal and other professional fees, which were recognized in selling, general and administrative on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results of OpSens from the date the acquisition was completed. Pro forma financial information has not been presented as the acquisition is not material to the Company’s overall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Company’s business development activities, it holds strategic investments in certain entities.</w:t>
      </w:r>
    </w:p>
    <w:p>
      <w:pPr>
        <w:spacing w:after="0" w:line="2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As of September 28, 2024, the Company has made total investments in Vivasure Medical LTD (“Vivasure”) of €35 million. The investments include both preferred stock and a special share that allows the Company to acquire Vivasure in accordance with an agreement between the parties. In addition, the Company made certain other strategic investments totaling $10.9 million and $7.6 million during fiscal 2025 and 2024, respectively. The Company’s strategic investments are classified as other long-term assets on the Company’s Condensed Consolidated Balance Sheets and the Company has not recorded any adjustments to the carrying value of our strategic investments during three and six months ended September 28, 2024 and September 30,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September 28, 2024, the Company had $30.5 million of transaction price allocated to remaining performance obligations related to executed contracts with an original duration of one year or more. The Company expects to recognize approximately 77% of this amount as revenue within the next twelve months and the remaining balance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September 28, 2024 and March 30, 2024, the Company had contract liabilities of $36.7 million and $31.2 million, respectively. During the three and six months ended September 28, 2024, the Company recognized $8.5 million and $21.8 million of revenue, respectively, that was included in the above March 30, 2024 contract liability balance. Contract liabilities are classified as other current liabilities on the Condensed Consolidated Balance Sheet. As of September 28, 2024 and March 30, 2024, the Company’s contract assets were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Program</w:t>
      </w:r>
    </w:p>
    <w:p>
      <w:pPr>
        <w:spacing w:after="0" w:line="25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July 2019, the Board of Directors of the Company approved the Operational Excellence Program (the “2020 Program”) and delegated authority to the Company’s management to determine the detail of the initiatives that will comprise the program. During fiscal 2022, the Company revised the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Company expects to incur aggregate charges between $85.0 million and $90.0 million by the end of fiscal 2025 under the program. The majority of charges will result in cash outlays, including severance and other employee costs, and will be incurred as the specific actions required to execute these initiatives are identified and approved. During the three and six months ended September 28, 2024, the Company incurred $1.7 million and $4.1 million, respectively, of restructuring and restructuring related costs under this program. During the three and six months ended September 30, 2023, the Company incurred $2.0 million and $4.2 million, respectively, of restructuring and restructuring related costs under this program. Total cumulative charges under this program are $81.1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Rationalization Initiatives</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2023, the Company announced its plans to end of life the ClotPro analyzer system within the Hospital business unit and certain products within the Blood Center business unit, primarily in Whole Blood, including the associated manufacturing operations and closure of certain other facilities. In the three and six months ended September 28, 2024, the Company incurred $4.7 million and $9.4 million, respectively, of restructuring and restructuring related costs related to these portfolio rationalization initiatives.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for restructuring reserves related to the portfolio rationalization initiatives and the 2020 Program for the six months ended September 28, 2024, which relates to employee severance, other employee costs and inventory reserves:</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Portfolio Rationalization</w:t>
            </w: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380" w:type="dxa"/>
            <w:vAlign w:val="bottom"/>
          </w:tcPr>
          <w:p>
            <w:pPr>
              <w:spacing w:after="0"/>
              <w:rPr>
                <w:sz w:val="16"/>
                <w:szCs w:val="16"/>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8"/>
                <w:szCs w:val="18"/>
                <w:color w:val="auto"/>
                <w:w w:val="96"/>
              </w:rPr>
              <w:t>485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left="854"/>
              <w:spacing w:after="0"/>
              <w:rPr>
                <w:sz w:val="20"/>
                <w:szCs w:val="20"/>
                <w:color w:val="auto"/>
              </w:rPr>
            </w:pPr>
            <w:r>
              <w:rPr>
                <w:rFonts w:ascii="Times New Roman" w:cs="Times New Roman" w:eastAsia="Times New Roman" w:hAnsi="Times New Roman"/>
                <w:sz w:val="18"/>
                <w:szCs w:val="18"/>
                <w:color w:val="auto"/>
                <w:w w:val="96"/>
              </w:rPr>
              <w:t>213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9,414</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8"/>
                <w:szCs w:val="18"/>
                <w:color w:val="auto"/>
                <w:w w:val="97"/>
              </w:rPr>
              <w:t>(564)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w:t>
            </w: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854"/>
              <w:spacing w:after="0"/>
              <w:rPr>
                <w:sz w:val="20"/>
                <w:szCs w:val="20"/>
                <w:color w:val="auto"/>
              </w:rPr>
            </w:pPr>
            <w:r>
              <w:rPr>
                <w:rFonts w:ascii="Times New Roman" w:cs="Times New Roman" w:eastAsia="Times New Roman" w:hAnsi="Times New Roman"/>
                <w:sz w:val="18"/>
                <w:szCs w:val="18"/>
                <w:color w:val="auto"/>
                <w:w w:val="96"/>
              </w:rPr>
              <w:t>134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14,797</w:t>
            </w:r>
          </w:p>
        </w:tc>
      </w:tr>
      <w:tr>
        <w:trPr>
          <w:trHeight w:val="20"/>
        </w:trPr>
        <w:tc>
          <w:tcPr>
            <w:tcW w:w="6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restructuring costs by line item within our accompanying unaudited Condensed Consolidated Statements of Income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28, 2024, the Company had a restructuring liability of $14.8 million, all of which is payable within the next twelve months.</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restructuring expenses included in the table above, the Company also incurred costs that do not constitute restructuring costs under ASC 420, </w:t>
      </w:r>
      <w:r>
        <w:rPr>
          <w:rFonts w:ascii="Times New Roman" w:cs="Times New Roman" w:eastAsia="Times New Roman" w:hAnsi="Times New Roman"/>
          <w:sz w:val="18"/>
          <w:szCs w:val="18"/>
          <w:i w:val="1"/>
          <w:iCs w:val="1"/>
          <w:color w:val="auto"/>
        </w:rPr>
        <w:t>Exit and Disposal Cost Obligations,</w:t>
      </w:r>
      <w:r>
        <w:rPr>
          <w:rFonts w:ascii="Times New Roman" w:cs="Times New Roman" w:eastAsia="Times New Roman" w:hAnsi="Times New Roman"/>
          <w:sz w:val="18"/>
          <w:szCs w:val="18"/>
          <w:color w:val="auto"/>
        </w:rPr>
        <w:t xml:space="preserve"> and which the Company instead refers to as restructuring related costs. These costs consist primarily of expenditures directly related to the restructuring actions.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restructuring and restructuring related costs by reportable segment: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140" w:type="dxa"/>
            <w:vAlign w:val="bottom"/>
          </w:tcPr>
          <w:p>
            <w:pPr>
              <w:spacing w:after="0"/>
              <w:rPr>
                <w:sz w:val="20"/>
                <w:szCs w:val="20"/>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0"/>
                <w:szCs w:val="20"/>
                <w:color w:val="auto"/>
              </w:rPr>
            </w:pPr>
          </w:p>
        </w:tc>
        <w:tc>
          <w:tcPr>
            <w:tcW w:w="236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140" w:type="dxa"/>
            <w:vAlign w:val="bottom"/>
          </w:tcPr>
          <w:p>
            <w:pPr>
              <w:spacing w:after="0"/>
              <w:rPr>
                <w:sz w:val="24"/>
                <w:szCs w:val="24"/>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236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restructuring and restructuring related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1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transaction costs.</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September 28, 2024, the Company reported income tax expense of $10.9 million and $19.2 million, respectively, representing effective tax rates of 24.3% and 21.0%. The effective tax rate for the three months ended September 28, 2024, which includes an immaterial discrete tax benefit. The effective tax rate for the six months ended September 28, 2024 includes $3.6 million of discrete tax benefit, primarily related to stock compensation windfalls. The discrete benefit also includes other items such as provision to return differences.</w:t>
      </w:r>
    </w:p>
    <w:p>
      <w:pPr>
        <w:spacing w:after="0" w:line="207" w:lineRule="exact"/>
        <w:rPr>
          <w:sz w:val="20"/>
          <w:szCs w:val="20"/>
          <w:color w:val="auto"/>
        </w:rPr>
      </w:pPr>
    </w:p>
    <w:p>
      <w:pPr>
        <w:ind w:right="600"/>
        <w:spacing w:after="0" w:line="276" w:lineRule="auto"/>
        <w:rPr>
          <w:sz w:val="20"/>
          <w:szCs w:val="20"/>
          <w:color w:val="auto"/>
        </w:rPr>
      </w:pPr>
      <w:r>
        <w:rPr>
          <w:rFonts w:ascii="Times New Roman" w:cs="Times New Roman" w:eastAsia="Times New Roman" w:hAnsi="Times New Roman"/>
          <w:sz w:val="17"/>
          <w:szCs w:val="17"/>
          <w:color w:val="auto"/>
        </w:rPr>
        <w:t>For the three and six months ended September 30, 2023, the Company reported income tax expense of $7.9 million and $18.5 million, respectively, representing effective tax rates of 24.1% and 21.9%, respectively. The effective tax rate for the three months ended September 30, 2023 includes</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$0.1 million of discrete tax benefit primarily related to stock compensation windfalls. The effective tax rate for the six months ended September 30, 2023 includes $1.3 million of discrete tax benefit primarily related to stock compensation windfalls.</w:t>
      </w:r>
    </w:p>
    <w:p>
      <w:pPr>
        <w:spacing w:after="0" w:line="2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increase in the reported tax rate for the three months ended September 28, 2024, compared to the same period in fiscal 2024, relates primarily to the unfavorable impact of the jurisdictional mix of earnings and non-deductible acquisition-related expenses. The decrease in the reported tax rate for the six months ended September 28, 2024, compared to the same period in fiscal 2024, relates primarily to increased discrete tax benefits year-over-year, partially offset by the unfavorable impact of jurisdictional mix of earnings and non-deductible acquisition-related expenses.</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August 26, 2024, the U.S. Tax Court issued a decision in Varian Medical Systems, Inc. v. Commissioner. The decision related to the Tax Cuts and Jobs Act Transition Tax on unrepatriated earnings of applicable foreign subsidiaries. The Company is still evaluating the impact and whether to file a protective refund claim with the U.S.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1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effect of common stock equivalents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51,368</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prices, and consequently no shares have been included in diluted earnings per share for the conversion values of both convertible senior notes. For the three and six months ended September 28, 2024, weighted average shares outstanding, assuming dilution, excludes the impact of $0.8 million anti-dilutive shares for both periods. For the three and six months ended September 30, 2023, weighted average shares outstanding, assuming dilution, excludes the impact of $0.7 million and $0.6 million anti-dilutive shares,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August 2022, the Company announced that its Board of Directors had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2024, the Company entered into an accelerated share repurchase agreement (“ASR”) with Citibank N.A. (“Citibank”) to repurchase</w:t>
      </w:r>
    </w:p>
    <w:p>
      <w:pPr>
        <w:spacing w:after="0" w:line="16"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$75.0 million of the Company’s common stock. Pursuant to the terms of the ASR, in August 2024, the Company paid Citibank $75.0 million in cash and received an initial delivery of 0.8 million shares of the Company's common stock based on a closing market price on the New York Stock Exchange on August 28, 2024 of $75.08. This initial delivery of shares represented approximately 80% of the notional amount of the ASR. The ASR was completed in October 2024, subsequent to the end of the second quarter of fiscal 2025, and 0.2 million additional shares were delivered upon settlement. As of September 28, 2024, the total remaining authorization for repurchases of the Company's common stock under the share repurchase program was $150.0 million.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25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tbl>
      <w:tblPr>
        <w:tblLayout w:type="fixed"/>
        <w:tblInd w:w="0" w:type="dxa"/>
        <w:tblCellMar>
          <w:top w:w="0" w:type="dxa"/>
          <w:left w:w="0" w:type="dxa"/>
          <w:bottom w:w="0" w:type="dxa"/>
          <w:right w:w="0" w:type="dxa"/>
        </w:tblCellMar>
      </w:tblPr>
      <w:tr>
        <w:trPr>
          <w:trHeight w:val="149"/>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00" w:type="dxa"/>
            <w:vAlign w:val="bottom"/>
          </w:tcPr>
          <w:p>
            <w:pPr>
              <w:spacing w:after="0"/>
              <w:rPr>
                <w:sz w:val="12"/>
                <w:szCs w:val="12"/>
                <w:color w:val="auto"/>
              </w:rPr>
            </w:pPr>
          </w:p>
        </w:tc>
        <w:tc>
          <w:tcPr>
            <w:tcW w:w="1300" w:type="dxa"/>
            <w:vAlign w:val="bottom"/>
          </w:tcPr>
          <w:p>
            <w:pPr>
              <w:jc w:val="center"/>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5"/>
        </w:trPr>
        <w:tc>
          <w:tcPr>
            <w:tcW w:w="7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167,564</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382,105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317,202</w:t>
            </w:r>
          </w:p>
        </w:tc>
        <w:tc>
          <w:tcPr>
            <w:tcW w:w="0" w:type="dxa"/>
            <w:vAlign w:val="bottom"/>
          </w:tcPr>
          <w:p>
            <w:pPr>
              <w:spacing w:after="0"/>
              <w:rPr>
                <w:sz w:val="1"/>
                <w:szCs w:val="1"/>
                <w:color w:val="auto"/>
              </w:rPr>
            </w:pPr>
          </w:p>
        </w:tc>
      </w:tr>
      <w:tr>
        <w:trPr>
          <w:trHeight w:val="21"/>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9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300" w:type="dxa"/>
            <w:vAlign w:val="bottom"/>
          </w:tcPr>
          <w:p>
            <w:pPr>
              <w:spacing w:after="0"/>
              <w:rPr>
                <w:sz w:val="24"/>
                <w:szCs w:val="24"/>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6"/>
        </w:trPr>
        <w:tc>
          <w:tcPr>
            <w:tcW w:w="7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124,338</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204,622</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129,979</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456,414</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39,694</w:t>
            </w:r>
          </w:p>
        </w:tc>
        <w:tc>
          <w:tcPr>
            <w:tcW w:w="0" w:type="dxa"/>
            <w:vAlign w:val="bottom"/>
          </w:tcPr>
          <w:p>
            <w:pPr>
              <w:spacing w:after="0"/>
              <w:rPr>
                <w:sz w:val="1"/>
                <w:szCs w:val="1"/>
                <w:color w:val="auto"/>
              </w:rPr>
            </w:pPr>
          </w:p>
        </w:tc>
      </w:tr>
      <w:tr>
        <w:trPr>
          <w:trHeight w:val="223"/>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959,177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(647,815)</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311,362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September 28, 2024, depreciation expense was $15.0 million and $29.6 million, respectively. During the three and six months ended September 30, 2023, depreciation expense was $13.6 million and $26.9 million, respectively.</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2025, the Company received $19.9 million of cash upon the sale of a manufacturing facility and related assets that previously met held for sale criteria, which resulted in a gain of $14.1 million that was recorded in selling, general and administrative expenses on the Condensed Consolidated Statements of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estimated stand-alone selling prices. Operating lease revenue represents less than 3 percent of the Company’s total net sales.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for fiscal 2025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Plasma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Blood Center</w:t>
            </w: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Hospital</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March 30, 2024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565,082</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69,542</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amount as of September 28, 2024</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616,162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The decrease in goodwill of $19.2 million for purchase accounting adjustments was primarily related to the Company obtaining additional facts and information to finalize the pre-acquisition tax returns and associated analyses for OpSens. This resulted in the Company revising its estimate of the net deferred tax liability recorded as of the acquisition date. Refer to Note 3, </w:t>
      </w:r>
      <w:r>
        <w:rPr>
          <w:rFonts w:ascii="Times New Roman" w:cs="Times New Roman" w:eastAsia="Times New Roman" w:hAnsi="Times New Roman"/>
          <w:sz w:val="18"/>
          <w:szCs w:val="18"/>
          <w:i w:val="1"/>
          <w:iCs w:val="1"/>
          <w:color w:val="auto"/>
        </w:rPr>
        <w:t>Acquisitions and Strategic Investments,</w:t>
      </w:r>
      <w:r>
        <w:rPr>
          <w:rFonts w:ascii="Times New Roman" w:cs="Times New Roman" w:eastAsia="Times New Roman" w:hAnsi="Times New Roman"/>
          <w:sz w:val="18"/>
          <w:szCs w:val="18"/>
          <w:color w:val="auto"/>
        </w:rPr>
        <w:t xml:space="preserve"> for additional information regarding the acquisitions of OpSens and Attune Medical.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intangible assets and the related accumulated amortization as of September 28, 2024 and March 30, 2024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10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6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September 28, 2024</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374,697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966,979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484,517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482,462</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4"/>
                <w:szCs w:val="24"/>
                <w:color w:val="auto"/>
              </w:rPr>
            </w:pPr>
          </w:p>
        </w:tc>
        <w:tc>
          <w:tcPr>
            <w:tcW w:w="128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24"/>
                <w:szCs w:val="24"/>
                <w:color w:val="auto"/>
              </w:rPr>
            </w:pPr>
          </w:p>
        </w:tc>
        <w:tc>
          <w:tcPr>
            <w:tcW w:w="108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30, 2024</w:t>
            </w: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285,878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843,096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455,213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387,883</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Non-amortizable:</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 xml:space="preserve">During fiscal 2025, the Company acquired Attune Medical and recorded $96.1 million of developed technology, $7.8 million of customer contracts and related relationships and $1.9 million of trade name intangibles based on the purchase accounting valuation. Refer to Note 3, </w:t>
      </w:r>
      <w:r>
        <w:rPr>
          <w:rFonts w:ascii="Times New Roman" w:cs="Times New Roman" w:eastAsia="Times New Roman" w:hAnsi="Times New Roman"/>
          <w:sz w:val="18"/>
          <w:szCs w:val="18"/>
          <w:i w:val="1"/>
          <w:iCs w:val="1"/>
          <w:color w:val="auto"/>
        </w:rPr>
        <w:t>Acquisitions and Strategic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for additional information regarding the acquisition.</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2025, the Company announced the commercialization of MVP XL and moved the related in-process research and development intangible asset to developed technologies and commenced amortization. In the second quarter of</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fiscal 2024, the Company recorded an intangible asset impairment charge of $10.4 million related to the intangibles acquired as part of the enicor GmbH acquisition completed in fiscal 2021 within the Hospital business unit.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include the value assigned to license rights and other developed technology, patents, customer contracts and relationships and trade names.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useful lives for all of these intangible assets are approximately 5 to 15 years.</w:t>
      </w:r>
    </w:p>
    <w:p>
      <w:pPr>
        <w:spacing w:after="0" w:line="23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September 28, 2024, amortization expense was $14.2 million and $28.7 million, respectively. During the three and six months ended September 30, 2023, amortization expense was $9.4 million and $19.2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annual amortization expense on intangible assets for the next five years is estimated to be as follows: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22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26,135</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49,842</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47,893</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46,121</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44,927</w:t>
            </w:r>
          </w:p>
        </w:tc>
      </w:tr>
      <w:tr>
        <w:trPr>
          <w:trHeight w:val="554"/>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NOTES PAYABLE AND LONG-TERM DEBT</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5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7"/>
                <w:szCs w:val="17"/>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494,813</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financing fees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261,971</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1,219,523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797,564</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Notes</w:t>
      </w:r>
    </w:p>
    <w:p>
      <w:pPr>
        <w:spacing w:after="0" w:line="252"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March 2021, the Company issued $500.0 million aggregate principal amount of 0% convertible senior notes due 2026 (the “2026 Notes”). The 2026 Notes are governed by the terms of the Indenture between the Company and U.S. Bank National Association, as trustee. The 2026 Notes will mature on March 1, 2026, unless earlier converted, redeemed or repurchased. In the first quarter of fiscal 2025, the Company repurchased $200.0 million of the aggregate principal amount for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which was recorded in Interest and other income (expense), net on the Condensed Consolidated Statements of Income.</w:t>
      </w: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2025, the conditions allowing holders of the 2026 Notes to convert have not been met. The 2026 Notes were therefore not convertible as of September 28, 2024 and were classified as long-term debt on the Company’s Condensed Consolidated Balance Sheets.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28, 2024, the $300.0 million principal balance was netted down by $2.3 million of remaining debt issuance costs, resulting in a net convertible note payable of $297.7 million. Interest expense related to the 2026 Notes was $0.4 million and $1.0 million for the three and six months ended September 28, 2024, respectively, which is entirely attributable to the amortization of the debt issuance costs. The remaining debt issuance costs are amortized at an effective interest rate of 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 Notes</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28, 2024, the Company issued $700.0 million aggregate principal amount of 2.5% convertible senior notes due 2029 (the “2029 Notes”). The 2029 Notes are governed by the terms of the Indenture between the Company and U.S. Bank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 2026 Notes and to complete capped call transactions in connection with the issuance of the 2029 Notes, as described further below. The Company intends to use the remainder of the proceeds for future cash requirements, which may include additional repurchases of the 2026 Notes from time to time following the offering, or the repayment at maturity of the 2026 Notes. The 2029 Notes will mature on June 1, 2029, unless earlier converted, redeemed or repurchased.</w:t>
      </w: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December 1, 2028 only under the following circumstances:</w:t>
      </w:r>
    </w:p>
    <w:p>
      <w:pPr>
        <w:spacing w:after="0" w:line="189" w:lineRule="exact"/>
        <w:rPr>
          <w:sz w:val="20"/>
          <w:szCs w:val="20"/>
          <w:color w:val="auto"/>
        </w:rPr>
      </w:pPr>
    </w:p>
    <w:p>
      <w:pPr>
        <w:ind w:left="660" w:right="1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206"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spacing w:after="0" w:line="202"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related redemption date if the Company calls the 2029 Notes for redemption.</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spacing w:after="0" w:line="2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2025, the conditions allowing holders of the 2029 Notes to convert have not been met. The 2029 Notes were therefore not convertible as of September 28, 2024 and were classified as long-term debt on the Company’s consolidated balance sheets.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fundamental changes involving the Company, holders of the 2029 Notes may require the Company to repurchase for cash all or part of their 2029 Notes at a repurchase price equal to 100% of the principal amount of the 2029 Notes to be repurchased, plus accrued and unpaid interest.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result of the issuance of the 2029 Notes, the Company recorded debt issuance costs of $17.2 million, which will be amortized to interest expense over the contractual term of the 2029 Notes at an effective interest rate of 3.0%.</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28, 2024, the $700.0 million principal balance was netted down by $16.2 million of remaining debt issuance costs, resulting in a net convertible note payable of $683.8 million. Interest expense related to the 2029 Notes was $5.2 million and $6.9 million for the three and six months ended September 28, 2024, respectively, which includes nominal interest expense and the amortization of the debt issuance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2029 Notes, the Company entered into capped call transactions with certain counterparties (“Capped Calls”). The Capped Calls each have an initial strike price of approximately $117.12 per share, subject to certain adjustments, which corresponds to the initial conversion price of the 2029 Notes. The Capped Calls have initial cap prices of $180.18 per share, subject to certain adjustments. The Capped Calls are expected to partially offset the potential dilution to the Company’s common stock upon any conversion of the 2029 Notes, with such offset subject to a cap based on the cap price. The Capped Calls cover, subject to anti-dilution adjustments, approximately 5.98 million shares of the Company’s common stock. For accounting purposes, the Capped Calls are separate transactions, and not part of the 2029 Notes. As these transactions meet certain accounting criteria, the Capped Calls are recorded in stockholders' equity and are not accounted for as derivatives. The cost of $88.2 million incurred to purchase the Capped Calls was recorded as a reduction to additional paid-in capital and will not be remeasured.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4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 their maturity date through June 2025. The amended and restated credit agreement provided for a $280.0 million senior unsecured term loan and a $420.0 million senior unsecured revolving credit facility (together, the “2022 Revised Credit Facilities”) with applicable interest rates during the period established using an annual rate equal to the Adjusted Term SOFR Rate plus an applicable rate ranging from 1.125% to 1.750% based on the Company’s consolidated net leverage ratio, as specified in the agreement.</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will initially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23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2024 Revised Credit Facilities, the Company is required to maintain a consolidated leverage ratio not to exceed 4.0:1.0 or, on up to two occasions during the term of the facility, 4.5:1.0 for the four consecutive fiscal quarters ended immediately following acquisitions meeting certain criteria specified in the agreement.</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applied modification accounting for the credit facility refinancing, which resulted in the capitalization of an additional $5.9 million in lender fees and third-party costs. During the three and six months ended September 28, 2024, the Company recognized $4.9 million and $12.0 million, respectively, of interest expense and amortization of debt issuance costs related to its credit facilities.</w:t>
      </w:r>
    </w:p>
    <w:p>
      <w:pPr>
        <w:spacing w:after="0" w:line="2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At September 28, 2024, $248.4 million was outstanding under the term loan with an effective interest rate of 6.7%, which was netted down by the $5.9 million of remaining debt discount, resulting in a net note payable of $242.5 million. The Company has scheduled principal payments of $6.3 million required during the 12 months following September 28, 2024. There were no outstanding borrowings under the revolving credit facilities at September 28, 2024. The Company also had $19.8 million of uncommitted operating lines of credit to fund its global operations under which there were no outstanding borrowings as of September 28, 2024.</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the consolidated net leverage and interest coverage ratios specified in the 2024 Revised Credit Facilities as well as all other bank covenants as of September 28, 2024.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aggregate amount of debt maturities are as follows:</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2025</w:t>
            </w:r>
          </w:p>
        </w:tc>
        <w:tc>
          <w:tcPr>
            <w:tcW w:w="43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306,355</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4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905,246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 AND FAIR VALUE MEASUREMENTS</w:t>
      </w:r>
    </w:p>
    <w:p>
      <w:pPr>
        <w:spacing w:after="0" w:line="25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its products globally. During both the three and six months ended September 28, 2024, 25.9% of the Company’s sales were generated outside the U.S. in local currencies. The Company also incurs certain manufacturing, marketing and selling costs in international markets in local currency.</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and Mexican Peso.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Foreign Currency Hedge Contracts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September 28, 2024 and March 30, 2024 were cash flow hedges under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Company records the effective portion of any change in the fair value of designated foreign currency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$30.8 million as of September 28, 2024 and $74.0 million as of March 30, 2024. At September 28, 2024, a loss of $1.3 million, net of tax, will be reclassified to earnings within the next twelve months. All currency cash flow hedges outstanding as of September 28, 2024 mature within twelve months.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Foreign Currency Contracts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$38.0 million as of September 28, 2024 and $39.9 million as of March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mitigate the interest rate risk on the Company’s senior unsecured term loan, in September 2022, the Company entered into four interest rate swaps, two</w:t>
      </w:r>
    </w:p>
    <w:p>
      <w:pPr>
        <w:spacing w:after="0" w:line="3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of which expired in June 2023 and the remaining two were amended and extended in September 2024. The amendment and extension of the two interest rate swaps did not have a material impact on the Condensed Consolidated Financial Statements.</w:t>
      </w:r>
    </w:p>
    <w:p>
      <w:pPr>
        <w:spacing w:after="0" w:line="18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Loans under the 2024 Revised Credit Facilities bear interest at an annual rate equal to the 1-month USD Term SOFR, plus an applicable rate ranging from 1.125% to 1.750% based on the Company’s consolidated net leverage ratio. As a result of the amendment and extension in September 2024, the two modified interest rate swaps (the “Swaps”) have an average blended fixed interest rate of 3.31% plus the applicable rate on approximately 80% of the notional value of the unsecured term loan, until their maturity in April 2029. The Company has determined both of the Swaps are effective and qualify for hedge accounting treatment.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September 28,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 Amount as</w:t>
            </w:r>
          </w:p>
        </w:tc>
        <w:tc>
          <w:tcPr>
            <w:tcW w:w="10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Fixed Interest</w:t>
            </w:r>
          </w:p>
        </w:tc>
        <w:tc>
          <w:tcPr>
            <w:tcW w:w="160" w:type="dxa"/>
            <w:vAlign w:val="bottom"/>
          </w:tcPr>
          <w:p>
            <w:pPr>
              <w:spacing w:after="0"/>
              <w:rPr>
                <w:sz w:val="13"/>
                <w:szCs w:val="13"/>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67"/>
        </w:trPr>
        <w:tc>
          <w:tcPr>
            <w:tcW w:w="2480" w:type="dxa"/>
            <w:vAlign w:val="bottom"/>
            <w:gridSpan w:val="2"/>
            <w:vMerge w:val="continue"/>
          </w:tcPr>
          <w:p>
            <w:pPr>
              <w:spacing w:after="0"/>
              <w:rPr>
                <w:sz w:val="5"/>
                <w:szCs w:val="5"/>
                <w:color w:val="auto"/>
              </w:rPr>
            </w:pPr>
          </w:p>
        </w:tc>
        <w:tc>
          <w:tcPr>
            <w:tcW w:w="1120" w:type="dxa"/>
            <w:vAlign w:val="bottom"/>
            <w:gridSpan w:val="2"/>
            <w:vMerge w:val="restart"/>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5"/>
                <w:szCs w:val="5"/>
                <w:color w:val="auto"/>
              </w:rPr>
            </w:pPr>
          </w:p>
        </w:tc>
        <w:tc>
          <w:tcPr>
            <w:tcW w:w="1160" w:type="dxa"/>
            <w:vAlign w:val="bottom"/>
            <w:vMerge w:val="restart"/>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of September 28,</w:t>
            </w: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restart"/>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Value Assets</w:t>
            </w:r>
          </w:p>
        </w:tc>
        <w:tc>
          <w:tcPr>
            <w:tcW w:w="0" w:type="dxa"/>
            <w:vAlign w:val="bottom"/>
          </w:tcPr>
          <w:p>
            <w:pPr>
              <w:spacing w:after="0"/>
              <w:rPr>
                <w:sz w:val="1"/>
                <w:szCs w:val="1"/>
                <w:color w:val="auto"/>
              </w:rPr>
            </w:pPr>
          </w:p>
        </w:tc>
      </w:tr>
      <w:tr>
        <w:trPr>
          <w:trHeight w:val="81"/>
        </w:trPr>
        <w:tc>
          <w:tcPr>
            <w:tcW w:w="248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16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86"/>
        </w:trPr>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9/27/2024</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4/30/2029</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128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9/27/2024</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4/30/2029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3.30%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For the six months ended September 28, 2024, the Company recorded a loss of $2.1 million, net of tax, in accumulated other comprehensive loss to recognize the effective portion of the fair value of the swaps that qualify as cash flow hedges.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25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20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The Company has not experienced significant customer payment defaults, or identified other significant collectability concerns.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the allowance for credit losses: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29"/>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0" w:type="dxa"/>
            <w:vAlign w:val="bottom"/>
          </w:tcPr>
          <w:p>
            <w:pPr>
              <w:spacing w:after="0"/>
              <w:rPr>
                <w:sz w:val="1"/>
                <w:szCs w:val="1"/>
                <w:color w:val="auto"/>
              </w:rPr>
            </w:pP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25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6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7"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60" w:right="4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5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effect of the Company’s derivative instruments designated as cash flow hedges and those not designated as hedging instruments under ASC 815 in its unaudited Condensed Consolidated Statements of Income and Comprehensive Income for the six months ended September 28, 2024:</w:t>
      </w:r>
    </w:p>
    <w:p>
      <w:pPr>
        <w:sectPr>
          <w:pgSz w:w="11900" w:h="16838" w:orient="portrait"/>
          <w:cols w:equalWidth="0" w:num="1">
            <w:col w:w="11220"/>
          </w:cols>
          <w:pgMar w:left="320" w:top="121" w:right="359" w:bottom="1440" w:gutter="0" w:footer="0" w:header="0"/>
        </w:sect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from Accumulated</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Accumulated Other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Loss into</w:t>
            </w:r>
          </w:p>
        </w:tc>
        <w:tc>
          <w:tcPr>
            <w:tcW w:w="0" w:type="dxa"/>
            <w:vAlign w:val="bottom"/>
          </w:tcPr>
          <w:p>
            <w:pPr>
              <w:spacing w:after="0"/>
              <w:rPr>
                <w:sz w:val="1"/>
                <w:szCs w:val="1"/>
                <w:color w:val="auto"/>
              </w:rPr>
            </w:pPr>
          </w:p>
        </w:tc>
      </w:tr>
      <w:tr>
        <w:trPr>
          <w:trHeight w:val="196"/>
        </w:trPr>
        <w:tc>
          <w:tcPr>
            <w:tcW w:w="44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90"/>
        </w:trPr>
        <w:tc>
          <w:tcPr>
            <w:tcW w:w="2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r>
      <w:tr>
        <w:trPr>
          <w:trHeight w:val="146"/>
        </w:trPr>
        <w:tc>
          <w:tcPr>
            <w:tcW w:w="19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4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Condensed Consolidated</w:t>
            </w:r>
          </w:p>
        </w:tc>
      </w:tr>
      <w:tr>
        <w:trPr>
          <w:trHeight w:val="137"/>
        </w:trPr>
        <w:tc>
          <w:tcPr>
            <w:tcW w:w="196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c>
          <w:tcPr>
            <w:tcW w:w="14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Effectiveness</w:t>
            </w:r>
          </w:p>
        </w:tc>
        <w:tc>
          <w:tcPr>
            <w:tcW w:w="18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Statements of Income and</w:t>
            </w:r>
          </w:p>
        </w:tc>
      </w:tr>
      <w:tr>
        <w:trPr>
          <w:trHeight w:val="190"/>
        </w:trPr>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Testing</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172"/>
        </w:trPr>
        <w:tc>
          <w:tcPr>
            <w:tcW w:w="1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bl>
    <w:p>
      <w:pPr>
        <w:spacing w:after="0" w:line="191" w:lineRule="exact"/>
        <w:rPr>
          <w:sz w:val="20"/>
          <w:szCs w:val="20"/>
          <w:color w:val="auto"/>
        </w:rPr>
      </w:pPr>
    </w:p>
    <w:p>
      <w:pPr>
        <w:sectPr>
          <w:pgSz w:w="11900" w:h="16838" w:orient="portrait"/>
          <w:cols w:equalWidth="0" w:num="2">
            <w:col w:w="5900" w:space="120"/>
            <w:col w:w="520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6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Designated foreign currency hedge</w:t>
            </w: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0" w:type="dxa"/>
            <w:vAlign w:val="bottom"/>
            <w:shd w:val="clear" w:color="auto" w:fill="CCEEFF"/>
          </w:tcPr>
          <w:p>
            <w:pPr>
              <w:ind w:left="80"/>
              <w:spacing w:after="0" w:line="188" w:lineRule="exact"/>
              <w:rPr>
                <w:sz w:val="20"/>
                <w:szCs w:val="20"/>
                <w:color w:val="auto"/>
              </w:rPr>
            </w:pPr>
            <w:r>
              <w:rPr>
                <w:rFonts w:ascii="Times New Roman" w:cs="Times New Roman" w:eastAsia="Times New Roman" w:hAnsi="Times New Roman"/>
                <w:sz w:val="18"/>
                <w:szCs w:val="18"/>
                <w:color w:val="auto"/>
              </w:rPr>
              <w:t>Net revenues, COGS</w:t>
            </w:r>
          </w:p>
        </w:tc>
        <w:tc>
          <w:tcPr>
            <w:tcW w:w="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Interest and other</w:t>
            </w:r>
          </w:p>
        </w:tc>
      </w:tr>
      <w:tr>
        <w:trPr>
          <w:trHeight w:val="24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net of tax</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SG&amp;A</w:t>
            </w:r>
          </w:p>
        </w:tc>
        <w:tc>
          <w:tcPr>
            <w:tcW w:w="7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 net</w:t>
            </w:r>
          </w:p>
        </w:tc>
      </w:tr>
      <w:tr>
        <w:trPr>
          <w:trHeight w:val="175"/>
        </w:trPr>
        <w:tc>
          <w:tcPr>
            <w:tcW w:w="2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Non-designated foreign currency</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Interest and other</w:t>
            </w: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 contracts</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spacing w:after="0"/>
              <w:rPr>
                <w:sz w:val="21"/>
                <w:szCs w:val="21"/>
                <w:color w:val="auto"/>
              </w:rPr>
            </w:pP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 net</w:t>
            </w:r>
          </w:p>
        </w:tc>
      </w:tr>
      <w:tr>
        <w:trPr>
          <w:trHeight w:val="175"/>
        </w:trPr>
        <w:tc>
          <w:tcPr>
            <w:tcW w:w="2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interest rate swaps, net</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Interest and other</w:t>
            </w: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36</w:t>
            </w:r>
          </w:p>
        </w:tc>
        <w:tc>
          <w:tcPr>
            <w:tcW w:w="1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 net</w:t>
            </w:r>
          </w:p>
        </w:tc>
        <w:tc>
          <w:tcPr>
            <w:tcW w:w="7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spacing w:after="0"/>
              <w:rPr>
                <w:sz w:val="21"/>
                <w:szCs w:val="21"/>
                <w:color w:val="auto"/>
              </w:rPr>
            </w:pPr>
          </w:p>
        </w:tc>
      </w:tr>
    </w:tbl>
    <w:p>
      <w:pPr>
        <w:spacing w:after="0" w:line="306"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September 28, 2024 or March 30, 2024. As of September 28, 2024, no material deferred taxes were recognized for designated foreign currency hedges.</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28, 2024,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derivative instruments as they appear in its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2024 and March 30, 2024: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 in Condensed Consolidated</w:t>
            </w:r>
          </w:p>
        </w:tc>
        <w:tc>
          <w:tcPr>
            <w:tcW w:w="220" w:type="dxa"/>
            <w:vAlign w:val="bottom"/>
          </w:tcPr>
          <w:p>
            <w:pPr>
              <w:spacing w:after="0"/>
              <w:rPr>
                <w:sz w:val="13"/>
                <w:szCs w:val="13"/>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80" w:type="dxa"/>
            <w:vAlign w:val="bottom"/>
          </w:tcPr>
          <w:p>
            <w:pPr>
              <w:spacing w:after="0"/>
              <w:rPr>
                <w:sz w:val="13"/>
                <w:szCs w:val="13"/>
                <w:color w:val="auto"/>
              </w:rPr>
            </w:pPr>
          </w:p>
        </w:tc>
        <w:tc>
          <w:tcPr>
            <w:tcW w:w="162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7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20" w:type="dxa"/>
            <w:vAlign w:val="bottom"/>
          </w:tcPr>
          <w:p>
            <w:pPr>
              <w:spacing w:after="0"/>
              <w:rPr>
                <w:sz w:val="16"/>
                <w:szCs w:val="16"/>
                <w:color w:val="auto"/>
              </w:rPr>
            </w:pPr>
          </w:p>
        </w:tc>
        <w:tc>
          <w:tcPr>
            <w:tcW w:w="17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80" w:type="dxa"/>
            <w:vAlign w:val="bottom"/>
          </w:tcPr>
          <w:p>
            <w:pPr>
              <w:spacing w:after="0"/>
              <w:rPr>
                <w:sz w:val="16"/>
                <w:szCs w:val="16"/>
                <w:color w:val="auto"/>
              </w:rPr>
            </w:pPr>
          </w:p>
        </w:tc>
        <w:tc>
          <w:tcPr>
            <w:tcW w:w="16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68"/>
        </w:trPr>
        <w:tc>
          <w:tcPr>
            <w:tcW w:w="4600" w:type="dxa"/>
            <w:vAlign w:val="bottom"/>
            <w:gridSpan w:val="2"/>
            <w:vMerge w:val="continue"/>
          </w:tcPr>
          <w:p>
            <w:pPr>
              <w:spacing w:after="0"/>
              <w:rPr>
                <w:sz w:val="5"/>
                <w:szCs w:val="5"/>
                <w:color w:val="auto"/>
              </w:rPr>
            </w:pPr>
          </w:p>
        </w:tc>
        <w:tc>
          <w:tcPr>
            <w:tcW w:w="2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Measured on a Recurring Basis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September 28, 2024 and March 30,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September 28, 2024</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156,066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6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1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26,334</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28,843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5"/>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 March 30, 2024</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43,073</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46,315</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8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5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20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3 fair value measurements of contingent consideration liabilities include the following significant unobservable inputs: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2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9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tcPr>
          <w:p>
            <w:pPr>
              <w:spacing w:after="0"/>
              <w:rPr>
                <w:sz w:val="21"/>
                <w:szCs w:val="21"/>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6.3%</w:t>
            </w:r>
          </w:p>
        </w:tc>
        <w:tc>
          <w:tcPr>
            <w:tcW w:w="0" w:type="dxa"/>
            <w:vAlign w:val="bottom"/>
          </w:tcPr>
          <w:p>
            <w:pPr>
              <w:spacing w:after="0"/>
              <w:rPr>
                <w:sz w:val="1"/>
                <w:szCs w:val="1"/>
                <w:color w:val="auto"/>
              </w:rPr>
            </w:pPr>
          </w:p>
        </w:tc>
      </w:tr>
      <w:tr>
        <w:trPr>
          <w:trHeight w:val="108"/>
        </w:trPr>
        <w:tc>
          <w:tcPr>
            <w:tcW w:w="26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Model</w:t>
            </w:r>
          </w:p>
        </w:tc>
        <w:tc>
          <w:tcPr>
            <w:tcW w:w="2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Projected year of payments</w:t>
            </w:r>
          </w:p>
        </w:tc>
        <w:tc>
          <w:tcPr>
            <w:tcW w:w="100" w:type="dxa"/>
            <w:vAlign w:val="bottom"/>
            <w:vMerge w:val="restart"/>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2025 - 2027</w:t>
            </w: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5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9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6.1%</w:t>
            </w:r>
          </w:p>
        </w:tc>
        <w:tc>
          <w:tcPr>
            <w:tcW w:w="0" w:type="dxa"/>
            <w:vAlign w:val="bottom"/>
          </w:tcPr>
          <w:p>
            <w:pPr>
              <w:spacing w:after="0"/>
              <w:rPr>
                <w:sz w:val="1"/>
                <w:szCs w:val="1"/>
                <w:color w:val="auto"/>
              </w:rPr>
            </w:pPr>
          </w:p>
        </w:tc>
      </w:tr>
      <w:tr>
        <w:trPr>
          <w:trHeight w:val="108"/>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Regulatory-based payment</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10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162"/>
        </w:trPr>
        <w:tc>
          <w:tcPr>
            <w:tcW w:w="26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Model</w:t>
            </w:r>
          </w:p>
        </w:tc>
        <w:tc>
          <w:tcPr>
            <w:tcW w:w="2640" w:type="dxa"/>
            <w:vAlign w:val="bottom"/>
            <w:gridSpan w:val="2"/>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60" w:type="dxa"/>
            <w:vAlign w:val="bottom"/>
            <w:gridSpan w:val="2"/>
            <w:vMerge w:val="continue"/>
          </w:tcPr>
          <w:p>
            <w:pPr>
              <w:spacing w:after="0"/>
              <w:rPr>
                <w:sz w:val="6"/>
                <w:szCs w:val="6"/>
                <w:color w:val="auto"/>
              </w:rPr>
            </w:pPr>
          </w:p>
        </w:tc>
        <w:tc>
          <w:tcPr>
            <w:tcW w:w="2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00" w:type="dxa"/>
            <w:vAlign w:val="bottom"/>
            <w:vMerge w:val="restart"/>
            <w:shd w:val="clear" w:color="auto" w:fill="CCEEFF"/>
          </w:tcPr>
          <w:p>
            <w:pPr>
              <w:spacing w:after="0"/>
              <w:rPr>
                <w:sz w:val="6"/>
                <w:szCs w:val="6"/>
                <w:color w:val="auto"/>
              </w:rPr>
            </w:pPr>
          </w:p>
        </w:tc>
        <w:tc>
          <w:tcPr>
            <w:tcW w:w="1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2026 - 2028</w:t>
            </w:r>
          </w:p>
        </w:tc>
        <w:tc>
          <w:tcPr>
            <w:tcW w:w="0" w:type="dxa"/>
            <w:vAlign w:val="bottom"/>
          </w:tcPr>
          <w:p>
            <w:pPr>
              <w:spacing w:after="0"/>
              <w:rPr>
                <w:sz w:val="1"/>
                <w:szCs w:val="1"/>
                <w:color w:val="auto"/>
              </w:rPr>
            </w:pPr>
          </w:p>
        </w:tc>
      </w:tr>
      <w:tr>
        <w:trPr>
          <w:trHeight w:val="198"/>
        </w:trPr>
        <w:tc>
          <w:tcPr>
            <w:tcW w:w="2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Event-based payment</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Monte Carlo Simulation</w:t>
            </w:r>
          </w:p>
        </w:tc>
        <w:tc>
          <w:tcPr>
            <w:tcW w:w="2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Discount rate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5.8%</w:t>
            </w:r>
          </w:p>
        </w:tc>
        <w:tc>
          <w:tcPr>
            <w:tcW w:w="0" w:type="dxa"/>
            <w:vAlign w:val="bottom"/>
          </w:tcPr>
          <w:p>
            <w:pPr>
              <w:spacing w:after="0"/>
              <w:rPr>
                <w:sz w:val="1"/>
                <w:szCs w:val="1"/>
                <w:color w:val="auto"/>
              </w:rPr>
            </w:pPr>
          </w:p>
        </w:tc>
      </w:tr>
      <w:tr>
        <w:trPr>
          <w:trHeight w:val="27"/>
        </w:trPr>
        <w:tc>
          <w:tcPr>
            <w:tcW w:w="2620" w:type="dxa"/>
            <w:vAlign w:val="bottom"/>
            <w:gridSpan w:val="2"/>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640" w:type="dxa"/>
            <w:vAlign w:val="bottom"/>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2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Model</w:t>
            </w: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6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60" w:type="dxa"/>
            <w:vAlign w:val="bottom"/>
            <w:gridSpan w:val="2"/>
            <w:vMerge w:val="continue"/>
          </w:tcPr>
          <w:p>
            <w:pPr>
              <w:spacing w:after="0"/>
              <w:rPr>
                <w:sz w:val="10"/>
                <w:szCs w:val="10"/>
                <w:color w:val="auto"/>
              </w:rPr>
            </w:pPr>
          </w:p>
        </w:tc>
        <w:tc>
          <w:tcPr>
            <w:tcW w:w="2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00" w:type="dxa"/>
            <w:vAlign w:val="bottom"/>
            <w:vMerge w:val="restart"/>
            <w:shd w:val="clear" w:color="auto" w:fill="CCEEFF"/>
          </w:tcPr>
          <w:p>
            <w:pPr>
              <w:spacing w:after="0"/>
              <w:rPr>
                <w:sz w:val="10"/>
                <w:szCs w:val="10"/>
                <w:color w:val="auto"/>
              </w:rPr>
            </w:pPr>
          </w:p>
        </w:tc>
        <w:tc>
          <w:tcPr>
            <w:tcW w:w="1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2"/>
            <w:vMerge w:val="continue"/>
          </w:tcPr>
          <w:p>
            <w:pPr>
              <w:spacing w:after="0"/>
              <w:rPr>
                <w:sz w:val="7"/>
                <w:szCs w:val="7"/>
                <w:color w:val="auto"/>
              </w:rPr>
            </w:pPr>
          </w:p>
        </w:tc>
        <w:tc>
          <w:tcPr>
            <w:tcW w:w="2540" w:type="dxa"/>
            <w:vAlign w:val="bottom"/>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1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fair value of contingent consideration associated with the Attune Medical acquisition was $26.3 million at September 28, 2024. As of September 28, 2024, $8.0 million was included in other current liabilities and $18.3 million was included in other long-term liabilities on the Condensed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fair value of contingent consideration is included in the following table: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30, 2024</w:t>
            </w: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date fair value of contingent consideration</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26,334</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values of the 2026 Notes and 2029 Notes were $277.7 million and $701.7 million as of September 28, 2024, respectively, which were determined by using the market price on the last trading day of the reporting period and are considered as level 2 in the fair value hierarchy.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unsecured term loan (which is carried at amortized cost), accounts receivable and accounts payable approximate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fiscal 2021, a putative class action complaint was filed against the Company in the Circuit Court of Cook County, Illinois by Mary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Crumpton, on behalf of herself and similarly situated individuals. The Company removed the case to the United States District Court for the Northern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District Illinois. See </w:t>
      </w:r>
      <w:r>
        <w:rPr>
          <w:rFonts w:ascii="Times New Roman" w:cs="Times New Roman" w:eastAsia="Times New Roman" w:hAnsi="Times New Roman"/>
          <w:sz w:val="18"/>
          <w:szCs w:val="18"/>
          <w:i w:val="1"/>
          <w:iCs w:val="1"/>
          <w:color w:val="auto"/>
        </w:rPr>
        <w:t>Mary Crumpton v. Haemonetics Corporation, Case No. 1:21-cv-1402</w:t>
      </w:r>
      <w:r>
        <w:rPr>
          <w:rFonts w:ascii="Times New Roman" w:cs="Times New Roman" w:eastAsia="Times New Roman" w:hAnsi="Times New Roman"/>
          <w:sz w:val="18"/>
          <w:szCs w:val="18"/>
          <w:color w:val="auto"/>
        </w:rPr>
        <w:t>. In her complaint, the plaintiff asserts that between June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August 2018 she donated plasma at a center operated by one of the Company’s customers, that the center required her to scan her fingerprint 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finger scanner that stored her fingerprint to identify her prior to plasma donation, and that the Company’s eQue donor management software sent 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biometric information to a Company-owned server to be collected and stored in a manner that violated her rights under the Illinois Biometric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Privacy Act (“BIPA”). The plaintiff seeks statutory damages, attorneys’ fees and injunctive and equitable relief. In March 2021, the Company moved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dismiss the complaint for lack of personal jurisdiction and concurrently filed a motion to dismiss for failure to state a claim and a motion to stay. In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 the court denied the Company’s motion to dismiss for lack of personal jurisdiction but did not address the merits of the Company’s other positions.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2023, the Company filed a second motion to dismiss the complaint, which is pending before the court. During the second quarter of fiscal 2024,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entered into a Memorandum of Understanding providing terms that would resolve the litigation and recorded an additional loss contingency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this matter. In the third quarter of fiscal 2024, the parties requested preliminary court approval of a final settlement agreement, which was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and the Company recorded an immaterial additional loss contingency related to settlement administration, resulting in an accrual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 million within Other current liabilities in its consolidated balance sheets. In March 2024, notice of the settlement was mailed to class members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are now awaiting the complete administration of the settlement through the third-party administrator. In the first quarter of fiscal 2025,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payment of the $8.7 million settlement amount following the court's final approval of the settlement agreement and dismissal of the matter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prejudice.</w:t>
      </w:r>
    </w:p>
    <w:p>
      <w:pPr>
        <w:spacing w:after="0" w:line="22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During the fourth quarter of fiscal 2024, a complaint was filed in the U.S. District Court for the District of Delaware by Knoninklijke Philips N.V. and IP2IPO Innovations, Ltd. (together, the “Plaintiffs”) against OpSens, OpSens Medical, Inc., a wholly-owned subsidiary of OpSens, and Haemonetics (1:24-cv-00206-CFC). The complaint alleges, inter alia, that OpSens’ interventional cardiology systems, including its OptoWire and OptoMonitor technology, infringe a single patent held by the Plaintiffs and seeks both injunctive relief and damages. The Company believes it has valid and meritorious defenses to the complaint and plans to vigorously defend against the complaint. During the first quarter of fiscal 2025, the Company recorded a loss contingency related to this matter, which did not have a material impact on its Condensed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Recall</w:t>
      </w:r>
    </w:p>
    <w:p>
      <w:pPr>
        <w:spacing w:after="0" w:line="254"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August 2023, the Company issued a voluntary recall of certain products within the Whole Blood portion of our Blood Center business unit sold to customers in the U.S. and certain foreign jurisdictions. In fiscal 2024, the Company recorded cumulative charges of $6.8 million related to inventory, returns and customer claims associated with this recall. Substantially all outstanding claims have been paid as of September 28,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3"/>
                <w:szCs w:val="13"/>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120" w:type="dxa"/>
            <w:vAlign w:val="bottom"/>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360" w:type="dxa"/>
            <w:vAlign w:val="bottom"/>
          </w:tcPr>
          <w:p>
            <w:pPr>
              <w:spacing w:after="0"/>
              <w:rPr>
                <w:sz w:val="13"/>
                <w:szCs w:val="13"/>
                <w:color w:val="auto"/>
              </w:rPr>
            </w:pPr>
          </w:p>
        </w:tc>
        <w:tc>
          <w:tcPr>
            <w:tcW w:w="12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 on Derivatives</w:t>
            </w: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30, 2024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(38,274)</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(35,632)</w:t>
            </w:r>
          </w:p>
        </w:tc>
        <w:tc>
          <w:tcPr>
            <w:tcW w:w="0" w:type="dxa"/>
            <w:vAlign w:val="bottom"/>
          </w:tcPr>
          <w:p>
            <w:pPr>
              <w:spacing w:after="0"/>
              <w:rPr>
                <w:sz w:val="1"/>
                <w:szCs w:val="1"/>
                <w:color w:val="auto"/>
              </w:rPr>
            </w:pPr>
          </w:p>
        </w:tc>
      </w:tr>
      <w:tr>
        <w:trPr>
          <w:trHeight w:val="156"/>
        </w:trPr>
        <w:tc>
          <w:tcPr>
            <w:tcW w:w="45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5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reclassifications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176"/>
        </w:trPr>
        <w:tc>
          <w:tcPr>
            <w:tcW w:w="4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comprehensive loss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28,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(33,420)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(34,564)</w:t>
            </w:r>
          </w:p>
        </w:tc>
        <w:tc>
          <w:tcPr>
            <w:tcW w:w="0" w:type="dxa"/>
            <w:vAlign w:val="bottom"/>
          </w:tcPr>
          <w:p>
            <w:pPr>
              <w:spacing w:after="0"/>
              <w:rPr>
                <w:sz w:val="1"/>
                <w:szCs w:val="1"/>
                <w:color w:val="auto"/>
              </w:rPr>
            </w:pPr>
          </w:p>
        </w:tc>
      </w:tr>
    </w:tbl>
    <w:p>
      <w:pPr>
        <w:ind w:left="220" w:hanging="160"/>
        <w:spacing w:after="0" w:line="233" w:lineRule="auto"/>
        <w:tabs>
          <w:tab w:leader="none" w:pos="22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Presented net of income taxes, the amounts of which are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-123825</wp:posOffset>
            </wp:positionV>
            <wp:extent cx="42259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ENTERPRISE-WIDE INFORMATION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w:t>
      </w:r>
      <w:r>
        <w:rPr>
          <w:rFonts w:ascii="Times New Roman" w:cs="Times New Roman" w:eastAsia="Times New Roman" w:hAnsi="Times New Roman"/>
          <w:sz w:val="18"/>
          <w:szCs w:val="18"/>
          <w:color w:val="EE2724"/>
        </w:rPr>
        <w:t>i</w:t>
      </w:r>
      <w:r>
        <w:rPr>
          <w:rFonts w:ascii="Times New Roman" w:cs="Times New Roman" w:eastAsia="Times New Roman" w:hAnsi="Times New Roman"/>
          <w:sz w:val="18"/>
          <w:szCs w:val="18"/>
          <w:color w:val="auto"/>
        </w:rPr>
        <w:t>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and operating segments are as follows:</w:t>
      </w:r>
    </w:p>
    <w:p>
      <w:pPr>
        <w:spacing w:after="0" w:line="13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2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Management measures and evaluates the operating segments based on operating income. Management excludes certain corporate expenses from segment operating income. In addition, certain amounts that management considers to be non-recurring or non-operational are excluded from segment operating income because management evaluates the operating results of the segments excluding such items. Although these amounts are excluded from segment operating income, as applicable, they are included in the reconciliations that follow. Management measures and evaluates the Company’s net revenues and operating income using internally derived standard currency exchange rates that remain constant from year to year; therefore, segment information is presented on this basis.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282,134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139,639</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208,378</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in constant currency</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630,151</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345,511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681,683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629,515</w:t>
            </w:r>
          </w:p>
        </w:tc>
        <w:tc>
          <w:tcPr>
            <w:tcW w:w="0" w:type="dxa"/>
            <w:vAlign w:val="bottom"/>
          </w:tcPr>
          <w:p>
            <w:pPr>
              <w:spacing w:after="0"/>
              <w:rPr>
                <w:sz w:val="1"/>
                <w:szCs w:val="1"/>
                <w:color w:val="auto"/>
              </w:rPr>
            </w:pPr>
          </w:p>
        </w:tc>
      </w:tr>
    </w:tbl>
    <w:p>
      <w:pPr>
        <w:ind w:left="200" w:hanging="161"/>
        <w:spacing w:after="0" w:line="219" w:lineRule="auto"/>
        <w:tabs>
          <w:tab w:leader="none" w:pos="20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Beginning in fiscal 2025, the Company integrated service revenue within its three business units. Prior periods were conformed to current presentation.</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235"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-659130</wp:posOffset>
            </wp:positionV>
            <wp:extent cx="32575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53,590</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Hospital</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82,777</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290,107</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Corporate expenses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(151,059)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fair value inventory step-up</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Integration and transaction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related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Digital transformation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PCS2 related charges</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MDR and IVDR costs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Litigation-related charges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0" w:type="dxa"/>
            <w:vAlign w:val="bottom"/>
          </w:tcPr>
          <w:p>
            <w:pPr>
              <w:spacing w:after="0"/>
              <w:rPr>
                <w:sz w:val="1"/>
                <w:szCs w:val="1"/>
                <w:color w:val="auto"/>
              </w:rPr>
            </w:pPr>
          </w:p>
        </w:tc>
      </w:tr>
      <w:tr>
        <w:trPr>
          <w:trHeight w:val="229"/>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 of property, plant and equipment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88,962</w:t>
            </w:r>
          </w:p>
        </w:tc>
        <w:tc>
          <w:tcPr>
            <w:tcW w:w="0" w:type="dxa"/>
            <w:vAlign w:val="bottom"/>
          </w:tcPr>
          <w:p>
            <w:pPr>
              <w:spacing w:after="0"/>
              <w:rPr>
                <w:sz w:val="1"/>
                <w:szCs w:val="1"/>
                <w:color w:val="auto"/>
              </w:rPr>
            </w:pPr>
          </w:p>
        </w:tc>
      </w:tr>
    </w:tbl>
    <w:p>
      <w:pPr>
        <w:ind w:left="40" w:right="380" w:hanging="1"/>
        <w:spacing w:after="0" w:line="209" w:lineRule="auto"/>
        <w:tabs>
          <w:tab w:leader="none" w:pos="20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shared service expenses including quality and regulatory, customer and field service, research and development, manufacturing and supply chain, as well as other corporate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-226060</wp:posOffset>
            </wp:positionV>
            <wp:extent cx="32575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business unit are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6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282,415</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Apheresis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104,139</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Whole Blood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34,723</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138,862</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76,161</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132,077</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208,238</w:t>
            </w:r>
          </w:p>
        </w:tc>
        <w:tc>
          <w:tcPr>
            <w:tcW w:w="0" w:type="dxa"/>
            <w:vAlign w:val="bottom"/>
          </w:tcPr>
          <w:p>
            <w:pPr>
              <w:spacing w:after="0"/>
              <w:rPr>
                <w:sz w:val="1"/>
                <w:szCs w:val="1"/>
                <w:color w:val="auto"/>
              </w:rPr>
            </w:pPr>
          </w:p>
        </w:tc>
      </w:tr>
      <w:tr>
        <w:trPr>
          <w:trHeight w:val="148"/>
        </w:trPr>
        <w:tc>
          <w:tcPr>
            <w:tcW w:w="6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345,511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681,683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629,515</w:t>
            </w:r>
          </w:p>
        </w:tc>
        <w:tc>
          <w:tcPr>
            <w:tcW w:w="0" w:type="dxa"/>
            <w:vAlign w:val="bottom"/>
          </w:tcPr>
          <w:p>
            <w:pPr>
              <w:spacing w:after="0"/>
              <w:rPr>
                <w:sz w:val="1"/>
                <w:szCs w:val="1"/>
                <w:color w:val="auto"/>
              </w:rPr>
            </w:pPr>
          </w:p>
        </w:tc>
      </w:tr>
    </w:tbl>
    <w:p>
      <w:pPr>
        <w:ind w:left="180" w:hanging="154"/>
        <w:spacing w:after="0" w:line="230"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Interventional Technologies includes Vascular Closure, Sensor Guided Technologies and Esophageal Protection product lines of the Hospital business unit.</w:t>
      </w:r>
    </w:p>
    <w:p>
      <w:pPr>
        <w:spacing w:after="0" w:line="24"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Blood Management Technologies includes Hemostasis Management, Cell Salvage and Transfusion Management product lines of the Hospital business unit.</w:t>
      </w:r>
    </w:p>
    <w:p>
      <w:pPr>
        <w:spacing w:after="0" w:line="23" w:lineRule="exact"/>
        <w:rPr>
          <w:rFonts w:ascii="Times New Roman" w:cs="Times New Roman" w:eastAsia="Times New Roman" w:hAnsi="Times New Roman"/>
          <w:sz w:val="19"/>
          <w:szCs w:val="19"/>
          <w:color w:val="auto"/>
          <w:vertAlign w:val="superscript"/>
        </w:rPr>
      </w:pPr>
    </w:p>
    <w:p>
      <w:pPr>
        <w:ind w:left="180" w:hanging="154"/>
        <w:spacing w:after="0" w:line="211" w:lineRule="auto"/>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Beginning in fiscal 2025, the Company integrated service revenue within its three business units. Prior periods were conformed to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-398145</wp:posOffset>
            </wp:positionV>
            <wp:extent cx="3240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generated in the Company’s principle operating regions on a reported basis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473,418</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78,053</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345,511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318,183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681,683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629,515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30, 2024. The following discussion may contain forward-looking statements and should be read in conjunction with the “Cautionary Statement Regarding Forward-Looking Information” in this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Haemonetics is a global healthcare company dedicated to providing a suite of innovative medical technology solutions that improve the quality, effectiveness and efficiency of care. We challenge ourselves to think big and make new possibilities a reality, so that our customers can make it matter for patients, every single day. Our technology addresses important medical markets: blood and plasma component collection, the surgical suite and hospital transfusion services.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red cells, platelets and whole blood. “Hospital” is comprised of Interventional Technologies, which includes Vascular Closure, Sensor Guided Technologies and Esophageal Protection products, and Blood Management Technologies, which includes Hemostasis Management, Cell Salvage and Transfusion Management products.</w:t>
      </w:r>
    </w:p>
    <w:p>
      <w:pPr>
        <w:spacing w:after="0" w:line="210"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7"/>
          <w:szCs w:val="17"/>
          <w:color w:val="auto"/>
        </w:rPr>
        <w:t>We believe that Plasma and Hospital have growth potential, while Blood Center competes in challenging markets that require us to manage the business differently, including reducing costs, shrinking the scope of the current product line, and evaluating opportunities to exit unfavorable customer contracts.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w:t>
      </w:r>
    </w:p>
    <w:p>
      <w:pPr>
        <w:spacing w:after="0" w:line="24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In August 2024, in accordance with our previously-announced three-year share repurchase program, we entered into an accelerated share repurchase agreement (“ASR”) with Citibank N.A. (“Citibank”) to repurchase $75.0 million of our common stock. Pursuant to the terms of the ASR, in August 2024, we paid Citibank $75.0 million in cash and received an initial delivery of 0.8 million shares of our common stock based on a closing market price on the New York Stock Exchange on August 28, 2024 of $75.08. This initial delivery of shares represented approximately 80% of the notional amount of the ASR. The ASR was completed in October 2024, subsequent to the end of the second quarter of fiscal 2025, and 0.2 million additional shares were delivered upon settlement. As of September 28, 2024, the total remaining authorization for repurchases of our common stock under the share repurchase program was $150.0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Convertible Senior Notes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28, 2024, we issued $700.0 million aggregate principal amount of 2.5% convertible senior notes due 2029 (the “2029 Notes”). The 2029 Notes are governed by the terms of the Indenture between the Company and U.S. Bank National Association, as trustee. The total net proceeds from the sale of the 2029 Notes, after deducting the initial purchasers’ discounts and debt issuance costs, were $682.8 million, of which $230.0 million was used to repay the entirety of the balance on the revolving credit facility under the Company’s current credit agreement, $185.5 million was used to repurchase a portion of our existing 0% convertible senior notes due 2026 and $88.2 million was used to complete capped call transactions, with the remaining proceeds available for future cash requirements. The 2029 Notes will mature on June 1, 2029, unless earlier converted, redeemed or repurchased.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and Repayment</w:t>
      </w:r>
    </w:p>
    <w:p>
      <w:pPr>
        <w:spacing w:after="0" w:line="254"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On April 30, 2024, we entered into a second amended and restated credit agreement with certain lenders to refinance our prior credit facilities and extend their maturity date through April 2029. The second amended and restated credit agreement provides for a $250.0 million senior unsecured term loan, the proceeds of which, along with $12.5 million of cash on hand, have been used to retire the balance of the term loan under our prior credit facilities, and a $750.0 million senior unsecured revolving credit facility.</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Attune Medical</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April 1, 2024, we completed our acquisition of Advanced Cooling Therapy, Inc., d/b/a Attune Medical (“Attune Medical”) for total consideration of $187.7 million, which included an upfront cash payment of $162.0 million, or $150.5 million net of cash acquired, the fair value of contingent consideration of $25.3 million, and $0.4 million of working capital adjustments. The contingent consideration is based on sales growth over the next three years, which is uncapped, and the achievement of certain other milestones. We financed the acquisition through a combination of cash on hand and borrowings under its senior unsecured revolving credit facility.</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addition of our Esophageal Protection product line through this acquisition expands our Hospital business unit’s presence in electrophysiology and complements its Vascular Closure product line within Interventional Technologies, which is included in the Hospital reportable segment.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OpSens Inc.</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12, 2023, we completed our acquisition of OpSens Inc. (“OpSens”) for total consideration of approximately $254.5 million, or</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$243.9 million, net of cash acquired. We financed the acquisition through a combination of cash on hand and borrowings under its senior unsecured revolving credit facility.</w:t>
      </w:r>
    </w:p>
    <w:p>
      <w:pPr>
        <w:spacing w:after="0" w:line="208"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sensor-guided 3-in-1 guidewire for TAVR procedures, advancing the workflow of the procedure and enabling potentially shorter hospital stays for patients; and the OptoWire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(FFR) and diastolic pressure ratio (dPR) to aid clinicians in the diagnosis and treatment of patients with coronary artery disease. OpSens also manufactures a range of fiber optic sensor solutions used in medical devices and other critical industrial applications. The addition of OpSens expands our Hospital business unit portfolio in the interventional cardiology market and is included in the Hospital reportable segment.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top w:val="single" w:sz="8" w:color="auto"/>
            </w:tcBorders>
          </w:tcPr>
          <w:p>
            <w:pPr>
              <w:jc w:val="right"/>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3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6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345,511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318,183</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681,683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629,515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8.3 %</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187,437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170,510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362,361</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337,775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7.3 %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54.2 %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53.6 %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53.7 %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135,740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135,207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270,908</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248,813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8.9 %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51,697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35,303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88,962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2.8 %</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11.1 %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14.1 %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(6,993)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(4,540)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(99.2)%</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44,704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32,832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91,417</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84,422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8.3 %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10,873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18,472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24.1 %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21.9 %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33,831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24,908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65,950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9.5 %</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10.5 %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9.2 %</w:t>
            </w:r>
          </w:p>
        </w:tc>
        <w:tc>
          <w:tcPr>
            <w:tcW w:w="0" w:type="dxa"/>
            <w:vAlign w:val="bottom"/>
          </w:tcPr>
          <w:p>
            <w:pPr>
              <w:spacing w:after="0"/>
              <w:rPr>
                <w:sz w:val="1"/>
                <w:szCs w:val="1"/>
                <w:color w:val="auto"/>
              </w:rPr>
            </w:pPr>
          </w:p>
        </w:tc>
      </w:tr>
      <w:tr>
        <w:trPr>
          <w:trHeight w:val="23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37.5 %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9.4 %</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revenues increased 8.6% and 8.3% during the three and six months ended September 28, 2024, respectively, as compared with the same periods of fiscal 2024. Without the effects of foreign exchange, net revenues increased 8.7% during both the three and six months ended September 28, 2024, as compared with the same periods of fiscal 2024. Revenue increases in our Hospital businesses, primarily related to recent acquisitions as well as volume and price benefits, drove the overall increases in revenue during the three and six months ended September 28,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income increased 46.4% and 2.8% during the three and six months ended September 28, 2024, respectively, as compared with the same periods of fiscal 2024. The increase during the three months ended September 28, 2024 was primarily due to operating leverage, partially offset by operating costs related to recent acquisitions and increased amortization of acquired intangible assets. The increase for the six months ended September 28, 2024 was primarily due to operating leverage and the gains realized on the sale of a manufacturing facility in the first quarter of fiscal 2025, partially offset by operating, transaction and integration costs related to recent acquisitions and increased amortization of acquired intangible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120" w:type="dxa"/>
            <w:vAlign w:val="bottom"/>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4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growth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236,345</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81,838</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345,511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318,183</w:t>
            </w:r>
          </w:p>
        </w:tc>
        <w:tc>
          <w:tcPr>
            <w:tcW w:w="15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8.6 %</w:t>
            </w:r>
          </w:p>
        </w:tc>
        <w:tc>
          <w:tcPr>
            <w:tcW w:w="1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120" w:type="dxa"/>
            <w:vAlign w:val="bottom"/>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5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4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growth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473,418</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0"/>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176,720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156,097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48"/>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681,683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629,515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right="220" w:firstLine="6"/>
        <w:spacing w:after="0"/>
        <w:tabs>
          <w:tab w:leader="none" w:pos="152"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2"/>
          <w:szCs w:val="12"/>
          <w:i w:val="1"/>
          <w:iCs w:val="1"/>
          <w:color w:val="auto"/>
        </w:rPr>
        <w:t>Management’s Use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Non-GAAP Measures.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-106045</wp:posOffset>
            </wp:positionV>
            <wp:extent cx="1680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principal operations are in the United States, Europe, Japan and other parts of Asia. Our products are marketed in approximately 90 countries around the world through a combination of our direct sales force and independent distributors and agents. During both the three and six months ended September 28, 2024, our revenue generated outside the U.S. was 25.9% of total net revenues, as compared with 25.7% and 24.8%, respectively, during the three and six months ended September 30, 2023. International sales are generally conducted in local currencies, primarily Japanese Yen, Euro and Chinese Yuan. Our results of operations are impacted by changes in foreign exchange rates, particularly in the value of the Yen and Euro relative to the U.S. Dollar. We have placed foreign currency hedges on certain foreign currencies to mitigate our exposure to foreign currency fluctuations.</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Please see the section entitled “Foreign Exchange”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3"/>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100" w:type="dxa"/>
            <w:vAlign w:val="bottom"/>
          </w:tcPr>
          <w:p>
            <w:pPr>
              <w:jc w:val="center"/>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6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20" w:type="dxa"/>
            <w:vAlign w:val="bottom"/>
          </w:tcPr>
          <w:p>
            <w:pPr>
              <w:jc w:val="center"/>
              <w:ind w:left="114"/>
              <w:spacing w:after="0" w:line="202" w:lineRule="exact"/>
              <w:rPr>
                <w:sz w:val="20"/>
                <w:szCs w:val="20"/>
                <w:color w:val="auto"/>
              </w:rPr>
            </w:pPr>
            <w:r>
              <w:rPr>
                <w:rFonts w:ascii="Times New Roman" w:cs="Times New Roman" w:eastAsia="Times New Roman" w:hAnsi="Times New Roman"/>
                <w:sz w:val="14"/>
                <w:szCs w:val="14"/>
                <w:b w:val="1"/>
                <w:bCs w:val="1"/>
                <w:color w:val="auto"/>
                <w:w w:val="95"/>
              </w:rPr>
              <w:t>growth</w:t>
            </w:r>
            <w:r>
              <w:rPr>
                <w:rFonts w:ascii="Times New Roman" w:cs="Times New Roman" w:eastAsia="Times New Roman" w:hAnsi="Times New Roman"/>
                <w:sz w:val="18"/>
                <w:szCs w:val="18"/>
                <w:b w:val="1"/>
                <w:bCs w:val="1"/>
                <w:color w:val="auto"/>
                <w:w w:val="95"/>
                <w:vertAlign w:val="superscript"/>
              </w:rPr>
              <w:t>(1)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142,794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69,656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67,192</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138,422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105,733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30.8 %</w:t>
            </w:r>
          </w:p>
        </w:tc>
        <w:tc>
          <w:tcPr>
            <w:tcW w:w="0" w:type="dxa"/>
            <w:vAlign w:val="bottom"/>
          </w:tcPr>
          <w:p>
            <w:pPr>
              <w:spacing w:after="0"/>
              <w:rPr>
                <w:sz w:val="1"/>
                <w:szCs w:val="1"/>
                <w:color w:val="auto"/>
              </w:rPr>
            </w:pPr>
          </w:p>
        </w:tc>
      </w:tr>
      <w:tr>
        <w:trPr>
          <w:trHeight w:val="148"/>
        </w:trPr>
        <w:tc>
          <w:tcPr>
            <w:tcW w:w="3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318,183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3"/>
            <w:vMerge w:val="restart"/>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1100" w:type="dxa"/>
            <w:vAlign w:val="bottom"/>
          </w:tcPr>
          <w:p>
            <w:pPr>
              <w:jc w:val="center"/>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6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4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7"/>
                <w:szCs w:val="17"/>
                <w:color w:val="auto"/>
              </w:rPr>
            </w:pPr>
          </w:p>
        </w:tc>
        <w:tc>
          <w:tcPr>
            <w:tcW w:w="1640" w:type="dxa"/>
            <w:vAlign w:val="bottom"/>
            <w:gridSpan w:val="3"/>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220" w:type="dxa"/>
            <w:vAlign w:val="bottom"/>
          </w:tcPr>
          <w:p>
            <w:pPr>
              <w:jc w:val="center"/>
              <w:ind w:left="114"/>
              <w:spacing w:after="0" w:line="202" w:lineRule="exact"/>
              <w:rPr>
                <w:sz w:val="20"/>
                <w:szCs w:val="20"/>
                <w:color w:val="auto"/>
              </w:rPr>
            </w:pPr>
            <w:r>
              <w:rPr>
                <w:rFonts w:ascii="Times New Roman" w:cs="Times New Roman" w:eastAsia="Times New Roman" w:hAnsi="Times New Roman"/>
                <w:sz w:val="14"/>
                <w:szCs w:val="14"/>
                <w:b w:val="1"/>
                <w:bCs w:val="1"/>
                <w:color w:val="auto"/>
                <w:w w:val="95"/>
              </w:rPr>
              <w:t>growth</w:t>
            </w:r>
            <w:r>
              <w:rPr>
                <w:rFonts w:ascii="Times New Roman" w:cs="Times New Roman" w:eastAsia="Times New Roman" w:hAnsi="Times New Roman"/>
                <w:sz w:val="18"/>
                <w:szCs w:val="18"/>
                <w:b w:val="1"/>
                <w:bCs w:val="1"/>
                <w:color w:val="auto"/>
                <w:w w:val="95"/>
                <w:vertAlign w:val="superscript"/>
              </w:rPr>
              <w:t>(1)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274,471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282,415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138,862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132,077</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208,238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31.1 %</w:t>
            </w:r>
          </w:p>
        </w:tc>
        <w:tc>
          <w:tcPr>
            <w:tcW w:w="0" w:type="dxa"/>
            <w:vAlign w:val="bottom"/>
          </w:tcPr>
          <w:p>
            <w:pPr>
              <w:spacing w:after="0"/>
              <w:rPr>
                <w:sz w:val="1"/>
                <w:szCs w:val="1"/>
                <w:color w:val="auto"/>
              </w:rPr>
            </w:pPr>
          </w:p>
        </w:tc>
      </w:tr>
      <w:tr>
        <w:trPr>
          <w:trHeight w:val="149"/>
        </w:trPr>
        <w:tc>
          <w:tcPr>
            <w:tcW w:w="38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23"/>
                <w:szCs w:val="23"/>
                <w:b w:val="1"/>
                <w:bCs w:val="1"/>
                <w:color w:val="auto"/>
                <w:vertAlign w:val="superscript"/>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629,515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0" w:right="180" w:firstLine="6"/>
        <w:spacing w:after="0"/>
        <w:tabs>
          <w:tab w:leader="none" w:pos="152"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Constant currency growth, a non-GAAP financial measure, measures the change in revenue between the current and prior year periods using a constant currency. See “</w:t>
      </w:r>
      <w:r>
        <w:rPr>
          <w:rFonts w:ascii="Times New Roman" w:cs="Times New Roman" w:eastAsia="Times New Roman" w:hAnsi="Times New Roman"/>
          <w:sz w:val="12"/>
          <w:szCs w:val="12"/>
          <w:i w:val="1"/>
          <w:iCs w:val="1"/>
          <w:color w:val="auto"/>
        </w:rPr>
        <w:t>Management’s Use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Non-GAAP Measures.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6"/>
          <w:szCs w:val="16"/>
          <w:color w:val="auto"/>
          <w:vertAlign w:val="superscript"/>
        </w:rPr>
      </w:pPr>
    </w:p>
    <w:p>
      <w:pPr>
        <w:ind w:left="160" w:hanging="134"/>
        <w:spacing w:after="0" w:line="232" w:lineRule="auto"/>
        <w:tabs>
          <w:tab w:leader="none" w:pos="16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Interventional Technologies includes Vascular Closure, Sensor Guided Technologies and Esophageal Protection product lines of the Hospital business unit.</w:t>
      </w:r>
    </w:p>
    <w:p>
      <w:pPr>
        <w:spacing w:after="0" w:line="30" w:lineRule="exact"/>
        <w:rPr>
          <w:rFonts w:ascii="Times New Roman" w:cs="Times New Roman" w:eastAsia="Times New Roman" w:hAnsi="Times New Roman"/>
          <w:sz w:val="17"/>
          <w:szCs w:val="17"/>
          <w:color w:val="auto"/>
          <w:vertAlign w:val="superscript"/>
        </w:rPr>
      </w:pPr>
    </w:p>
    <w:p>
      <w:pPr>
        <w:ind w:left="160" w:hanging="134"/>
        <w:spacing w:after="0" w:line="211" w:lineRule="auto"/>
        <w:tabs>
          <w:tab w:leader="none" w:pos="16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Blood Management Technologies includes Hemostasis Management, Cell Salvage and Transfusion Management product lines of the Hospital business unit.</w:t>
      </w:r>
    </w:p>
    <w:p>
      <w:pPr>
        <w:spacing w:after="0" w:line="30" w:lineRule="exact"/>
        <w:rPr>
          <w:rFonts w:ascii="Times New Roman" w:cs="Times New Roman" w:eastAsia="Times New Roman" w:hAnsi="Times New Roman"/>
          <w:sz w:val="17"/>
          <w:szCs w:val="17"/>
          <w:color w:val="auto"/>
          <w:vertAlign w:val="superscript"/>
        </w:rPr>
      </w:pPr>
    </w:p>
    <w:p>
      <w:pPr>
        <w:ind w:left="180" w:hanging="154"/>
        <w:spacing w:after="0" w:line="189" w:lineRule="auto"/>
        <w:tabs>
          <w:tab w:leader="none" w:pos="1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Beginning in fiscal 2025, the Company integrated service revenue within its three business units. Prior periods were conformed to current presentation.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25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Plasma revenue decreased 3.0% and 2.8% during the three and six months ended September 28, 2024, respectively, as compared with the same periods of fiscal 2024. Without the effects of foreign exchange, Plasma revenue decreased 3.0% and 2.8% during the three and six months ended September 28, 2024, respectively, as compared with the same periods of fiscal 2024. The decreases during the three and six months ended September 28, 2024 were primarily driven by lower sales volumes in North America, primarily relating to the previously announced customer transition of CSL Plasma, whose non-exclusive supply agreement with the Company is scheduled to expire in December 2025. We anticipate sales of approximately $100.0 million to CSL in fiscal 2025. The decrease for the six months ended September 28, 2024 was also due to a temporary plasma center outage at one of our customers.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24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Blood Center revenue decreased 1.6% and 2.9% during the three and six months ended September 28, 2024, respectively, as compared with the same periods of fiscal 2024. Without the effects of foreign exchange, Blood Center revenue decreased 0.9% and 1.5% during the three and six months ended September 28, 2024, respectively, as compared with the same periods of fiscal 2024. The decreases during the three and six months ended September 28, 2024 were primarily driven by declines in our Whole Blood business.</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24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Hospital revenue increased 30.9% and 30.8% during the three and six months ended September 28, 2024, respectively, as compared with the same periods of fiscal 2024. Without the effects of foreign exchange, Hospital revenue increased 30.8% and 31.1% during the three and six months ended September 28, 2024, respectively, as compared with the same periods of fiscal 2024. The increases during the three and six months ended September 28, 2024 were primarily attributable to the product lines within the Interventional Technologies franchise with benefits from Sensor Guided Technologies and Esophageal Protection that were recently acquired, as well as growth in Vascular Closure as well as Blood Management Technologies.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1"/>
                <w:szCs w:val="11"/>
                <w:color w:val="auto"/>
              </w:rPr>
            </w:pPr>
          </w:p>
        </w:tc>
        <w:tc>
          <w:tcPr>
            <w:tcW w:w="1120" w:type="dxa"/>
            <w:vAlign w:val="bottom"/>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1120" w:type="dxa"/>
            <w:vAlign w:val="bottom"/>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187,437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170,510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362,361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337,775</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53.6 %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53.7 %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Gross profit increased 9.9% and 7.3% for the three and six months ended September 28, 2024, respectively, as compared with the same periods of fiscal 2024. Without the effects of foreign exchange, gross profit increased 13.2% and 9.5% during the three and six months ended September 28, 2024, respectively, as compared with the same periods of fiscal 2024. The increases during the three and six months ended September 28, 2024 were driven by increased revenues in the Hospital business and volume, mix and price, partially offset by restructuring costs related to portfolio rationalization initiatives, foreign exchange, amortization of fair value inventory step-up related to the Attune Medical acquisition.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Increase/</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top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0" w:type="dxa"/>
            <w:vAlign w:val="bottom"/>
          </w:tcPr>
          <w:p>
            <w:pPr>
              <w:spacing w:after="0"/>
              <w:rPr>
                <w:sz w:val="16"/>
                <w:szCs w:val="16"/>
                <w:color w:val="auto"/>
              </w:rPr>
            </w:pPr>
          </w:p>
        </w:tc>
        <w:tc>
          <w:tcPr>
            <w:tcW w:w="11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16,530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12,665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30.5 %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30,979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25,313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22.4 %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106,946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115,320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215,194</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208,805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36.2 %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33.2 %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69.8 %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24,735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68.3 %</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135,740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135,207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270,908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248,813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8.9 %</w:t>
            </w:r>
          </w:p>
        </w:tc>
        <w:tc>
          <w:tcPr>
            <w:tcW w:w="0" w:type="dxa"/>
            <w:vAlign w:val="bottom"/>
          </w:tcPr>
          <w:p>
            <w:pPr>
              <w:spacing w:after="0"/>
              <w:rPr>
                <w:sz w:val="1"/>
                <w:szCs w:val="1"/>
                <w:color w:val="auto"/>
              </w:rPr>
            </w:pPr>
          </w:p>
        </w:tc>
      </w:tr>
      <w:tr>
        <w:trPr>
          <w:trHeight w:val="236"/>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39.3 %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42.5 %</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39.5 %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30.5% and 22.4% during the three and six months ended September 28, 2024, respectively, as compared with the same periods of fiscal 2024. Without the effects of foreign exchange, research and development expenses increased 30.7% and 22.5% during the three and six months ended September 28, 2024, respectively, as compared with the same periods of fiscal 2024. The increases during the three and six months ended September 28, 2024 were primarily due to increased headcount as a result of recent acquisitions.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decreased 7.3% during the three months ended September 28, 2024 and increased 3.1% during the six months ended September 28, 2024, as compared with the same periods of fiscal 2024. Without the effects of foreign exchange, selling, general, and administrative expenses decreased 6.6% during the three months ended September 28, 2024 and increased 3.2% during the six months ended September 28, 2024, as compared with the same periods of fiscal 2024. The decrease during the three months ended September 28, 2024 was driven by decreased performance-based compensation as well as decreases in impairment of intangible assets and litigation-related charges compared to the prior year period, partially offset by operating costs related to recent acquisitions and increased headcount. The increase during the six months ended September 28, 2024 was primarily driven by transaction, integration and operating costs related to recent acquisitions, increased headcount and restructuring costs related to portfolio rationalization initiatives, partially offset by gains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realized on the sale of a manufacturing facility in the first quarter of fiscal 2025 and the decreases in impairment of intangible assets compared to the prior year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2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recognized amortization expense related to our acquired intangible assets of $12.3 million and $24.7 million during the three and six months ended September 28, 2024, respectively, and $7.2 million and $14.7 million during the three and six months ended September 30, 2023, respectively. The increases were primarily related to the amortization of the intangible assets acquired in conjunction with the recent acquisitions of OpSens and Attune Medical.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Interest and other expense increased by $4.5 million during the three months ended September 28, 2024 and decreased $4.5 million during the six months ended September 28, 2024, as compared with the same periods of fiscal 2024. The increase during the three months ended September 28, 2024, as compared with the prior year period, was primarily driven by interest expense and amortization of deferred financing costs on the 2029 Notes issued in fiscal 2025, partially offset by foreign exchange. The decrease during the six months ended September 28, 2024 was primarily driven by the net gain on the repurchase of convertible notes during the first quarter of fiscal 2025, partially offset by interest expense on the 2029 Notes issued in fiscal 2025 as well as higher interest incurred on our revolving credit facilities, as compared with the same period of fiscal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transaction costs.</w:t>
      </w:r>
    </w:p>
    <w:p>
      <w:pPr>
        <w:spacing w:after="0" w:line="193"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8"/>
          <w:szCs w:val="18"/>
          <w:color w:val="auto"/>
        </w:rPr>
        <w:t>For the three and six months ended September 28, 2024, the Company reported income tax expense of $10.9 million and $19.2 million, representing effective tax rates of 24.3% and 21.0%. The effective tax rate for the three months ended September 28, 2024, which includes an immaterial discrete tax benefit. The effective tax rate for the six months ended September 28, 2024 includes $3.6 million of discrete tax benefit, primarily related to stock compensation windfalls. The discrete benefit also includes other items such as provision to return differences.</w:t>
      </w:r>
    </w:p>
    <w:p>
      <w:pPr>
        <w:spacing w:after="0" w:line="225"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7"/>
          <w:szCs w:val="17"/>
          <w:color w:val="auto"/>
        </w:rPr>
        <w:t>For the three and six months ended September 30, 2023, the Company reported income tax expense of $7.9 million and $18.5 million, respectively, representing effective tax rates of 24.1% and 21.9%, respectively. The effective tax rate for the three months ended September 30, 2023 includes</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$0.1 million of discrete tax benefit primarily related to stock compensation windfalls. The effective tax rate for the six months ended September 30, 2023 includes $1.3 million of discrete tax benefit primarily related to stock compensation windfalls.</w:t>
      </w:r>
    </w:p>
    <w:p>
      <w:pPr>
        <w:spacing w:after="0" w:line="2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increase in the reported tax rate for the three months ended September 28, 2024, compared to the same period in fiscal 2024, relates primarily to the unfavorable impact of the jurisdictional mix of earnings and non-deductible acquisition-related expenses. The decrease in the reported tax rate for the six months ended September 28, 2024, compared to the same period in fiscal 2024, relates primarily to increased discrete tax benefits year-over-year, partially offset by the unfavorable impact of jurisdictional mix of earnings and non-deductible acquisition-related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13"/>
                <w:szCs w:val="13"/>
                <w:color w:val="auto"/>
              </w:rPr>
            </w:pPr>
          </w:p>
        </w:tc>
        <w:tc>
          <w:tcPr>
            <w:tcW w:w="13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5"/>
        </w:trPr>
        <w:tc>
          <w:tcPr>
            <w:tcW w:w="7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178,800</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681,956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468,520</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debt position</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(628,993)</w:t>
            </w: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sales outstanding (DSO)</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4"/>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debt position is the sum of cash and cash equivalents less total debt.</w:t>
      </w:r>
    </w:p>
    <w:p>
      <w:pPr>
        <w:spacing w:after="0" w:line="21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convertible senior notes due March 1, 2026. Our expected cash outlays relate primarily to acquisitions, investments, capital expenditures, including enhancements to our North American manufacturing facilities, share repurchases, portfolio rationalization initiatives and cash principal and interest payments under our revised credit agreements. As of September 28, 2024, we had $299.3 million in cash and cash equivalents, the majority of which is held in the U.S. or in countries from which it can be repatriated to the U.S.</w:t>
      </w:r>
    </w:p>
    <w:p>
      <w:pPr>
        <w:spacing w:after="0" w:line="21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In the first quarter of fiscal 2025, the Company used a portion of its proceeds from the 2029 Notes to repurchase, for $185.5 million, $200.0 million of the $500.0 million aggregate principal amount of its 0% convertible senior notes due 2026 (the “2026 Notes”), resulting in a gain of $14.5 million related to the discount on repurchase. As the repurchase of the 2026 Notes met the criteria for extinguishment accounting, $1.9 million of unamortized debt issuance costs were allocated to the repurchase, resulting in a net gain of $12.6 million. As of September 28, 2024, the $300.0 million remaining principal balance on the 2026 Notes was netted down by $2.3 million of remaining debt issuance costs, resulting in a net convertible note payable of $297.7 million. Interest expense related to the 2026 Notes was $0.4 million and $1.0 million for the three and six months ended September 28, 2024, respectively, which is entirely attributable to the amortization of the debt issuance costs. The remaining debt issuance costs are amortized at an effective interest rate of 0.5%.</w:t>
      </w:r>
    </w:p>
    <w:p>
      <w:pPr>
        <w:spacing w:after="0" w:line="19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As of September 28, 2024, the $700.0 million principal balance of the 2029 Notes was netted down by $16.2 million of remaining debt issuance costs, resulting in a net convertible note payable of $683.8 million. Interest expense related to the 2029 Notes was $5.2 million and $6.9 million for the three and six months ended September 28, 2024, respectively, which includes nominal interest expense and the amortization of the debt issuance costs.</w:t>
      </w:r>
    </w:p>
    <w:p>
      <w:pPr>
        <w:spacing w:after="0" w:line="204"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 their maturity date through June 2025. The amended and restated credit agreement provided for a $280.0 million senior unsecured term loan and a $420.0 million senior unsecured revolving credit facility (together, the “2022 Revised Credit Facilities”) with applicable interest rates during the period established using an annual rate equal to the Adjusted Term SOFR Rate plus an applicable rate ranging from 1.125% to 1.750% based on the Company’s consolidated net leverage ratio, as specified in the agreement.</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On April 30, 2024, the Company entered into a second amended and restated credit agreement with certain lenders to refinance the 2022 Revised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Facilities, and a $750.0 million senior unsecured revolving credit facility (together, the “2024 Revised Credit Facilities”). Loans under the 2024 Revised Credit Facilities will initially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At September 28, 2024, $248.4 million was outstanding under the term loan with an effective interest rate of 6.7%. There were no outstanding borrowings under the revolving credit facilities at September 28, 2024. The Company also had $19.8 million of uncommitted operating lines of credit to fund its global operations under which there were no outstanding borrowings as of September 28,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scheduled principal payments of $3.1 million required during the remainder of fiscal 2025 related to its term loan.</w:t>
      </w:r>
    </w:p>
    <w:p>
      <w:pPr>
        <w:spacing w:after="0" w:line="25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fiscal 2022, our Board of Directors approved a revised Operational Excellence Program. We estimate that we will incur aggregate charges between $85.0 million and $90.0 million by the end of fiscal 2025 under the program in connection with the Operational Excellence Program. These charges, the majority of which will result in cash outlays, including severance and other employee costs, will be incurred as the specific actions required to execute these initiatives are identified and approved and are expected to be substantially completed by the end of fiscal 2025. During the three and six months ended September 28, 2024, the Company incurred $1.7 million and $4.1 million, respectively, of restructuring and restructuring related costs under this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1"/>
                <w:szCs w:val="11"/>
                <w:color w:val="auto"/>
              </w:rPr>
            </w:pPr>
          </w:p>
        </w:tc>
        <w:tc>
          <w:tcPr>
            <w:tcW w:w="14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1"/>
                <w:szCs w:val="11"/>
                <w:color w:val="auto"/>
              </w:rPr>
            </w:pPr>
          </w:p>
        </w:tc>
        <w:tc>
          <w:tcPr>
            <w:tcW w:w="1360" w:type="dxa"/>
            <w:vAlign w:val="bottom"/>
          </w:tcPr>
          <w:p>
            <w:pPr>
              <w:jc w:val="right"/>
              <w:ind w:right="275"/>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7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118,210</w:t>
            </w:r>
          </w:p>
        </w:tc>
        <w:tc>
          <w:tcPr>
            <w:tcW w:w="0" w:type="dxa"/>
            <w:vAlign w:val="bottom"/>
          </w:tcPr>
          <w:p>
            <w:pPr>
              <w:spacing w:after="0"/>
              <w:rPr>
                <w:sz w:val="1"/>
                <w:szCs w:val="1"/>
                <w:color w:val="auto"/>
              </w:rPr>
            </w:pPr>
          </w:p>
        </w:tc>
      </w:tr>
      <w:tr>
        <w:trPr>
          <w:trHeight w:val="230"/>
        </w:trPr>
        <w:tc>
          <w:tcPr>
            <w:tcW w:w="7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0" w:type="dxa"/>
            <w:vAlign w:val="bottom"/>
          </w:tcPr>
          <w:p>
            <w:pPr>
              <w:spacing w:after="0"/>
              <w:rPr>
                <w:sz w:val="1"/>
                <w:szCs w:val="1"/>
                <w:color w:val="auto"/>
              </w:rPr>
            </w:pPr>
          </w:p>
        </w:tc>
      </w:tr>
      <w:tr>
        <w:trPr>
          <w:trHeight w:val="229"/>
        </w:trPr>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2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500" w:firstLine="8"/>
        <w:spacing w:after="0" w:line="362" w:lineRule="auto"/>
        <w:tabs>
          <w:tab w:leader="none" w:pos="132"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14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$96.8 million during the six months ended September 28, 2024, as compared with the six months ended September 30, 2023. The decrease in cash provided by operating activities was primarily due to the timing of accounts payable payments, increased inventory balances and a payment in connection with a previously disclosed legal settlement.</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by $122.2 million during the six months ended September 28, 2024, as compared with the six months ended September 30, 2023. The increase in cash used in investing activities was primarily the result of the acquisition of Attune Medical, partially offset by the proceeds from the sales of property, plant and equipment.</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by $266.7 million during the six months ended September 28, 2024, as compared with the six months ended September 30, 2023, primarily due to the issuance the 2029 Notes, partially offset by the repurchase of a portion of the 2026 Notes, capped call transactions, share repurchases, payments on the revolving credit facility and debt issuance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21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256"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7"/>
          <w:szCs w:val="17"/>
          <w:color w:val="auto"/>
        </w:rPr>
        <w:t>During both the three and six months ended September 28, 2024, 25.9%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spacing w:after="0" w:line="19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 and Mexican Peso. This does not eliminate the volatility of foreign exchange rates, but because we generally enter into forward contracts one year out, rates are fixed for a one-year period, thereby facilitating financial planning and resource allocation. These contracts are designated as cash flow hedges. The final impact of currency fluctuations on the results of operations is dependent on the local currency amounts hedged and the actual local currency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to the Condensed Consolidated Financial Statements for a discussion of recently issued accounting pronouncements.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the Company’s strategy for growth; product development, commercialization and anticipated performance and benefits; regulatory approvals; impacts of acquisitions or dispositions; and market position and expenditures.</w:t>
      </w:r>
    </w:p>
    <w:p>
      <w:pPr>
        <w:spacing w:after="0" w:line="2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the Company’s control. Investors should realize that if underlying assumptions prove inaccurate, or known or unknown risks or uncertainties materialize, the Company’s actual results and financial condition could vary materially from expectations and projections expressed or implied in its forward-looking statements. Investors are therefore cautioned not to rely on these forward-looking statements.</w:t>
      </w:r>
    </w:p>
    <w:p>
      <w:pPr>
        <w:spacing w:after="0" w:line="2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 (as supplemented by Part II, Item 1A. “Risks Factors” of our Quarterly Report on Form 10-Q for the first quarter ended June 29, 2024).</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long-term strategic and financial-improvement goals;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88" w:lineRule="exact"/>
        <w:rPr>
          <w:rFonts w:ascii="Times New Roman" w:cs="Times New Roman" w:eastAsia="Times New Roman" w:hAnsi="Times New Roman"/>
          <w:sz w:val="18"/>
          <w:szCs w:val="18"/>
          <w:color w:val="auto"/>
        </w:rPr>
      </w:pPr>
    </w:p>
    <w:p>
      <w:pPr>
        <w:ind w:left="660" w:right="500" w:hanging="328"/>
        <w:spacing w:after="0" w:line="312"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66" w:lineRule="exact"/>
        <w:rPr>
          <w:rFonts w:ascii="Times New Roman" w:cs="Times New Roman" w:eastAsia="Times New Roman" w:hAnsi="Times New Roman"/>
          <w:sz w:val="17"/>
          <w:szCs w:val="17"/>
          <w:color w:val="auto"/>
        </w:rPr>
      </w:pPr>
    </w:p>
    <w:p>
      <w:pPr>
        <w:ind w:left="660" w:right="7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88"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information technology systems or our products, which could impair our ability to conduct business or compromise sensitive information of the Company or its customers, suppliers and other business partners, or of customers’ patients;</w:t>
      </w:r>
    </w:p>
    <w:p>
      <w:pPr>
        <w:spacing w:after="0" w:line="188"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including the Company’s acquisitions of OpSens Inc. and Attune Medical, divestitures or other strategic investments by the Company may not be realized or may take longer to realize than expected;</w:t>
      </w:r>
    </w:p>
    <w:p>
      <w:pPr>
        <w:spacing w:after="0" w:line="20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188"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spacing w:after="0" w:line="206"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anticipated benefits of restructuring programs that we have or may undertake, including the Operational Excellence Program and portfolio rationalization initiatives;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enhanced requirements to obtain regulatory approval in the U.S. and around the world and the associated timing and cost of product approval;</w:t>
      </w:r>
    </w:p>
    <w:p>
      <w:pPr>
        <w:spacing w:after="0" w:line="18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U.S. and foreign export and import restrictions and tariffs;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Taiwan, Russia, Ukraine, the Middle East and other foreign jurisdictions where we do business;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sales, expenses and resulting margins;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252"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impacting our stock price and/or our share repurchase program, and the possibility that such share repurchase program may be delayed, suspended or discontinued;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9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against our corporate responsibility initiatives and meet evolving stakeholder expectations concerning corporate responsibility matters;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public health crises.</w:t>
      </w:r>
    </w:p>
    <w:p>
      <w:pPr>
        <w:spacing w:after="0" w:line="252"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in our Annual Report on Form 10-K (as supplemented by Part II, Item 1A. “Risk Factors” of our Quarterly Report on Form 10-Q for the first quarter ended June 29, 2024) to be a complete statement of all potential risks and uncertainties. The Company does not undertake to publicly update any forward-looking statement that may be made from time to time, whether as a result of new information or future events or developments.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exposures relative to market risk are due to foreign exchange risk and interest rate risk.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September 28, 2024, in the event of a 10% strengthening of the U.S. Dollar, the change in fair value of all forward contracts would result in a $2.9 million increase in the fair value of the forward contracts, whereas a 10% weakening of the U.S. Dollar would result in a $3.5 million decrease in the fair value of the forward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3"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under our credit facilities, all of which is variable rate debt. Total outstanding debt under our senior unsecured term loan as of September 28, 2024 was $248.4 million with an effective interest rate of 6.7% based on prevailing Term SOFR rates. An increase of 100 basis points in Term SOFR rates would result in additional annual interest expense of $0.4 million. As of September 28, 2024, the notional amount on our two active interest rate swap agreements to effectively convert borrowings under our 2024 Revised Credit Facilities from a variable rate to a fixed rate were $205.8 million. These interest rate swaps are intended to mitigate the exposure to fluctuations in interest rates and qualify for hedge accounting treatment as cash flow hedges.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conducted an evaluation, as of September 28, 2024,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Officer concluded that our disclosure controls and procedures were effective as of September 28,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28, 2024 that have materially affected, or are reasonably likely to materially affect, our internal control over financial reporting.</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second quarter of fiscal 2024, we implemented the first phase of a new global enterprise resource planning (“ERP”) system, which will continue to be implemented in phases through fiscal 2026. The ERP will replace existing financial systems we have historically relied on. As each phase of the implementation occurs, we will reassess our processes and procedures, which may result in changes to our internal control over financial reporting.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4"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Unaudited Condensed Consolidated Financial Statements in this Quarterly Report on Form 10-Q, which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set forth in Part II, Item 1A. “Risk Factors” of our Quarterly Report on Form 10-Q for the first quarter ended June 29, 2024, there are no material changes from the Risk Factors previously disclosed in our Annual Report on Form 10-K for the fiscal year ended March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In August 2022, the Company announced that its Board of Directors had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w:t>
      </w:r>
    </w:p>
    <w:p>
      <w:pPr>
        <w:spacing w:after="0" w:line="2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August 2024, the Company entered into an ASR with Citibank to repurchase $75.0 million of the Company’s common stock. Pursuant to the terms of the ASR, in August 2024, the Company paid Citibank $75.0 million in cash and received an initial delivery of 0.8 million shares of the Company's common stock based on a closing market price on the New York Stock Exchange on August 28, 2024 of $75.08. This initial delivery of shares represented approximately 80% of the notional amount of the ASR. The ASR was completed in October 2024, subsequent to the end of the second quarter of fiscal 2025, and 0.2 million additional shares were delivered upon settlement. As of September 28, 2024, the total remaining authorization for repurchases of the Company's common stock under the share repurchase program was $150.0 million.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Company’s share repurchases during the second quarter of fiscal 2025:</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2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48"/>
        </w:trPr>
        <w:tc>
          <w:tcPr>
            <w:tcW w:w="4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20" w:type="dxa"/>
            <w:vAlign w:val="bottom"/>
            <w:gridSpan w:val="2"/>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62"/>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300" w:type="dxa"/>
            <w:vAlign w:val="bottom"/>
          </w:tcPr>
          <w:p>
            <w:pPr>
              <w:spacing w:after="0"/>
              <w:rPr>
                <w:sz w:val="14"/>
                <w:szCs w:val="14"/>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62"/>
        </w:trPr>
        <w:tc>
          <w:tcPr>
            <w:tcW w:w="4980" w:type="dxa"/>
            <w:vAlign w:val="bottom"/>
          </w:tcPr>
          <w:p>
            <w:pPr>
              <w:spacing w:after="0"/>
              <w:rPr>
                <w:sz w:val="14"/>
                <w:szCs w:val="14"/>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300" w:type="dxa"/>
            <w:vAlign w:val="bottom"/>
          </w:tcPr>
          <w:p>
            <w:pPr>
              <w:spacing w:after="0"/>
              <w:rPr>
                <w:sz w:val="14"/>
                <w:szCs w:val="14"/>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204"/>
        </w:trPr>
        <w:tc>
          <w:tcPr>
            <w:tcW w:w="49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300" w:type="dxa"/>
            <w:vAlign w:val="bottom"/>
          </w:tcPr>
          <w:p>
            <w:pPr>
              <w:spacing w:after="0"/>
              <w:rPr>
                <w:sz w:val="17"/>
                <w:szCs w:val="17"/>
                <w:color w:val="auto"/>
              </w:rPr>
            </w:pPr>
          </w:p>
        </w:tc>
        <w:tc>
          <w:tcPr>
            <w:tcW w:w="152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rPr>
              <w:t>(in millions)($)</w:t>
            </w:r>
          </w:p>
        </w:tc>
      </w:tr>
      <w:tr>
        <w:trPr>
          <w:trHeight w:val="23"/>
        </w:trPr>
        <w:tc>
          <w:tcPr>
            <w:tcW w:w="4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 – July 27, 2024</w:t>
            </w:r>
          </w:p>
        </w:tc>
        <w:tc>
          <w:tcPr>
            <w:tcW w:w="1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225.0</w:t>
            </w: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28, 2024 – August 24, 2024</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225.0</w:t>
            </w: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25, 2024 – September 28, 2024</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799,148</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$75.08</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799,148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799,148</w:t>
            </w:r>
          </w:p>
        </w:tc>
        <w:tc>
          <w:tcPr>
            <w:tcW w:w="1440" w:type="dxa"/>
            <w:vAlign w:val="bottom"/>
          </w:tcPr>
          <w:p>
            <w:pPr>
              <w:spacing w:after="0"/>
              <w:rPr>
                <w:sz w:val="21"/>
                <w:szCs w:val="21"/>
                <w:color w:val="auto"/>
              </w:rPr>
            </w:pPr>
          </w:p>
        </w:tc>
        <w:tc>
          <w:tcPr>
            <w:tcW w:w="1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799,148</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28, 2024, none of our directors or officers (as defined under Rule 16a-1(f) under the Securities Exchange Act of 1934) adopted or terminated trading arrangements for the sale of shares of our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p>
      <w:pPr>
        <w:ind w:left="800" w:right="280" w:hanging="768"/>
        <w:spacing w:after="0" w:line="237" w:lineRule="auto"/>
        <w:tabs>
          <w:tab w:leader="none" w:pos="780" w:val="left"/>
        </w:tabs>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color w:val="0000FF"/>
        </w:rPr>
        <w:tab/>
        <w:t>Restated Articles of Organization of the Company, reflecting Articles of Amendment dated August 23, 1993, August 21, 2006, July 26, 2018 and July 25, 2019 (filed as Exhibit 3.1 to the Company’s Form 8-K dated July 29, 2019 and incorporated herein by reference).</w:t>
      </w:r>
    </w:p>
    <w:p>
      <w:pPr>
        <w:spacing w:after="0" w:line="280" w:lineRule="exact"/>
        <w:rPr>
          <w:sz w:val="20"/>
          <w:szCs w:val="20"/>
          <w:color w:val="auto"/>
        </w:rPr>
      </w:pPr>
    </w:p>
    <w:p>
      <w:pPr>
        <w:ind w:left="800" w:right="640" w:hanging="768"/>
        <w:spacing w:after="0" w:line="237" w:lineRule="auto"/>
        <w:tabs>
          <w:tab w:leader="none" w:pos="780" w:val="left"/>
        </w:tabs>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color w:val="0000FF"/>
        </w:rPr>
        <w:tab/>
        <w:t>By-Laws of the Company, as amended through June 29, 2020 (filed as Exhibit 3.1 to the Company’s Form 8-K dated June 30, 2020 and incorporated herein by reference).</w:t>
      </w:r>
    </w:p>
    <w:p>
      <w:pPr>
        <w:spacing w:after="0" w:line="280" w:lineRule="exact"/>
        <w:rPr>
          <w:sz w:val="20"/>
          <w:szCs w:val="20"/>
          <w:color w:val="auto"/>
        </w:rPr>
      </w:pPr>
    </w:p>
    <w:p>
      <w:pPr>
        <w:ind w:left="800" w:right="3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 Company.</w:t>
      </w:r>
    </w:p>
    <w:p>
      <w:pPr>
        <w:spacing w:after="0" w:line="239" w:lineRule="exact"/>
        <w:rPr>
          <w:sz w:val="20"/>
          <w:szCs w:val="20"/>
          <w:color w:val="auto"/>
        </w:rPr>
      </w:pPr>
    </w:p>
    <w:p>
      <w:pPr>
        <w:ind w:left="8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31.2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Section 302 of Sarbanes-Oxley of 2002, of James C. D'Arecca, Executive Vice President, Chief Financial Officer of the Company.</w:t>
      </w:r>
    </w:p>
    <w:p>
      <w:pPr>
        <w:spacing w:after="0" w:line="239" w:lineRule="exact"/>
        <w:rPr>
          <w:sz w:val="20"/>
          <w:szCs w:val="20"/>
          <w:color w:val="auto"/>
        </w:rPr>
      </w:pPr>
    </w:p>
    <w:p>
      <w:pPr>
        <w:ind w:left="800" w:right="60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Christopher A. Simon, President and Chief Executive Officer of the Company.</w:t>
      </w:r>
    </w:p>
    <w:p>
      <w:pPr>
        <w:spacing w:after="0" w:line="239" w:lineRule="exact"/>
        <w:rPr>
          <w:sz w:val="20"/>
          <w:szCs w:val="20"/>
          <w:color w:val="auto"/>
        </w:rPr>
      </w:pPr>
    </w:p>
    <w:p>
      <w:pPr>
        <w:ind w:left="800" w:right="120" w:hanging="768"/>
        <w:spacing w:after="0" w:line="237" w:lineRule="auto"/>
        <w:tabs>
          <w:tab w:leader="none" w:pos="780" w:val="left"/>
        </w:tabs>
        <w:rPr>
          <w:sz w:val="20"/>
          <w:szCs w:val="20"/>
          <w:color w:val="auto"/>
        </w:rPr>
      </w:pPr>
      <w:r>
        <w:rPr>
          <w:rFonts w:ascii="Times New Roman" w:cs="Times New Roman" w:eastAsia="Times New Roman" w:hAnsi="Times New Roman"/>
          <w:sz w:val="18"/>
          <w:szCs w:val="18"/>
          <w:u w:val="single" w:color="auto"/>
          <w:color w:val="0000FF"/>
        </w:rPr>
        <w:t>32.2</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 James C. D'Arecca, Executive Vice President, Chief Financial Officer of the Company.</w:t>
      </w:r>
    </w:p>
    <w:p>
      <w:pPr>
        <w:spacing w:after="0" w:line="280" w:lineRule="exact"/>
        <w:rPr>
          <w:sz w:val="20"/>
          <w:szCs w:val="20"/>
          <w:color w:val="auto"/>
        </w:rPr>
      </w:pPr>
    </w:p>
    <w:p>
      <w:pPr>
        <w:jc w:val="both"/>
        <w:ind w:left="800" w:right="40" w:hanging="779"/>
        <w:spacing w:after="0" w:line="236" w:lineRule="auto"/>
        <w:tabs>
          <w:tab w:leader="none" w:pos="78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The following materials from Haemonetics Corporation on Form 10-Q for the quarter ended September 28, 2024 formatted in inline Extensible Business Reporting Language (XBRL) includes: (i) Condensed Consolidated Statements of Income and Comprehensive Income, (ii) Condensed</w:t>
      </w:r>
    </w:p>
    <w:p>
      <w:pPr>
        <w:ind w:left="800" w:right="20"/>
        <w:spacing w:after="0" w:line="226" w:lineRule="auto"/>
        <w:rPr>
          <w:sz w:val="20"/>
          <w:szCs w:val="20"/>
          <w:color w:val="auto"/>
        </w:rPr>
      </w:pPr>
      <w:r>
        <w:rPr>
          <w:rFonts w:ascii="Times New Roman" w:cs="Times New Roman" w:eastAsia="Times New Roman" w:hAnsi="Times New Roman"/>
          <w:sz w:val="18"/>
          <w:szCs w:val="18"/>
          <w:color w:val="auto"/>
        </w:rPr>
        <w:t>Consolidated Balance Sheets, (iii) Condensed Consolidated Statement of Stockholders' Equity, (iv) Condensed Consolidated Statements of Cash Flows, and (v) Notes to Condensed Consolidated Financial Statements.</w:t>
      </w:r>
    </w:p>
    <w:p>
      <w:pPr>
        <w:spacing w:after="0" w:line="265"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25" w:lineRule="exact"/>
        <w:rPr>
          <w:sz w:val="20"/>
          <w:szCs w:val="20"/>
          <w:color w:val="auto"/>
        </w:rPr>
      </w:pPr>
    </w:p>
    <w:p>
      <w:pPr>
        <w:ind w:left="660" w:hanging="634"/>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117" w:lineRule="exact"/>
        <w:rPr>
          <w:sz w:val="20"/>
          <w:szCs w:val="20"/>
          <w:color w:val="auto"/>
        </w:rPr>
      </w:pPr>
    </w:p>
    <w:p>
      <w:pPr>
        <w:ind w:left="660" w:hanging="634"/>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Christopher A. Simon,</w:t>
      </w:r>
    </w:p>
    <w:p>
      <w:pPr>
        <w:ind w:left="4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70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340"/>
          </w:cols>
          <w:pgMar w:left="320" w:top="121" w:right="1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60" w:hanging="324"/>
        <w:spacing w:after="0" w:line="312" w:lineRule="auto"/>
        <w:tabs>
          <w:tab w:leader="none" w:pos="97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0689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D'Arecca,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1016"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30600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52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1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September 28, 2024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September 28, 2024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56" Type="http://schemas.openxmlformats.org/officeDocument/2006/relationships/hyperlink" Target="https://www.sec.gov/Archives/edgar/data/313143/000031314319000035/exhibit31-restatedarticles.htm" TargetMode="External"/><Relationship Id="rId57" Type="http://schemas.openxmlformats.org/officeDocument/2006/relationships/hyperlink" Target="https://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2024-11-07T05:37:46Z</dcterms:created>
  <dcterms:modified xsi:type="dcterms:W3CDTF">2024-11-07T05:37:46Z</dcterms:modified>
</cp:coreProperties>
</file>