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ind w:right="3280" w:firstLine="6"/>
        <w:spacing w:after="0" w:line="286" w:lineRule="auto"/>
        <w:tabs>
          <w:tab w:leader="none" w:pos="1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April 2, 2022</w:t>
      </w:r>
    </w:p>
    <w:p>
      <w:pPr>
        <w:spacing w:after="0" w:line="16" w:lineRule="exact"/>
        <w:rPr>
          <w:sz w:val="24"/>
          <w:szCs w:val="24"/>
          <w:color w:val="auto"/>
        </w:rPr>
      </w:pPr>
    </w:p>
    <w:p>
      <w:pPr>
        <w:ind w:right="2960" w:firstLine="6"/>
        <w:spacing w:after="0" w:line="275" w:lineRule="auto"/>
        <w:tabs>
          <w:tab w:leader="none" w:pos="19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001-14041</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HAEMONETICS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520" w:type="dxa"/>
            <w:vAlign w:val="bottom"/>
            <w:gridSpan w:val="2"/>
          </w:tcPr>
          <w:p>
            <w:pPr>
              <w:jc w:val="center"/>
              <w:ind w:left="42"/>
              <w:spacing w:after="0"/>
              <w:rPr>
                <w:sz w:val="20"/>
                <w:szCs w:val="20"/>
                <w:color w:val="auto"/>
              </w:rPr>
            </w:pPr>
            <w:r>
              <w:rPr>
                <w:rFonts w:ascii="Times New Roman" w:cs="Times New Roman" w:eastAsia="Times New Roman" w:hAnsi="Times New Roman"/>
                <w:sz w:val="17"/>
                <w:szCs w:val="17"/>
                <w:b w:val="1"/>
                <w:bCs w:val="1"/>
                <w:color w:val="auto"/>
                <w:w w:val="99"/>
              </w:rPr>
              <w:t>Massachusetts</w:t>
            </w:r>
          </w:p>
        </w:tc>
        <w:tc>
          <w:tcPr>
            <w:tcW w:w="1780" w:type="dxa"/>
            <w:vAlign w:val="bottom"/>
          </w:tcPr>
          <w:p>
            <w:pPr>
              <w:spacing w:after="0"/>
              <w:rPr>
                <w:sz w:val="19"/>
                <w:szCs w:val="19"/>
                <w:color w:val="auto"/>
              </w:rPr>
            </w:pPr>
          </w:p>
        </w:tc>
        <w:tc>
          <w:tcPr>
            <w:tcW w:w="4920" w:type="dxa"/>
            <w:vAlign w:val="bottom"/>
            <w:gridSpan w:val="2"/>
          </w:tcPr>
          <w:p>
            <w:pPr>
              <w:jc w:val="right"/>
              <w:ind w:right="3145"/>
              <w:spacing w:after="0"/>
              <w:rPr>
                <w:sz w:val="20"/>
                <w:szCs w:val="20"/>
                <w:color w:val="auto"/>
              </w:rPr>
            </w:pPr>
            <w:r>
              <w:rPr>
                <w:rFonts w:ascii="Times New Roman" w:cs="Times New Roman" w:eastAsia="Times New Roman" w:hAnsi="Times New Roman"/>
                <w:sz w:val="17"/>
                <w:szCs w:val="17"/>
                <w:b w:val="1"/>
                <w:bCs w:val="1"/>
                <w:color w:val="auto"/>
              </w:rPr>
              <w:t>04-2882273</w:t>
            </w:r>
          </w:p>
        </w:tc>
      </w:tr>
      <w:tr>
        <w:trPr>
          <w:trHeight w:val="204"/>
        </w:trPr>
        <w:tc>
          <w:tcPr>
            <w:tcW w:w="452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1780" w:type="dxa"/>
            <w:vAlign w:val="bottom"/>
          </w:tcPr>
          <w:p>
            <w:pPr>
              <w:spacing w:after="0"/>
              <w:rPr>
                <w:sz w:val="17"/>
                <w:szCs w:val="17"/>
                <w:color w:val="auto"/>
              </w:rPr>
            </w:pPr>
          </w:p>
        </w:tc>
        <w:tc>
          <w:tcPr>
            <w:tcW w:w="4920" w:type="dxa"/>
            <w:vAlign w:val="bottom"/>
            <w:gridSpan w:val="2"/>
          </w:tcPr>
          <w:p>
            <w:pPr>
              <w:jc w:val="center"/>
              <w:ind w:right="2265"/>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247"/>
        </w:trPr>
        <w:tc>
          <w:tcPr>
            <w:tcW w:w="4520" w:type="dxa"/>
            <w:vAlign w:val="bottom"/>
            <w:gridSpan w:val="2"/>
          </w:tcPr>
          <w:p>
            <w:pPr>
              <w:jc w:val="center"/>
              <w:ind w:left="62"/>
              <w:spacing w:after="0"/>
              <w:rPr>
                <w:sz w:val="20"/>
                <w:szCs w:val="20"/>
                <w:color w:val="auto"/>
              </w:rPr>
            </w:pPr>
            <w:r>
              <w:rPr>
                <w:rFonts w:ascii="Times New Roman" w:cs="Times New Roman" w:eastAsia="Times New Roman" w:hAnsi="Times New Roman"/>
                <w:sz w:val="17"/>
                <w:szCs w:val="17"/>
                <w:b w:val="1"/>
                <w:bCs w:val="1"/>
                <w:color w:val="auto"/>
                <w:w w:val="98"/>
              </w:rPr>
              <w:t>125 Summer Street,</w:t>
            </w:r>
          </w:p>
        </w:tc>
        <w:tc>
          <w:tcPr>
            <w:tcW w:w="1780" w:type="dxa"/>
            <w:vAlign w:val="bottom"/>
          </w:tcPr>
          <w:p>
            <w:pPr>
              <w:spacing w:after="0"/>
              <w:rPr>
                <w:sz w:val="21"/>
                <w:szCs w:val="21"/>
                <w:color w:val="auto"/>
              </w:rPr>
            </w:pPr>
          </w:p>
        </w:tc>
        <w:tc>
          <w:tcPr>
            <w:tcW w:w="4920" w:type="dxa"/>
            <w:vAlign w:val="bottom"/>
            <w:gridSpan w:val="2"/>
          </w:tcPr>
          <w:p>
            <w:pPr>
              <w:jc w:val="right"/>
              <w:ind w:right="3345"/>
              <w:spacing w:after="0"/>
              <w:rPr>
                <w:sz w:val="20"/>
                <w:szCs w:val="20"/>
                <w:color w:val="auto"/>
              </w:rPr>
            </w:pPr>
            <w:r>
              <w:rPr>
                <w:rFonts w:ascii="Times New Roman" w:cs="Times New Roman" w:eastAsia="Times New Roman" w:hAnsi="Times New Roman"/>
                <w:sz w:val="17"/>
                <w:szCs w:val="17"/>
                <w:b w:val="1"/>
                <w:bCs w:val="1"/>
                <w:color w:val="auto"/>
              </w:rPr>
              <w:t>02110</w:t>
            </w:r>
          </w:p>
        </w:tc>
      </w:tr>
      <w:tr>
        <w:trPr>
          <w:trHeight w:val="225"/>
        </w:trPr>
        <w:tc>
          <w:tcPr>
            <w:tcW w:w="4520" w:type="dxa"/>
            <w:vAlign w:val="bottom"/>
            <w:gridSpan w:val="2"/>
          </w:tcPr>
          <w:p>
            <w:pPr>
              <w:ind w:left="1580"/>
              <w:spacing w:after="0"/>
              <w:rPr>
                <w:sz w:val="20"/>
                <w:szCs w:val="20"/>
                <w:color w:val="auto"/>
              </w:rPr>
            </w:pPr>
            <w:r>
              <w:rPr>
                <w:rFonts w:ascii="Times New Roman" w:cs="Times New Roman" w:eastAsia="Times New Roman" w:hAnsi="Times New Roman"/>
                <w:sz w:val="17"/>
                <w:szCs w:val="17"/>
                <w:b w:val="1"/>
                <w:bCs w:val="1"/>
                <w:color w:val="auto"/>
              </w:rPr>
              <w:t>Boston, Massachusetts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jc w:val="center"/>
              <w:ind w:right="2565"/>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191"/>
        </w:trPr>
        <w:tc>
          <w:tcPr>
            <w:tcW w:w="452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233"/>
        </w:trPr>
        <w:tc>
          <w:tcPr>
            <w:tcW w:w="4180" w:type="dxa"/>
            <w:vAlign w:val="bottom"/>
          </w:tcPr>
          <w:p>
            <w:pPr>
              <w:jc w:val="right"/>
              <w:ind w:right="1302"/>
              <w:spacing w:after="0"/>
              <w:rPr>
                <w:sz w:val="20"/>
                <w:szCs w:val="20"/>
                <w:color w:val="auto"/>
              </w:rPr>
            </w:pPr>
            <w:r>
              <w:rPr>
                <w:rFonts w:ascii="Times New Roman" w:cs="Times New Roman" w:eastAsia="Times New Roman" w:hAnsi="Times New Roman"/>
                <w:sz w:val="17"/>
                <w:szCs w:val="17"/>
                <w:b w:val="1"/>
                <w:bCs w:val="1"/>
                <w:color w:val="auto"/>
              </w:rPr>
              <w:t>(781) 848-7100</w:t>
            </w: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191"/>
        </w:trPr>
        <w:tc>
          <w:tcPr>
            <w:tcW w:w="452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364"/>
        </w:trPr>
        <w:tc>
          <w:tcPr>
            <w:tcW w:w="112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285"/>
        </w:trPr>
        <w:tc>
          <w:tcPr>
            <w:tcW w:w="4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4"/>
        </w:trPr>
        <w:tc>
          <w:tcPr>
            <w:tcW w:w="4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1"/>
        </w:trPr>
        <w:tc>
          <w:tcPr>
            <w:tcW w:w="4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Common stock, $.01 par value per share</w:t>
            </w:r>
          </w:p>
        </w:tc>
        <w:tc>
          <w:tcPr>
            <w:tcW w:w="3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HAE</w:t>
            </w:r>
          </w:p>
        </w:tc>
        <w:tc>
          <w:tcPr>
            <w:tcW w:w="34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New York Stock Exchange</w:t>
            </w:r>
          </w:p>
        </w:tc>
      </w:tr>
      <w:tr>
        <w:trPr>
          <w:trHeight w:val="308"/>
        </w:trPr>
        <w:tc>
          <w:tcPr>
            <w:tcW w:w="112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w:t>
            </w:r>
          </w:p>
        </w:tc>
      </w:tr>
      <w:tr>
        <w:trPr>
          <w:trHeight w:val="238"/>
        </w:trPr>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center"/>
              <w:ind w:left="342"/>
              <w:spacing w:after="0"/>
              <w:rPr>
                <w:sz w:val="20"/>
                <w:szCs w:val="20"/>
                <w:color w:val="auto"/>
              </w:rPr>
            </w:pPr>
            <w:r>
              <w:rPr>
                <w:rFonts w:ascii="Times New Roman" w:cs="Times New Roman" w:eastAsia="Times New Roman" w:hAnsi="Times New Roman"/>
                <w:sz w:val="16"/>
                <w:szCs w:val="16"/>
                <w:b w:val="1"/>
                <w:bCs w:val="1"/>
                <w:color w:val="auto"/>
              </w:rPr>
              <w:t>None</w:t>
            </w:r>
          </w:p>
        </w:tc>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25"/>
        </w:trPr>
        <w:tc>
          <w:tcPr>
            <w:tcW w:w="1122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Indicate by check mark whether the registrant is a well-known seasoned issuer, as defined in Rule 405 of the Securities</w:t>
            </w:r>
          </w:p>
        </w:tc>
      </w:tr>
    </w:tbl>
    <w:p>
      <w:pPr>
        <w:spacing w:after="0" w:line="184" w:lineRule="exact"/>
        <w:tabs>
          <w:tab w:leader="none" w:pos="880" w:val="left"/>
        </w:tabs>
        <w:rPr>
          <w:sz w:val="20"/>
          <w:szCs w:val="20"/>
          <w:color w:val="auto"/>
        </w:rPr>
      </w:pPr>
      <w:r>
        <w:rPr>
          <w:rFonts w:ascii="Times New Roman" w:cs="Times New Roman" w:eastAsia="Times New Roman" w:hAnsi="Times New Roman"/>
          <w:sz w:val="16"/>
          <w:szCs w:val="16"/>
          <w:color w:val="auto"/>
        </w:rPr>
        <w:t xml:space="preserve">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57" w:lineRule="exact"/>
        <w:rPr>
          <w:sz w:val="24"/>
          <w:szCs w:val="24"/>
          <w:color w:val="auto"/>
        </w:rPr>
      </w:pPr>
    </w:p>
    <w:p>
      <w:pPr>
        <w:ind w:left="320"/>
        <w:spacing w:after="0" w:line="184" w:lineRule="exact"/>
        <w:tabs>
          <w:tab w:leader="none" w:pos="8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not required to file reports pursuant to Section 13 or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43" w:lineRule="exact"/>
        <w:rPr>
          <w:sz w:val="24"/>
          <w:szCs w:val="24"/>
          <w:color w:val="auto"/>
        </w:rPr>
      </w:pPr>
    </w:p>
    <w:p>
      <w:pPr>
        <w:ind w:right="300" w:firstLine="31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300" w:firstLine="3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3" w:right="339" w:bottom="1440" w:gutter="0" w:footer="0" w:header="0"/>
        </w:sectPr>
      </w:pPr>
    </w:p>
    <w:p>
      <w:pPr>
        <w:spacing w:after="0" w:line="102" w:lineRule="exact"/>
        <w:rPr>
          <w:sz w:val="24"/>
          <w:szCs w:val="24"/>
          <w:color w:val="auto"/>
        </w:rPr>
      </w:pPr>
    </w:p>
    <w:p>
      <w:pPr>
        <w:ind w:left="20" w:right="20"/>
        <w:spacing w:after="0" w:line="307"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8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7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0"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4" w:lineRule="exact"/>
        <w:rPr>
          <w:sz w:val="24"/>
          <w:szCs w:val="24"/>
          <w:color w:val="auto"/>
        </w:rPr>
      </w:pPr>
    </w:p>
    <w:p>
      <w:pPr>
        <w:sectPr>
          <w:pgSz w:w="11900" w:h="16838" w:orient="portrait"/>
          <w:cols w:equalWidth="0" w:num="3">
            <w:col w:w="1560" w:space="720"/>
            <w:col w:w="3640" w:space="720"/>
            <w:col w:w="4600"/>
          </w:cols>
          <w:pgMar w:left="320" w:top="1013" w:right="339" w:bottom="1440" w:gutter="0" w:footer="0" w:header="0"/>
          <w:type w:val="continuous"/>
        </w:sectPr>
      </w:pPr>
    </w:p>
    <w:p>
      <w:pPr>
        <w:ind w:right="18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440"/>
        <w:spacing w:after="0" w:line="21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320"/>
        <w:spacing w:after="0" w:line="184" w:lineRule="exact"/>
        <w:tabs>
          <w:tab w:leader="none" w:pos="83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69" w:lineRule="exact"/>
        <w:rPr>
          <w:sz w:val="24"/>
          <w:szCs w:val="24"/>
          <w:color w:val="auto"/>
        </w:rPr>
      </w:pPr>
    </w:p>
    <w:p>
      <w:pPr>
        <w:ind w:firstLine="318"/>
        <w:spacing w:after="0" w:line="26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(assuming for these purposes that all executive officers and directors are “affiliates” of the registrant) as of October 2, 2021, the last business day of the registrant’s most recently completed second fiscal quarter was $3,658,462,992 (based on the closing sale price of the registrant’s common stock on that date as reported on the New York Stock Exchange).</w:t>
      </w:r>
    </w:p>
    <w:p>
      <w:pPr>
        <w:ind w:left="320"/>
        <w:spacing w:after="0"/>
        <w:rPr>
          <w:sz w:val="20"/>
          <w:szCs w:val="20"/>
          <w:color w:val="auto"/>
        </w:rPr>
      </w:pPr>
      <w:r>
        <w:rPr>
          <w:rFonts w:ascii="Times New Roman" w:cs="Times New Roman" w:eastAsia="Times New Roman" w:hAnsi="Times New Roman"/>
          <w:sz w:val="16"/>
          <w:szCs w:val="16"/>
          <w:color w:val="auto"/>
        </w:rPr>
        <w:t>The number of shares of $0.01 par value common stock outstanding as of May 20, 2022 was 51,277,177.</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definitive proxy statement for our Annual Meeting of Shareholders to be held on August 5, 2022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1"/>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0"/>
        </w:trPr>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3"/>
              </w:rPr>
              <w:t>Business</w:t>
            </w:r>
          </w:p>
        </w:tc>
        <w:tc>
          <w:tcPr>
            <w:tcW w:w="8700" w:type="dxa"/>
            <w:vAlign w:val="bottom"/>
            <w:gridSpan w:val="19"/>
          </w:tcPr>
          <w:p>
            <w:pPr>
              <w:spacing w:after="0"/>
              <w:rPr>
                <w:sz w:val="16"/>
                <w:szCs w:val="16"/>
                <w:color w:val="auto"/>
              </w:rPr>
            </w:pPr>
          </w:p>
        </w:tc>
        <w:tc>
          <w:tcPr>
            <w:tcW w:w="800" w:type="dxa"/>
            <w:vAlign w:val="bottom"/>
            <w:tcBorders>
              <w:top w:val="single" w:sz="8" w:color="auto"/>
            </w:tcBorders>
            <w:gridSpan w:val="5"/>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Risk Factors</w:t>
            </w:r>
          </w:p>
        </w:tc>
        <w:tc>
          <w:tcPr>
            <w:tcW w:w="8440" w:type="dxa"/>
            <w:vAlign w:val="bottom"/>
            <w:gridSpan w:val="1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320" w:type="dxa"/>
            <w:vAlign w:val="bottom"/>
            <w:gridSpan w:val="12"/>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Market for the Registrant’s Common Equity, Related Stockholder Matters and Issuer Purchases of Equity Securities</w:t>
            </w:r>
          </w:p>
        </w:tc>
        <w:tc>
          <w:tcPr>
            <w:tcW w:w="11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2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00" w:type="dxa"/>
            <w:vAlign w:val="bottom"/>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6060" w:type="dxa"/>
            <w:vAlign w:val="bottom"/>
            <w:gridSpan w:val="9"/>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2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8"/>
              </w:rPr>
              <w:t>Control and Procedures</w:t>
            </w:r>
          </w:p>
        </w:tc>
        <w:tc>
          <w:tcPr>
            <w:tcW w:w="4620" w:type="dxa"/>
            <w:vAlign w:val="bottom"/>
            <w:tcBorders>
              <w:top w:val="single" w:sz="8" w:color="0000FF"/>
            </w:tcBorders>
            <w:gridSpan w:val="11"/>
          </w:tcPr>
          <w:p>
            <w:pPr>
              <w:spacing w:after="0"/>
              <w:rPr>
                <w:sz w:val="17"/>
                <w:szCs w:val="17"/>
                <w:color w:val="auto"/>
              </w:rPr>
            </w:pPr>
          </w:p>
        </w:tc>
        <w:tc>
          <w:tcPr>
            <w:tcW w:w="2980" w:type="dxa"/>
            <w:vAlign w:val="bottom"/>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2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8040" w:type="dxa"/>
            <w:vAlign w:val="bottom"/>
            <w:gridSpan w:val="16"/>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48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520" w:type="dxa"/>
            <w:vAlign w:val="bottom"/>
            <w:gridSpan w:val="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Directors and Executive Officers of the Registrant and Corporate Governance</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5480" w:type="dxa"/>
            <w:vAlign w:val="bottom"/>
            <w:tcBorders>
              <w:top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3840" w:type="dxa"/>
            <w:vAlign w:val="bottom"/>
            <w:gridSpan w:val="5"/>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5300" w:type="dxa"/>
            <w:vAlign w:val="bottom"/>
            <w:tcBorders>
              <w:top w:val="single" w:sz="8" w:color="0000FF"/>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840" w:type="dxa"/>
            <w:vAlign w:val="bottom"/>
            <w:tcBorders>
              <w:top w:val="single" w:sz="8" w:color="0000FF"/>
            </w:tcBorders>
            <w:gridSpan w:val="4"/>
          </w:tcPr>
          <w:p>
            <w:pPr>
              <w:spacing w:after="0"/>
              <w:rPr>
                <w:sz w:val="17"/>
                <w:szCs w:val="17"/>
                <w:color w:val="auto"/>
              </w:rPr>
            </w:pPr>
          </w:p>
        </w:tc>
        <w:tc>
          <w:tcPr>
            <w:tcW w:w="2180" w:type="dxa"/>
            <w:vAlign w:val="bottom"/>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28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8"/>
              </w:rPr>
              <w:t>Principal Accounting Fees and Services</w:t>
            </w:r>
          </w:p>
        </w:tc>
        <w:tc>
          <w:tcPr>
            <w:tcW w:w="6480" w:type="dxa"/>
            <w:vAlign w:val="bottom"/>
            <w:gridSpan w:val="10"/>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7"/>
                <w:szCs w:val="17"/>
                <w:color w:val="auto"/>
              </w:rPr>
            </w:pPr>
          </w:p>
        </w:tc>
      </w:tr>
      <w:tr>
        <w:trPr>
          <w:trHeight w:val="1020"/>
        </w:trPr>
        <w:tc>
          <w:tcPr>
            <w:tcW w:w="10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 Overview</w:t>
      </w:r>
    </w:p>
    <w:p>
      <w:pPr>
        <w:spacing w:after="0" w:line="2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and the “Company” mean Haemonetics.</w:t>
      </w:r>
    </w:p>
    <w:p>
      <w:pPr>
        <w:spacing w:after="0" w:line="20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Transfusion Management and Cell Salvage products, includes devices and methodologies for measuring coagulation characteristics of blood, surgical blood salvage systems, specialized blood cell processing systems and disposables, blood transfusion management software and vascular closure devices. Financial information concerning these segments is provided in Note 18 to our audited consolidated financial statements contained in Item 8 of this Annual Report on Form 10-K.</w:t>
      </w:r>
    </w:p>
    <w:p>
      <w:pPr>
        <w:spacing w:after="0" w:line="213" w:lineRule="exact"/>
        <w:rPr>
          <w:sz w:val="20"/>
          <w:szCs w:val="20"/>
          <w:color w:val="auto"/>
        </w:rPr>
      </w:pPr>
    </w:p>
    <w:p>
      <w:pPr>
        <w:jc w:val="both"/>
        <w:ind w:right="440"/>
        <w:spacing w:after="0" w:line="304"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and Products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Lines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describes our principal products in each of our segments.</w:t>
      </w:r>
    </w:p>
    <w:p>
      <w:pPr>
        <w:spacing w:after="0" w:line="122"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Plasma</w:t>
      </w:r>
    </w:p>
    <w:p>
      <w:pPr>
        <w:spacing w:after="0" w:line="245" w:lineRule="exact"/>
        <w:rPr>
          <w:rFonts w:ascii="Times New Roman" w:cs="Times New Roman" w:eastAsia="Times New Roman" w:hAnsi="Times New Roman"/>
          <w:sz w:val="18"/>
          <w:szCs w:val="18"/>
          <w:b w:val="1"/>
          <w:bCs w:val="1"/>
          <w:color w:val="auto"/>
        </w:rPr>
      </w:pPr>
    </w:p>
    <w:p>
      <w:pPr>
        <w:ind w:left="640" w:right="2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Plasma business offers automated plasma collection and donor management software systems that improve the yield, efficiency, quality, safety and overall donor experience at plasma collection centers. We continue to invest in technology that lowers the overall cost to collect plasma while maintaining high standards of quality and safety.</w:t>
      </w:r>
    </w:p>
    <w:p>
      <w:pPr>
        <w:spacing w:after="0" w:line="94" w:lineRule="exact"/>
        <w:rPr>
          <w:rFonts w:ascii="Times New Roman" w:cs="Times New Roman" w:eastAsia="Times New Roman" w:hAnsi="Times New Roman"/>
          <w:sz w:val="18"/>
          <w:szCs w:val="18"/>
          <w:b w:val="1"/>
          <w:bCs w:val="1"/>
          <w:color w:val="auto"/>
        </w:rPr>
      </w:pPr>
    </w:p>
    <w:p>
      <w:pPr>
        <w:ind w:left="64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Plasma Collection Market for Fractionation </w:t>
      </w:r>
      <w:r>
        <w:rPr>
          <w:rFonts w:ascii="Times New Roman" w:cs="Times New Roman" w:eastAsia="Times New Roman" w:hAnsi="Times New Roman"/>
          <w:sz w:val="18"/>
          <w:szCs w:val="18"/>
          <w:color w:val="auto"/>
        </w:rPr>
        <w:t>— Human plasma is collected for two purposes. First, it is used for transfusions in patients,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trauma victims who need to compensate for extreme blood loss, and second, it is processed into pharmaceuticals that aid in the treatment of immune diseases and coagulation disorders.</w:t>
      </w:r>
    </w:p>
    <w:p>
      <w:pPr>
        <w:spacing w:after="0" w:line="200" w:lineRule="exact"/>
        <w:rPr>
          <w:rFonts w:ascii="Times New Roman" w:cs="Times New Roman" w:eastAsia="Times New Roman" w:hAnsi="Times New Roman"/>
          <w:sz w:val="18"/>
          <w:szCs w:val="18"/>
          <w:b w:val="1"/>
          <w:bCs w:val="1"/>
          <w:color w:val="auto"/>
        </w:rPr>
      </w:pPr>
    </w:p>
    <w:p>
      <w:pPr>
        <w:ind w:left="640" w:right="2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who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through our Plasma business, and we serve the market for transfusion plasma through our Blood Center business.</w:t>
      </w:r>
    </w:p>
    <w:p>
      <w:pPr>
        <w:spacing w:after="0" w:line="194" w:lineRule="exact"/>
        <w:rPr>
          <w:rFonts w:ascii="Times New Roman" w:cs="Times New Roman" w:eastAsia="Times New Roman" w:hAnsi="Times New Roman"/>
          <w:sz w:val="18"/>
          <w:szCs w:val="18"/>
          <w:b w:val="1"/>
          <w:bCs w:val="1"/>
          <w:color w:val="auto"/>
        </w:rPr>
      </w:pPr>
    </w:p>
    <w:p>
      <w:pPr>
        <w:ind w:left="640" w:right="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returns the other blood components to the donor. This third method is almost exclusively used for source plasma collection.</w:t>
      </w:r>
    </w:p>
    <w:p>
      <w:pPr>
        <w:spacing w:after="0" w:line="244" w:lineRule="exact"/>
        <w:rPr>
          <w:sz w:val="20"/>
          <w:szCs w:val="20"/>
          <w:color w:val="auto"/>
        </w:rPr>
      </w:pPr>
    </w:p>
    <w:p>
      <w:pPr>
        <w:ind w:left="640" w:right="60"/>
        <w:spacing w:after="0" w:line="255" w:lineRule="auto"/>
        <w:rPr>
          <w:sz w:val="20"/>
          <w:szCs w:val="20"/>
          <w:color w:val="auto"/>
        </w:rPr>
      </w:pPr>
      <w:r>
        <w:rPr>
          <w:rFonts w:ascii="Times New Roman" w:cs="Times New Roman" w:eastAsia="Times New Roman" w:hAnsi="Times New Roman"/>
          <w:sz w:val="18"/>
          <w:szCs w:val="18"/>
          <w:color w:val="auto"/>
        </w:rPr>
        <w:t>Our Plasma business unit focuses on the collection of source plasma by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both whole blood collections sets and multi-component apheresis collection devices.</w:t>
      </w:r>
    </w:p>
    <w:p>
      <w:pPr>
        <w:spacing w:after="0" w:line="207"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Over the last 20 years, the collection of source plasma has increasingly been performed by vertically integrated biopharmaceutical companies such as CSL Limited (together with its affiliates, “CSL”), Grifols S.A. (together with its affiliates, “Grifols”), Octapharma AG and Takeda's BioLife Plasma subsidiary. With their global operations and management expertise, these companies are focused on efficient plasma supply chain management and leveraging information technology to manage operations from the point of plasma donation through fractionation to the production of the final product.</w:t>
      </w:r>
    </w:p>
    <w:p>
      <w:pPr>
        <w:spacing w:after="0" w:line="212" w:lineRule="exact"/>
        <w:rPr>
          <w:sz w:val="20"/>
          <w:szCs w:val="20"/>
          <w:color w:val="auto"/>
        </w:rPr>
      </w:pPr>
    </w:p>
    <w:p>
      <w:pPr>
        <w:ind w:left="640" w:right="80"/>
        <w:spacing w:after="0" w:line="266" w:lineRule="auto"/>
        <w:rPr>
          <w:sz w:val="20"/>
          <w:szCs w:val="20"/>
          <w:color w:val="auto"/>
        </w:rPr>
      </w:pPr>
      <w:r>
        <w:rPr>
          <w:rFonts w:ascii="Times New Roman" w:cs="Times New Roman" w:eastAsia="Times New Roman" w:hAnsi="Times New Roman"/>
          <w:sz w:val="17"/>
          <w:szCs w:val="17"/>
          <w:color w:val="auto"/>
        </w:rPr>
        <w:t>Demand for source plasma has continued to grow because of an expanding end user market for plasma-derived biopharmaceuticals. In particular, therapies that require a significant quantity of plasma to create have fueled an increase in the number of donations and dedicated source plasma collection centers. A significant portion of this growth has occurred in the United States with U.S. produced plasma now meeting an increasing percentage of plasma volume demand worldwide. The U.S. has regulations that are significantly more favorable relative to other markets for plasma collectors. The frequency with which a donor may donate, the volume of plasma that may be donated each time and the ability to remunerate donors are all optimal in the U.S., leading to approximately 70% of worldwide source plasma collections occurring in the U.S. Plasma collectors have long sought changes to plasma collection regulations outside of the U.S. to allow for greater frequency, volume per donation, and remuneration but achievements have been limited and no significant short-term changes are foreseen in the prevalence of U.S. collections.</w:t>
      </w:r>
    </w:p>
    <w:p>
      <w:pPr>
        <w:spacing w:after="0" w:line="78" w:lineRule="exact"/>
        <w:rPr>
          <w:sz w:val="20"/>
          <w:szCs w:val="20"/>
          <w:color w:val="auto"/>
        </w:rPr>
      </w:pPr>
    </w:p>
    <w:p>
      <w:pPr>
        <w:ind w:left="64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Plasma Products </w:t>
      </w:r>
      <w:r>
        <w:rPr>
          <w:rFonts w:ascii="Times New Roman" w:cs="Times New Roman" w:eastAsia="Times New Roman" w:hAnsi="Times New Roman"/>
          <w:sz w:val="18"/>
          <w:szCs w:val="18"/>
          <w:color w:val="auto"/>
        </w:rPr>
        <w:t>— Built around our automated plasma collection devices, related disposables, and software, our portfolio of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our plasma collection customers.</w:t>
      </w:r>
    </w:p>
    <w:p>
      <w:pPr>
        <w:spacing w:after="0" w:line="207" w:lineRule="exact"/>
        <w:rPr>
          <w:sz w:val="20"/>
          <w:szCs w:val="20"/>
          <w:color w:val="auto"/>
        </w:rPr>
      </w:pPr>
    </w:p>
    <w:p>
      <w:pPr>
        <w:ind w:left="640"/>
        <w:spacing w:after="0" w:line="229" w:lineRule="auto"/>
        <w:rPr>
          <w:sz w:val="20"/>
          <w:szCs w:val="20"/>
          <w:color w:val="auto"/>
        </w:rPr>
      </w:pPr>
      <w:r>
        <w:rPr>
          <w:rFonts w:ascii="Times New Roman" w:cs="Times New Roman" w:eastAsia="Times New Roman" w:hAnsi="Times New Roman"/>
          <w:sz w:val="18"/>
          <w:szCs w:val="18"/>
          <w:color w:val="auto"/>
        </w:rPr>
        <w:t>Today, nearly all source plasma collections worldwide are performed using automated collection technology at dedicated facilities. We offer multiple products to support these dedicated source plasma operations, including our NexSys PCS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PCS2</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plasmapheresis equipment, related disposables and intravenous solutions. We also offer a portfolio of integrated information technology platforms for plasma customers to manage their donors, operations and supply chain. Our software products, including our latest NexLynk DMS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donor management system and Donor360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quality and compliance business process support, react quickly to business changes and implement opportunities to reduce costs.</w:t>
      </w:r>
    </w:p>
    <w:p>
      <w:pPr>
        <w:spacing w:after="0" w:line="223" w:lineRule="exact"/>
        <w:rPr>
          <w:sz w:val="20"/>
          <w:szCs w:val="20"/>
          <w:color w:val="auto"/>
        </w:rPr>
      </w:pPr>
    </w:p>
    <w:p>
      <w:pPr>
        <w:ind w:left="640" w:right="440"/>
        <w:spacing w:after="0" w:line="274" w:lineRule="auto"/>
        <w:rPr>
          <w:sz w:val="20"/>
          <w:szCs w:val="20"/>
          <w:color w:val="auto"/>
        </w:rPr>
      </w:pPr>
      <w:r>
        <w:rPr>
          <w:rFonts w:ascii="Times New Roman" w:cs="Times New Roman" w:eastAsia="Times New Roman" w:hAnsi="Times New Roman"/>
          <w:sz w:val="18"/>
          <w:szCs w:val="18"/>
          <w:color w:val="auto"/>
        </w:rPr>
        <w:t>With our PCS brand, we have provided an automated platform dedicated to the collection of plasma for over 20 years. In fiscal 2018, we began transitioning customers from our PCS2 equipment to NexSys PCS.</w:t>
      </w:r>
    </w:p>
    <w:p>
      <w:pPr>
        <w:spacing w:after="0" w:line="190" w:lineRule="exact"/>
        <w:rPr>
          <w:sz w:val="20"/>
          <w:szCs w:val="20"/>
          <w:color w:val="auto"/>
        </w:rPr>
      </w:pPr>
    </w:p>
    <w:p>
      <w:pPr>
        <w:ind w:left="640" w:right="460"/>
        <w:spacing w:after="0" w:line="255" w:lineRule="auto"/>
        <w:rPr>
          <w:sz w:val="20"/>
          <w:szCs w:val="20"/>
          <w:color w:val="auto"/>
        </w:rPr>
      </w:pPr>
      <w:r>
        <w:rPr>
          <w:rFonts w:ascii="Times New Roman" w:cs="Times New Roman" w:eastAsia="Times New Roman" w:hAnsi="Times New Roman"/>
          <w:sz w:val="18"/>
          <w:szCs w:val="18"/>
          <w:color w:val="auto"/>
        </w:rPr>
        <w:t>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w:t>
      </w:r>
    </w:p>
    <w:p>
      <w:pPr>
        <w:spacing w:after="0" w:line="207" w:lineRule="exact"/>
        <w:rPr>
          <w:sz w:val="20"/>
          <w:szCs w:val="20"/>
          <w:color w:val="auto"/>
        </w:rPr>
      </w:pPr>
    </w:p>
    <w:p>
      <w:pPr>
        <w:ind w:left="640" w:right="180"/>
        <w:spacing w:after="0" w:line="229" w:lineRule="auto"/>
        <w:rPr>
          <w:sz w:val="20"/>
          <w:szCs w:val="20"/>
          <w:color w:val="auto"/>
        </w:rPr>
      </w:pPr>
      <w:r>
        <w:rPr>
          <w:rFonts w:ascii="Times New Roman" w:cs="Times New Roman" w:eastAsia="Times New Roman" w:hAnsi="Times New Roman"/>
          <w:sz w:val="18"/>
          <w:szCs w:val="18"/>
          <w:color w:val="auto"/>
        </w:rPr>
        <w:t>The NexSys PCS capabilities enable collections with higher plasma yields. Our YES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is a yield-enhancing solution that enables increases in plasma yield per collection by an additional 18-26 mL per donation, on average. In fiscal 2021, we received FDA 510(k) clearance for our NexSys PCS with Persona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NexSys PCS with Persona technology uses a percent plasma nomogram that customizes plasma collection based on an individual donor's body composition, including an additional 9-12% plasma yield. The new, proprietary Persona technology strengthens the NexSys PCS value proposition and reinforces our commitment to supporting the plasma</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industry. We expect to pursue further regulatory clearances for additional enhancements to the overall product offering.</w:t>
      </w:r>
    </w:p>
    <w:p>
      <w:pPr>
        <w:spacing w:after="0" w:line="124" w:lineRule="exact"/>
        <w:rPr>
          <w:sz w:val="20"/>
          <w:szCs w:val="20"/>
          <w:color w:val="auto"/>
        </w:rPr>
      </w:pPr>
    </w:p>
    <w:p>
      <w:pPr>
        <w:ind w:left="640" w:right="180"/>
        <w:spacing w:after="0" w:line="274" w:lineRule="auto"/>
        <w:rPr>
          <w:sz w:val="20"/>
          <w:szCs w:val="20"/>
          <w:color w:val="auto"/>
        </w:rPr>
      </w:pPr>
      <w:r>
        <w:rPr>
          <w:rFonts w:ascii="Times New Roman" w:cs="Times New Roman" w:eastAsia="Times New Roman" w:hAnsi="Times New Roman"/>
          <w:sz w:val="18"/>
          <w:szCs w:val="18"/>
          <w:color w:val="auto"/>
        </w:rPr>
        <w:t>We have entered into long-term commercial contracts and are continuing the rollout and support of NexSys PCS devices and NexLynk DMS donor management software for these Plasma customers.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Plasma business unit represented 35.4%, 38.2% and 46.4% of our total revenue in fiscal 2022, 2021 and 2020, respectively.</w:t>
      </w:r>
    </w:p>
    <w:p>
      <w:pPr>
        <w:spacing w:after="0" w:line="12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Blood Center</w:t>
      </w:r>
    </w:p>
    <w:p>
      <w:pPr>
        <w:spacing w:after="0" w:line="245" w:lineRule="exact"/>
        <w:rPr>
          <w:rFonts w:ascii="Times New Roman" w:cs="Times New Roman" w:eastAsia="Times New Roman" w:hAnsi="Times New Roman"/>
          <w:sz w:val="18"/>
          <w:szCs w:val="18"/>
          <w:b w:val="1"/>
          <w:bCs w:val="1"/>
          <w:color w:val="auto"/>
        </w:rPr>
      </w:pPr>
    </w:p>
    <w:p>
      <w:pPr>
        <w:ind w:left="640" w:right="1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Blood Center business offers a range of solutions that improve donor collection centers' ability to collect and filter blood and separate blood components. We continue to look for solutions to help our customers improve donor safety and control costs through the existing product portfolio. Our products and technologies help donor collection centers optimize blood collection capabilities and donor processing management.</w:t>
      </w:r>
    </w:p>
    <w:p>
      <w:pPr>
        <w:spacing w:after="0" w:line="81" w:lineRule="exact"/>
        <w:rPr>
          <w:rFonts w:ascii="Times New Roman" w:cs="Times New Roman" w:eastAsia="Times New Roman" w:hAnsi="Times New Roman"/>
          <w:sz w:val="18"/>
          <w:szCs w:val="18"/>
          <w:b w:val="1"/>
          <w:bCs w:val="1"/>
          <w:color w:val="auto"/>
        </w:rPr>
      </w:pPr>
    </w:p>
    <w:p>
      <w:pPr>
        <w:ind w:left="6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i w:val="1"/>
          <w:iCs w:val="1"/>
          <w:color w:val="auto"/>
        </w:rPr>
        <w:t xml:space="preserve">Blood Center Market </w:t>
      </w:r>
      <w:r>
        <w:rPr>
          <w:rFonts w:ascii="Times New Roman" w:cs="Times New Roman" w:eastAsia="Times New Roman" w:hAnsi="Times New Roman"/>
          <w:sz w:val="17"/>
          <w:szCs w:val="17"/>
          <w:color w:val="auto"/>
        </w:rPr>
        <w:t>— There are millions of blood donations throughout the world every year that produce blood products for transfusion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88" w:lineRule="exact"/>
        <w:rPr>
          <w:rFonts w:ascii="Times New Roman" w:cs="Times New Roman" w:eastAsia="Times New Roman" w:hAnsi="Times New Roman"/>
          <w:sz w:val="18"/>
          <w:szCs w:val="18"/>
          <w:b w:val="1"/>
          <w:bCs w:val="1"/>
          <w:color w:val="auto"/>
        </w:rPr>
      </w:pPr>
    </w:p>
    <w:p>
      <w:pPr>
        <w:ind w:left="640" w:right="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blood. In this method, only the specific target blood component is collected and the remaining components are returned to the blood donor.</w:t>
      </w:r>
    </w:p>
    <w:p>
      <w:pPr>
        <w:spacing w:after="0" w:line="75" w:lineRule="exact"/>
        <w:rPr>
          <w:rFonts w:ascii="Times New Roman" w:cs="Times New Roman" w:eastAsia="Times New Roman" w:hAnsi="Times New Roman"/>
          <w:sz w:val="18"/>
          <w:szCs w:val="18"/>
          <w:b w:val="1"/>
          <w:bCs w:val="1"/>
          <w:color w:val="auto"/>
        </w:rPr>
      </w:pPr>
    </w:p>
    <w:p>
      <w:pPr>
        <w:ind w:left="64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overall we expect total demand for blood to remain stable to slightly declining, demand in individual markets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spacing w:after="0" w:line="83" w:lineRule="exact"/>
        <w:rPr>
          <w:rFonts w:ascii="Times New Roman" w:cs="Times New Roman" w:eastAsia="Times New Roman" w:hAnsi="Times New Roman"/>
          <w:sz w:val="18"/>
          <w:szCs w:val="18"/>
          <w:b w:val="1"/>
          <w:bCs w:val="1"/>
          <w:color w:val="auto"/>
        </w:rPr>
      </w:pPr>
    </w:p>
    <w:p>
      <w:pPr>
        <w:ind w:left="640" w:right="2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Blood Center Products </w:t>
      </w:r>
      <w:r>
        <w:rPr>
          <w:rFonts w:ascii="Times New Roman" w:cs="Times New Roman" w:eastAsia="Times New Roman" w:hAnsi="Times New Roman"/>
          <w:sz w:val="18"/>
          <w:szCs w:val="18"/>
          <w:color w:val="auto"/>
        </w:rPr>
        <w:t>— We offer automated blood component and manual whole blood collection systems to blood collection centers to collect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products efficiently and cost effectively.</w:t>
      </w:r>
    </w:p>
    <w:p>
      <w:pPr>
        <w:spacing w:after="0" w:line="77" w:lineRule="exact"/>
        <w:rPr>
          <w:rFonts w:ascii="Times New Roman" w:cs="Times New Roman" w:eastAsia="Times New Roman" w:hAnsi="Times New Roman"/>
          <w:sz w:val="18"/>
          <w:szCs w:val="18"/>
          <w:b w:val="1"/>
          <w:bCs w:val="1"/>
          <w:color w:val="auto"/>
        </w:rPr>
      </w:pPr>
    </w:p>
    <w:p>
      <w:pPr>
        <w:ind w:left="1280" w:right="60" w:hanging="161"/>
        <w:spacing w:after="0" w:line="232" w:lineRule="auto"/>
        <w:tabs>
          <w:tab w:leader="none" w:pos="12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market the MCS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101" w:lineRule="exact"/>
        <w:rPr>
          <w:rFonts w:ascii="Times New Roman" w:cs="Times New Roman" w:eastAsia="Times New Roman" w:hAnsi="Times New Roman"/>
          <w:sz w:val="18"/>
          <w:szCs w:val="18"/>
          <w:color w:val="auto"/>
        </w:rPr>
      </w:pPr>
    </w:p>
    <w:p>
      <w:pPr>
        <w:ind w:left="1280" w:right="220" w:hanging="161"/>
        <w:spacing w:after="0" w:line="274" w:lineRule="auto"/>
        <w:tabs>
          <w:tab w:leader="none" w:pos="12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Blood Center business unit represented 30.1%, 35.3% and 32.1% of our total revenue in fiscal 2022, 2021 and 2020, respectively.</w:t>
      </w:r>
    </w:p>
    <w:p>
      <w:pPr>
        <w:spacing w:after="0" w:line="136"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Hospital</w:t>
      </w:r>
    </w:p>
    <w:p>
      <w:pPr>
        <w:spacing w:after="0" w:line="126" w:lineRule="exact"/>
        <w:rPr>
          <w:rFonts w:ascii="Times New Roman" w:cs="Times New Roman" w:eastAsia="Times New Roman" w:hAnsi="Times New Roman"/>
          <w:sz w:val="18"/>
          <w:szCs w:val="18"/>
          <w:b w:val="1"/>
          <w:bCs w:val="1"/>
          <w:color w:val="auto"/>
        </w:rPr>
      </w:pPr>
    </w:p>
    <w:p>
      <w:pPr>
        <w:ind w:left="64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Hospitals are called upon to provide the highest standard of patient care while at the same time reduce operating costs. Haemonetics' Hospital business has four product lines: Hemostasis Management, Vascular Closure, Transfusion Management and Cell Salvage. Vascular Closure became a product line during fiscal 2021 as a result of the March 2021 acquisition of Cardiva Medical, Inc. (“Cardiva”), a market leader in vascular closure devices. Each product line has a leading market position and a mission of helping hospitals and clinicians provide the highest standard of patient care while at the same time reducing operating and procedural costs and helping decision makers in hospitals optimize blood acquisition, storage and usage in critical settings.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Hemostasis Management</w:t>
      </w:r>
    </w:p>
    <w:p>
      <w:pPr>
        <w:spacing w:after="0" w:line="138"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Hemostasis Management Market </w:t>
      </w:r>
      <w:r>
        <w:rPr>
          <w:rFonts w:ascii="Times New Roman" w:cs="Times New Roman" w:eastAsia="Times New Roman" w:hAnsi="Times New Roman"/>
          <w:sz w:val="18"/>
          <w:szCs w:val="18"/>
          <w:color w:val="auto"/>
        </w:rPr>
        <w:t>— Hemostasis refers to a patient's ability to form and maintain blood clots. The clinical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90" w:lineRule="exact"/>
        <w:rPr>
          <w:sz w:val="20"/>
          <w:szCs w:val="20"/>
          <w:color w:val="auto"/>
        </w:rPr>
      </w:pPr>
    </w:p>
    <w:p>
      <w:pPr>
        <w:ind w:left="640" w:right="12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Hemostasis Management Products </w:t>
      </w:r>
      <w:r>
        <w:rPr>
          <w:rFonts w:ascii="Times New Roman" w:cs="Times New Roman" w:eastAsia="Times New Roman" w:hAnsi="Times New Roman"/>
          <w:sz w:val="17"/>
          <w:szCs w:val="17"/>
          <w:color w:val="auto"/>
        </w:rPr>
        <w:t>— Our portfolio of hemostasis diagnostic systems enables clinicians to assess holistically the coagulation status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patient at the point-of-care or laboratory setting. We have four viscoelastic testing systems that we market to hospitals and laboratories as an alternative to routine blood tests: the TEG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5000 hemostasis analyzer system, the TEG 6s hemostasis analyzer system, the ClotPro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hemostasis analyzer system, and the HAS-100 hemostasis analyzer system. While the TEG and HAS platforms utilize thromboelastography and the ClotPro system utilizes thromboelastometry, all of the platforms provide a method of testing the efficiency of blood coagulation using whole blood samples.</w:t>
      </w:r>
    </w:p>
    <w:p>
      <w:pPr>
        <w:spacing w:after="0" w:line="203" w:lineRule="exact"/>
        <w:rPr>
          <w:sz w:val="20"/>
          <w:szCs w:val="20"/>
          <w:color w:val="auto"/>
        </w:rPr>
      </w:pPr>
    </w:p>
    <w:p>
      <w:pPr>
        <w:jc w:val="both"/>
        <w:ind w:left="640" w:right="20"/>
        <w:spacing w:after="0" w:line="236" w:lineRule="auto"/>
        <w:rPr>
          <w:sz w:val="20"/>
          <w:szCs w:val="20"/>
          <w:color w:val="auto"/>
        </w:rPr>
      </w:pPr>
      <w:r>
        <w:rPr>
          <w:rFonts w:ascii="Times New Roman" w:cs="Times New Roman" w:eastAsia="Times New Roman" w:hAnsi="Times New Roman"/>
          <w:sz w:val="18"/>
          <w:szCs w:val="18"/>
          <w:color w:val="auto"/>
        </w:rPr>
        <w:t>Each hemostasis diagnostic system consists of an analyzer that is used with single-use reagents and disposables. In addition, TEG Manager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software connects multiple TEG 5000 and TEG 6S analyzers throughout the hospital, providing clinicians with remote access to both active and historical test results that inform treatment decisions.</w:t>
      </w:r>
    </w:p>
    <w:p>
      <w:pPr>
        <w:spacing w:after="0" w:line="222" w:lineRule="exact"/>
        <w:rPr>
          <w:sz w:val="20"/>
          <w:szCs w:val="20"/>
          <w:color w:val="auto"/>
        </w:rPr>
      </w:pPr>
    </w:p>
    <w:p>
      <w:pPr>
        <w:ind w:left="640" w:right="80"/>
        <w:spacing w:after="0" w:line="251" w:lineRule="auto"/>
        <w:rPr>
          <w:sz w:val="20"/>
          <w:szCs w:val="20"/>
          <w:color w:val="auto"/>
        </w:rPr>
      </w:pPr>
      <w:r>
        <w:rPr>
          <w:rFonts w:ascii="Times New Roman" w:cs="Times New Roman" w:eastAsia="Times New Roman" w:hAnsi="Times New Roman"/>
          <w:sz w:val="18"/>
          <w:szCs w:val="18"/>
          <w:color w:val="auto"/>
        </w:rPr>
        <w:t>The TEG 5000 system is approved for a broad set of indications in all of our markets. The TEG 6s system is approved for the same set of indications as the TEG 5000 in Europe, Australia and Japan. We continue to pursue a broader set of indications for TEG 6s in the U.S.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ClotPro system received CE mark clearance and is currently available in select European and Asia Pacific markets. The HAS-100 device is currently commercialized in China.</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Vascular Closure</w:t>
      </w:r>
    </w:p>
    <w:p>
      <w:pPr>
        <w:spacing w:after="0" w:line="244" w:lineRule="exact"/>
        <w:rPr>
          <w:sz w:val="20"/>
          <w:szCs w:val="20"/>
          <w:color w:val="auto"/>
        </w:rPr>
      </w:pPr>
    </w:p>
    <w:p>
      <w:pPr>
        <w:ind w:left="640" w:right="2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Vascular Closure Market </w:t>
      </w:r>
      <w:r>
        <w:rPr>
          <w:rFonts w:ascii="Times New Roman" w:cs="Times New Roman" w:eastAsia="Times New Roman" w:hAnsi="Times New Roman"/>
          <w:sz w:val="18"/>
          <w:szCs w:val="18"/>
          <w:color w:val="auto"/>
        </w:rPr>
        <w:t>— Catheter-based, minimally invasive alternatives to open surgery have transformed cardiovascular medicine.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w:t>
      </w:r>
    </w:p>
    <w:p>
      <w:pPr>
        <w:spacing w:after="0" w:line="207" w:lineRule="exact"/>
        <w:rPr>
          <w:sz w:val="20"/>
          <w:szCs w:val="20"/>
          <w:color w:val="auto"/>
        </w:rPr>
      </w:pPr>
    </w:p>
    <w:p>
      <w:pPr>
        <w:ind w:left="64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Vascular Closure Products </w:t>
      </w:r>
      <w:r>
        <w:rPr>
          <w:rFonts w:ascii="Times New Roman" w:cs="Times New Roman" w:eastAsia="Times New Roman" w:hAnsi="Times New Roman"/>
          <w:sz w:val="18"/>
          <w:szCs w:val="18"/>
          <w:color w:val="auto"/>
        </w:rPr>
        <w:t>— The VASCADE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was developed to address the limitations of manual compression and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vascular closure devices. Our VASCADE family of products consists of two devices, VASCADE and VASCADE MVP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cost savings. Our Vascular Closure devices address the growing number of catheter-based coronary, peripheral and electrophysiology procedures that require vascular access site closure each year.</w:t>
      </w:r>
    </w:p>
    <w:p>
      <w:pPr>
        <w:spacing w:after="0" w:line="220" w:lineRule="exact"/>
        <w:rPr>
          <w:sz w:val="20"/>
          <w:szCs w:val="20"/>
          <w:color w:val="auto"/>
        </w:rPr>
      </w:pPr>
    </w:p>
    <w:p>
      <w:pPr>
        <w:ind w:left="640" w:right="60"/>
        <w:spacing w:after="0" w:line="252" w:lineRule="auto"/>
        <w:rPr>
          <w:sz w:val="20"/>
          <w:szCs w:val="20"/>
          <w:color w:val="auto"/>
        </w:rPr>
      </w:pPr>
      <w:r>
        <w:rPr>
          <w:rFonts w:ascii="Times New Roman" w:cs="Times New Roman" w:eastAsia="Times New Roman" w:hAnsi="Times New Roman"/>
          <w:sz w:val="18"/>
          <w:szCs w:val="18"/>
          <w:color w:val="auto"/>
        </w:rPr>
        <w:t>Designed around an easy to use, catheter-based delivery system and the natural clot-inducing properties of collagen, our VASCADE product is the only marketed vascular closure device clinically proven to both increase workflow efficiency and reduce access site complications relative to manual compression for coronary and peripheral procedures. Similarly, our VASCADE MVP device is the only marketed vascular closure device clinically proven and labeled to improve workflow relative to manual compression for electrophysiology procedures. Importantly, these improvements drive meaningful cost savings for hospitals, ambulatory surgery centers, and other treatment facilities.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660"/>
        <w:spacing w:after="0" w:line="274" w:lineRule="auto"/>
        <w:rPr>
          <w:sz w:val="20"/>
          <w:szCs w:val="20"/>
          <w:color w:val="auto"/>
        </w:rPr>
      </w:pPr>
      <w:r>
        <w:rPr>
          <w:rFonts w:ascii="Times New Roman" w:cs="Times New Roman" w:eastAsia="Times New Roman" w:hAnsi="Times New Roman"/>
          <w:sz w:val="18"/>
          <w:szCs w:val="18"/>
          <w:color w:val="auto"/>
        </w:rPr>
        <w:t>During fiscal 2022, the VASCADE MVP Venous Vascular Closure System became the first and only vascular closure device to receive FDA indication for same-day discharge following atrial fibrillation ablation.</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Transfusion Management</w:t>
      </w:r>
    </w:p>
    <w:p>
      <w:pPr>
        <w:spacing w:after="0" w:line="138" w:lineRule="exact"/>
        <w:rPr>
          <w:sz w:val="20"/>
          <w:szCs w:val="20"/>
          <w:color w:val="auto"/>
        </w:rPr>
      </w:pPr>
    </w:p>
    <w:p>
      <w:pPr>
        <w:ind w:left="6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Market </w:t>
      </w:r>
      <w:r>
        <w:rPr>
          <w:rFonts w:ascii="Times New Roman" w:cs="Times New Roman" w:eastAsia="Times New Roman" w:hAnsi="Times New Roman"/>
          <w:sz w:val="18"/>
          <w:szCs w:val="18"/>
          <w:color w:val="auto"/>
        </w:rPr>
        <w:t>— Hospital transfusion services professionals and clinicians are facing cost restraints in addition to the pressure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207" w:lineRule="exact"/>
        <w:rPr>
          <w:sz w:val="20"/>
          <w:szCs w:val="20"/>
          <w:color w:val="auto"/>
        </w:rPr>
      </w:pPr>
    </w:p>
    <w:p>
      <w:pPr>
        <w:ind w:left="640"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Products </w:t>
      </w:r>
      <w:r>
        <w:rPr>
          <w:rFonts w:ascii="Times New Roman" w:cs="Times New Roman" w:eastAsia="Times New Roman" w:hAnsi="Times New Roman"/>
          <w:sz w:val="18"/>
          <w:szCs w:val="18"/>
          <w:color w:val="auto"/>
        </w:rPr>
        <w:t>— Our Transfusion Management solutions are designed to help provide safety, traceability and compliance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hospital blood bank to the patient bedside and enable consistent care across the hospital network. Our SafeTrace Tx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transfusion management software is considered the system of record for all hospital blood bank and transfusion service information. BloodTrack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Cell Salvage</w:t>
      </w:r>
    </w:p>
    <w:p>
      <w:pPr>
        <w:spacing w:after="0" w:line="124" w:lineRule="exact"/>
        <w:rPr>
          <w:sz w:val="20"/>
          <w:szCs w:val="20"/>
          <w:color w:val="auto"/>
        </w:rPr>
      </w:pPr>
    </w:p>
    <w:p>
      <w:pPr>
        <w:ind w:left="640" w:right="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Cell Salvage Market </w:t>
      </w:r>
      <w:r>
        <w:rPr>
          <w:rFonts w:ascii="Times New Roman" w:cs="Times New Roman" w:eastAsia="Times New Roman" w:hAnsi="Times New Roman"/>
          <w:sz w:val="17"/>
          <w:szCs w:val="17"/>
          <w:color w:val="auto"/>
        </w:rPr>
        <w:t>— The Cell Salvage market is mainly comprised of devices designed to transfuse back a patient’s own blood during or after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191" w:lineRule="exact"/>
        <w:rPr>
          <w:sz w:val="20"/>
          <w:szCs w:val="20"/>
          <w:color w:val="auto"/>
        </w:rPr>
      </w:pPr>
    </w:p>
    <w:p>
      <w:pPr>
        <w:ind w:left="640" w:right="300"/>
        <w:spacing w:after="0" w:line="250" w:lineRule="auto"/>
        <w:rPr>
          <w:sz w:val="20"/>
          <w:szCs w:val="20"/>
          <w:color w:val="auto"/>
        </w:rPr>
      </w:pPr>
      <w:r>
        <w:rPr>
          <w:rFonts w:ascii="Times New Roman" w:cs="Times New Roman" w:eastAsia="Times New Roman" w:hAnsi="Times New Roman"/>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anesthesiologists and surgical suite service providers.</w:t>
      </w:r>
    </w:p>
    <w:p>
      <w:pPr>
        <w:spacing w:after="0" w:line="209" w:lineRule="exact"/>
        <w:rPr>
          <w:sz w:val="20"/>
          <w:szCs w:val="20"/>
          <w:color w:val="auto"/>
        </w:rPr>
      </w:pPr>
    </w:p>
    <w:p>
      <w:pPr>
        <w:ind w:left="6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Cell Salvage Products </w:t>
      </w:r>
      <w:r>
        <w:rPr>
          <w:rFonts w:ascii="Times New Roman" w:cs="Times New Roman" w:eastAsia="Times New Roman" w:hAnsi="Times New Roman"/>
          <w:sz w:val="18"/>
          <w:szCs w:val="18"/>
          <w:color w:val="auto"/>
        </w:rPr>
        <w:t>— Our Cell Saver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autologous blood recovery system is a surgical blood salvage system targeted to medium to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loss procedures, such as cardiovascular, orthopedic, trauma, transplant, vascular, obstetrical and gynecological surgeries. The Cell Saver Elite + is designed to minimize allogeneic blood use and reliably recover and transfuse a patient’s own high-quality blood.</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Hospital business unit represented 32.5%, 24.2% and 19.6% of our total revenue in fiscal 2022, 2021 and 2020,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Marketing/Sales/Distribution</w:t>
      </w:r>
    </w:p>
    <w:p>
      <w:pPr>
        <w:spacing w:after="0" w:line="24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Our research and development centers in the U.S. ensure that protocol variations are incorporated to closely match local customer requirements. In addition, Haemonetics maintains software development operations in Canada.</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204"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In fiscal 2022, research and development resources were allocated to support innovation across our product portfolio. In October 2020, we announced FDA clearance for our NexSys PCS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with Persona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technology. In April 2020, we also announced the commercial availability of the next generation of SafeTrace Tx Transfusion Management Software in the United Kingdom. This software version features significant improvements to the user experience and workflow efficiency. Additionally, we have continued to make investments related to our next generation plasma collection and software systems, the European Medical Device Regulation and In Vitro Diagnostic Regulation, our Hemostasis Management product line, and our recent product acquisitions in Hospital.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48"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20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Our primary consumable manufacturing operations are located in North America and Malaysia. Contract manufacturers also supply component sets and liquid solutions according to our specifications and manufacture in Japan, Singapore, Thailand and the Philippines. Our capital equipment is principally manufactured in Malaysia, Australia and the U.S.</w:t>
      </w:r>
    </w:p>
    <w:p>
      <w:pPr>
        <w:spacing w:after="0" w:line="2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Plastics and other petroleum-based products are the principal components of our disposable products and can be affected by oil and gas prices. Contracts with our suppliers help to mitigate some of the short term effects of price volatility in this market. However, increases in the price of petroleum derivatives could result in corresponding increases in our costs to procure plastic raw materials.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4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1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may license patent rights from third parties that cover technologies that we use or plan to use in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various trademarks that have been registered in the United States and certain other countries.</w:t>
      </w:r>
    </w:p>
    <w:p>
      <w:pPr>
        <w:spacing w:after="0" w:line="24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trademarks, that patents issued to or licensed by us will not be challenged or circumvented by competitors, or that our patents will not be determined invalid.</w:t>
      </w: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4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21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20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addition, we face competition from several large, global companies with product offerings similar to ours. Terumo Blood and Cell Technologies (“Terumo BCT”) and Fresenius SE &amp; Co. KGaA, in particular, have significantly greater financial and other resources than we do and are strong competitors in a number of our businesses. The following provides an overview of the key competitors in each of our three global product enterprises.</w:t>
      </w:r>
    </w:p>
    <w:p>
      <w:pPr>
        <w:spacing w:after="0" w:line="83"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Plasma</w:t>
      </w:r>
    </w:p>
    <w:p>
      <w:pPr>
        <w:spacing w:after="0" w:line="245" w:lineRule="exact"/>
        <w:rPr>
          <w:rFonts w:ascii="Times New Roman" w:cs="Times New Roman" w:eastAsia="Times New Roman" w:hAnsi="Times New Roman"/>
          <w:sz w:val="18"/>
          <w:szCs w:val="18"/>
          <w:i w:val="1"/>
          <w:iCs w:val="1"/>
          <w:color w:val="auto"/>
        </w:rPr>
      </w:pPr>
    </w:p>
    <w:p>
      <w:pPr>
        <w:ind w:left="640" w:right="6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automated plasma collection market, we principally compete with Fresenius' Fenwal Aurora and Aurora Xi product lines and Terumo BCT's Rika device on the basis of speed, plasma yield per donation,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 European and South American countries. In the field of plasma related software, MAK Systems is the primary competitor along with applications developed internally by our customers.</w:t>
      </w:r>
    </w:p>
    <w:p>
      <w:pPr>
        <w:spacing w:after="0" w:line="103"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Blood Center</w:t>
      </w:r>
    </w:p>
    <w:p>
      <w:pPr>
        <w:spacing w:after="0" w:line="245" w:lineRule="exact"/>
        <w:rPr>
          <w:rFonts w:ascii="Times New Roman" w:cs="Times New Roman" w:eastAsia="Times New Roman" w:hAnsi="Times New Roman"/>
          <w:sz w:val="18"/>
          <w:szCs w:val="18"/>
          <w:i w:val="1"/>
          <w:iCs w:val="1"/>
          <w:color w:val="auto"/>
        </w:rPr>
      </w:pPr>
    </w:p>
    <w:p>
      <w:pPr>
        <w:ind w:left="640" w:right="100"/>
        <w:spacing w:after="0" w:line="25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Most donations worldwide are traditional manual whole blood collections and approximately 30% of the Blood Center portfolio competes in this space. We face intense competition in our whole blood business on the basis of quality and price. Our main competitors are Fresenius, MacoPharma and Terumo BCT.</w:t>
      </w:r>
    </w:p>
    <w:p>
      <w:pPr>
        <w:spacing w:after="0" w:line="204" w:lineRule="exact"/>
        <w:rPr>
          <w:rFonts w:ascii="Times New Roman" w:cs="Times New Roman" w:eastAsia="Times New Roman" w:hAnsi="Times New Roman"/>
          <w:sz w:val="18"/>
          <w:szCs w:val="18"/>
          <w:i w:val="1"/>
          <w:iCs w:val="1"/>
          <w:color w:val="auto"/>
        </w:rPr>
      </w:pPr>
    </w:p>
    <w:p>
      <w:pPr>
        <w:ind w:left="640" w:right="6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MCS automated component blood collections, which represents approximately 60% of the Blood Center portfolio, not only compete against the traditional manual whole blood collection market (particularly in red cells) but also compete with products from Terumo BCT and Fresenius. Technology is the key differentiator in automated component blood collections, as measured by the time to collect more than one unit of a specific targeted blood component. While not all donors are eligible to donate more than one unit, it continues to become more prevalent in markets with a significant number of eligible donors. Therefore, both Haemonetics and our competitors continue to experience downward pressure on collection through single platelet collection procedures.</w:t>
      </w:r>
    </w:p>
    <w:p>
      <w:pPr>
        <w:spacing w:after="0" w:line="90"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Hospital</w:t>
      </w:r>
    </w:p>
    <w:p>
      <w:pPr>
        <w:spacing w:after="0" w:line="126"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Hemostasis Management</w:t>
      </w:r>
    </w:p>
    <w:p>
      <w:pPr>
        <w:spacing w:after="0" w:line="243" w:lineRule="exact"/>
        <w:rPr>
          <w:rFonts w:ascii="Times New Roman" w:cs="Times New Roman" w:eastAsia="Times New Roman" w:hAnsi="Times New Roman"/>
          <w:sz w:val="18"/>
          <w:szCs w:val="18"/>
          <w:i w:val="1"/>
          <w:iCs w:val="1"/>
          <w:color w:val="auto"/>
        </w:rPr>
      </w:pPr>
    </w:p>
    <w:p>
      <w:pPr>
        <w:ind w:left="640" w:right="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hemostasis analyzer systems are used primarily in surgical applications. Competition includes routine coagulation tests, such as prothrombin time, partial thromboplastin time and platelet count marketed by various manufacturers, such as Instrumentation Laboratory,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right="60"/>
        <w:spacing w:after="0" w:line="230" w:lineRule="auto"/>
        <w:rPr>
          <w:sz w:val="20"/>
          <w:szCs w:val="20"/>
          <w:color w:val="auto"/>
        </w:rPr>
      </w:pPr>
      <w:r>
        <w:rPr>
          <w:rFonts w:ascii="Times New Roman" w:cs="Times New Roman" w:eastAsia="Times New Roman" w:hAnsi="Times New Roman"/>
          <w:sz w:val="18"/>
          <w:szCs w:val="18"/>
          <w:color w:val="auto"/>
        </w:rPr>
        <w:t>In addition, TEG and ClotPro systems compete more directly with other viscoelastic testing systems, including ROTEM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analyzers, the VerifyNow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System and HemoSonics Quantra™. ROTEM and VerifyNow instruments are marketed by Instrumentation Laboratory, a subsidiary of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Vascular Closure</w:t>
      </w:r>
    </w:p>
    <w:p>
      <w:pPr>
        <w:spacing w:after="0" w:line="138" w:lineRule="exact"/>
        <w:rPr>
          <w:sz w:val="20"/>
          <w:szCs w:val="20"/>
          <w:color w:val="auto"/>
        </w:rPr>
      </w:pPr>
    </w:p>
    <w:p>
      <w:pPr>
        <w:ind w:left="640" w:right="80"/>
        <w:spacing w:after="0" w:line="271" w:lineRule="auto"/>
        <w:rPr>
          <w:sz w:val="20"/>
          <w:szCs w:val="20"/>
          <w:color w:val="auto"/>
        </w:rPr>
      </w:pPr>
      <w:r>
        <w:rPr>
          <w:rFonts w:ascii="Times New Roman" w:cs="Times New Roman" w:eastAsia="Times New Roman" w:hAnsi="Times New Roman"/>
          <w:sz w:val="17"/>
          <w:szCs w:val="17"/>
          <w:color w:val="auto"/>
        </w:rPr>
        <w:t>The vascular closure industry is highly competitive and has been evolving rapidly with the introduction of new products, technologies, regulations and activities of industry participants. Our VASCADE family of products serves as an alternative to existing methods of femoral vascular access site closure in interventional procedures, including manual compression and other femoral access closure devices. Our main competitors in femoral access closure for coronary and peripheral procedures include Terumo BCT, Abbott Laboratories and Cardinal Health. There are not currently any competing vascular access site closure devices that are labeled for electrophysiology procedures that require multiple access sites.</w:t>
      </w:r>
    </w:p>
    <w:p>
      <w:pPr>
        <w:spacing w:after="0" w:line="76" w:lineRule="exact"/>
        <w:rPr>
          <w:sz w:val="20"/>
          <w:szCs w:val="20"/>
          <w:color w:val="auto"/>
        </w:rPr>
      </w:pPr>
    </w:p>
    <w:p>
      <w:pPr>
        <w:ind w:left="640" w:right="20"/>
        <w:spacing w:after="0" w:line="255" w:lineRule="auto"/>
        <w:rPr>
          <w:sz w:val="20"/>
          <w:szCs w:val="20"/>
          <w:color w:val="auto"/>
        </w:rPr>
      </w:pPr>
      <w:r>
        <w:rPr>
          <w:rFonts w:ascii="Times New Roman" w:cs="Times New Roman" w:eastAsia="Times New Roman" w:hAnsi="Times New Roman"/>
          <w:sz w:val="18"/>
          <w:szCs w:val="18"/>
          <w:color w:val="auto"/>
        </w:rPr>
        <w:t>We compete primarily on the basis that our products are optimized for the requirements of coronary, peripheral and electrophysiology procedures, including procedures that require multiple access sites. In addition, our value proposition is supported by robust clinical trial evidence and study data, which demonstrate reduced access site complication rates as well as workflow improvements compared to manual compression that lead to cost savings.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Transfusion Management</w:t>
      </w:r>
    </w:p>
    <w:p>
      <w:pPr>
        <w:spacing w:after="0" w:line="244" w:lineRule="exact"/>
        <w:rPr>
          <w:sz w:val="20"/>
          <w:szCs w:val="20"/>
          <w:color w:val="auto"/>
        </w:rPr>
      </w:pPr>
    </w:p>
    <w:p>
      <w:pPr>
        <w:ind w:left="640" w:right="100"/>
        <w:spacing w:after="0" w:line="252" w:lineRule="auto"/>
        <w:rPr>
          <w:sz w:val="20"/>
          <w:szCs w:val="20"/>
          <w:color w:val="auto"/>
        </w:rPr>
      </w:pPr>
      <w:r>
        <w:rPr>
          <w:rFonts w:ascii="Times New Roman" w:cs="Times New Roman" w:eastAsia="Times New Roman" w:hAnsi="Times New Roman"/>
          <w:sz w:val="18"/>
          <w:szCs w:val="18"/>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212" w:lineRule="exact"/>
        <w:rPr>
          <w:sz w:val="20"/>
          <w:szCs w:val="20"/>
          <w:color w:val="auto"/>
        </w:rPr>
      </w:pPr>
    </w:p>
    <w:p>
      <w:pPr>
        <w:ind w:left="640" w:right="20"/>
        <w:spacing w:after="0" w:line="255" w:lineRule="auto"/>
        <w:rPr>
          <w:sz w:val="20"/>
          <w:szCs w:val="20"/>
          <w:color w:val="auto"/>
        </w:rPr>
      </w:pPr>
      <w:r>
        <w:rPr>
          <w:rFonts w:ascii="Times New Roman" w:cs="Times New Roman" w:eastAsia="Times New Roman" w:hAnsi="Times New Roman"/>
          <w:sz w:val="18"/>
          <w:szCs w:val="18"/>
          <w:color w:val="auto"/>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Cell Salvage</w:t>
      </w:r>
    </w:p>
    <w:p>
      <w:pPr>
        <w:spacing w:after="0" w:line="244" w:lineRule="exact"/>
        <w:rPr>
          <w:sz w:val="20"/>
          <w:szCs w:val="20"/>
          <w:color w:val="auto"/>
        </w:rPr>
      </w:pPr>
    </w:p>
    <w:p>
      <w:pPr>
        <w:jc w:val="both"/>
        <w:ind w:left="640" w:right="180"/>
        <w:spacing w:after="0" w:line="259" w:lineRule="auto"/>
        <w:rPr>
          <w:sz w:val="20"/>
          <w:szCs w:val="20"/>
          <w:color w:val="auto"/>
        </w:rPr>
      </w:pPr>
      <w:r>
        <w:rPr>
          <w:rFonts w:ascii="Times New Roman" w:cs="Times New Roman" w:eastAsia="Times New Roman" w:hAnsi="Times New Roman"/>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3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fiscal 2022, 2021 and 2020, our ten largest customers accounted for approximately 45%, 49% and 54% of our net revenues, respectively. In fiscal 2022, one Plasma customer, CSL, was greater than 10% of total net revenue and in total accounted for approximately 12% of net revenues. In addition to CSL, two customers also accounted for greater than 10% of the Plasma segment's net revenues and one customer accounted for greater than 10% of the Blood Center segment's net revenue, but did not exceed 10% of total net revenues, in fiscal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48"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Due to the variety of products that we manufacture, we and our products are subject to a wide range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United States, medical devices, drugs, and biological products are subject to extensive regulation by FDA under the Federal Food, Drug, and Cosmetic Act, or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Medical Device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Requirements - U.S.</w:t>
      </w:r>
    </w:p>
    <w:p>
      <w:pPr>
        <w:spacing w:after="0" w:line="2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w:t>
      </w:r>
    </w:p>
    <w:p>
      <w:pPr>
        <w:spacing w:after="0" w:line="1" w:lineRule="exact"/>
        <w:rPr>
          <w:sz w:val="20"/>
          <w:szCs w:val="20"/>
          <w:color w:val="auto"/>
        </w:rPr>
      </w:pPr>
    </w:p>
    <w:p>
      <w:pPr>
        <w:jc w:val="both"/>
        <w:ind w:right="440" w:firstLine="6"/>
        <w:spacing w:after="0" w:line="248" w:lineRule="auto"/>
        <w:tabs>
          <w:tab w:leader="none" w:pos="1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and a few Class I devices, must submit to the FDA a 510(k) premarket notification requesting clearance for commercial 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spacing w:after="0" w:line="21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spacing w:after="0" w:line="21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Devices deemed by the FDA to pose the greatest risk are placed in Class III. A PMA is required for most Class III devices. The PMA process is generally more detailed, lengthier and more expensive than the 510(k) and de novo processes. Prior to the acquisition of Cardiva in March 2021, we had not been required to obtain a PMA for any of our products and did not have any Class III products in our product pipeline. With the acquisition of Cardiva, we have acquired VASCADE and VASCADE MVP, which are both Class III products for which PMAs were previously obtained. The 510(k) clearance, de novo classification, and PMA processes can be resource intensive, expensive, lengthy and require payment of significant user fees.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Requirements - U.S.</w:t>
      </w:r>
    </w:p>
    <w:p>
      <w:pPr>
        <w:spacing w:after="0" w:line="24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After the FDA permits a device to enter commercial distribution, numerous regulatory requirements continue to apply. Generally, establishments that design and/or manufacture devices are required to register with the FDA. They also must provide the FDA with a list of the devices that they design and/or manufacture at their facilities. Other postmarket requirements include compliance with:</w:t>
      </w:r>
    </w:p>
    <w:p>
      <w:pPr>
        <w:spacing w:after="0" w:line="85" w:lineRule="exact"/>
        <w:rPr>
          <w:sz w:val="20"/>
          <w:szCs w:val="20"/>
          <w:color w:val="auto"/>
        </w:rPr>
      </w:pPr>
    </w:p>
    <w:p>
      <w:pPr>
        <w:ind w:left="1280" w:right="80" w:hanging="161"/>
        <w:spacing w:after="0" w:line="255"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System Regulation, or QSR, which sets forth current good manufacturing practice, or cGMP, requirements for medical devices. The QSR applies to manufacturers, including contract manufacturers, of finished medical devices, and governs methods, facilities, and controls used in designing, manufacturing, packaging, labeling, storing, installing and servicing such devices. Among other requirements, manufacturers of medical devices must establish a quality system appropriate for the devices they manufacture.</w:t>
      </w:r>
    </w:p>
    <w:p>
      <w:pPr>
        <w:spacing w:after="0" w:line="100" w:lineRule="exact"/>
        <w:rPr>
          <w:rFonts w:ascii="Times New Roman" w:cs="Times New Roman" w:eastAsia="Times New Roman" w:hAnsi="Times New Roman"/>
          <w:sz w:val="18"/>
          <w:szCs w:val="18"/>
          <w:color w:val="auto"/>
        </w:rPr>
      </w:pPr>
    </w:p>
    <w:p>
      <w:pPr>
        <w:ind w:left="1280" w:hanging="161"/>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including unique device identification;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60" w:hanging="161"/>
        <w:spacing w:after="0" w:line="259" w:lineRule="auto"/>
        <w:tabs>
          <w:tab w:leader="none" w:pos="1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98" w:lineRule="exact"/>
        <w:rPr>
          <w:rFonts w:ascii="Times New Roman" w:cs="Times New Roman" w:eastAsia="Times New Roman" w:hAnsi="Times New Roman"/>
          <w:sz w:val="18"/>
          <w:szCs w:val="18"/>
          <w:color w:val="auto"/>
        </w:rPr>
      </w:pPr>
    </w:p>
    <w:p>
      <w:pPr>
        <w:ind w:left="1280" w:hanging="161"/>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correction and removal (recall) regulations with their associated reporting obligations.</w:t>
      </w:r>
    </w:p>
    <w:p>
      <w:pPr>
        <w:spacing w:after="0" w:line="1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we and the manufacturing facilities of some of our suppliers are subject to unannounced inspections by the FDA to determine our compliance with the QSR and other applicable regulations described above. The FDA can issue Form 483 Notices of Observation, warning letters or untitled letters, seek a court order detaining or seizing certain devices, seek an injunction, suspend regulatory clearance or approvals, ban certain medical devices, order repair, replacement or refund of those devices and require notification of health professionals and others with regard to medical devices that present risks of substantial harm to the public health. The FDA may also initiate action for criminal prosecution of violations.</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 also may require post market testing, surveillance, or other measures to monitor the effects of an approved or cleared product. The FDA may place conditions on a PMA-approved device that could restrict the distribution or use of the product. In addition, quality control, manufacture, packaging, and labeling procedures must continue to conform to QSRs after approval and clearance, and manufacturers are subject to periodic inspections by the FDA. Accordingly, manufacturers must continue to expend time, money, and effort in the areas of production and quality control to maintain compliance with QSRs. The FDA may withdraw product approvals or recommend or require product recalls if a company fails to comply with regulatory requirements.</w:t>
      </w:r>
    </w:p>
    <w:p>
      <w:pPr>
        <w:spacing w:after="0" w:line="21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Advertising, marketing and promotional activities for devices are also subject to FDA oversight. The failure to comply with the requirements applicable to these activities can result in FDA enforcement action.</w:t>
      </w:r>
    </w:p>
    <w:p>
      <w:pPr>
        <w:spacing w:after="0" w:line="19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7"/>
          <w:szCs w:val="17"/>
          <w:color w:val="auto"/>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w:t>
      </w:r>
    </w:p>
    <w:p>
      <w:pPr>
        <w:spacing w:after="0" w:line="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The failure to comply with prohibitions on “off-label” promotion can result in significant monetary penalties,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23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 regulatory review process varies from country to country and may in some cases require the submission of clinical data. Our international sales are subject to regulatory requirements in the countries in which our products are sold. For example, the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medical device directives they replace. The EU MDR became fully applicable as of May 26, 2021, and the EU IVDR is fully applicable as of May 26, 2022. There is a transition period for devices with a notified body certificate with an expiry date after the date of full application. However, a new EU certificate under the applicable Regulations must be obtained before that expiry date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has and will continue to require us to incur significant expenditures. Failure to meet these requirements could adversely impact our business in the EU and other regions that tie their product registrations to the EU requirements. Regulatory requirements in other jurisdictions also continue to become more stringent, increasing regulatory requirements to register and maintain products in these markets.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Drug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Approval</w:t>
      </w:r>
    </w:p>
    <w:p>
      <w:pPr>
        <w:spacing w:after="0" w:line="24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Under the FDCA, FDA approval of a new drug application, or NDA, is generally required before any new drug can be marketed in the U.S. NDAs require extensive studies and submission of a large amount of data by the applicant.</w:t>
      </w:r>
    </w:p>
    <w:p>
      <w:pPr>
        <w:spacing w:after="0" w:line="190"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 generic version of an approved drug is approved by means of an abbreviated new drug application, or ANDA, by which the sponsor demonstrates that the proposed product is the same as the approved, brand-name drug, which is referred to as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spacing w:after="0" w:line="20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We currently hold NDAs and ANDAs for liquid solutions (including anticoagulants, intravenous saline and a red blood cell storage solution), which we sell with our blood component and whole blood collection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Regulations</w:t>
      </w:r>
    </w:p>
    <w:p>
      <w:pPr>
        <w:spacing w:after="0" w:line="24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After the FDA permits a drug to enter commercial distribution, numerous regulatory requirements continue to apply. These include the FDA's current cGMPs,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 promotion requirements and restrictions; regulations regarding conducting recalls of product; and requirements relating to the reporting of adverse events.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entering into agreements with the government that materially restrict the manner in which a company promotes or distributes drug or biological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Conflict Minerals</w:t>
      </w:r>
    </w:p>
    <w:p>
      <w:pPr>
        <w:spacing w:after="0" w:line="24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Fraud and Abuse Laws</w:t>
      </w:r>
    </w:p>
    <w:p>
      <w:pPr>
        <w:spacing w:after="0" w:line="2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2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21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8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In addition, the Physician Payment Sunshine Act, implemented as the Open Payments program, requires manufacturers of certain products reimbursed by Medicare, Medicaid, or the Children’s Health Insurance Program to track and report information to the federal government on certain payments or transfers of value that they make to physicians (defined to include doctors, dentists, optometrists, podiatrists and chiropractors) and teaching hospitals, as well as ownership and investment interests held by physicians and their immediate family members. Manufacturers are also required to collect information regarding payments and other transfers of value to physician assistants, nurse practitioners, clinical nurse specialists, anesthesiologist assistants, certified registered nurse anesthetists, and certified nurse-midwives for reporting. The reported data is made available in searchable form on a public website on an annual basis. Failure to submit required information may result in civil monetary penalties.</w:t>
      </w:r>
    </w:p>
    <w:p>
      <w:pPr>
        <w:spacing w:after="0" w:line="21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countries, including a number of EU Member States, have laws of similar application.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3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and emerging industry expectations that may present a significant risk to the business, including laws or regulations relating to the manufacture or sale of products using plastics and evolving customer expectations with respect to environmental stewardship.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48"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7"/>
          <w:szCs w:val="17"/>
          <w:color w:val="auto"/>
        </w:rPr>
        <w:t>Our employees are the foundation of our organization, each with their own talents, backgrounds and abilities. As of April 2, 2022, we employed the full-time equivalent of 2,821 persons. Approximately 78% of our employees are located in North America and the remaining 22% are located across 19 other countries.</w:t>
      </w:r>
    </w:p>
    <w:p>
      <w:pPr>
        <w:spacing w:after="0" w:line="16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our industry, there is substantial competition for key personnel in the regions in which we operate. Recruiting, developing and retaining talented employees is critical to both our strategy and our ability to compete effectively in the markets we serve. We are committed to building a collaborative, performance-driven culture that attracts and retains the best talent. We strive to do this by soliciting employee perspectives, investing in their development, promoting employee health and safety, providing competitive pay and benefits and recognizing that the diversity of our teams and their ideas helps build our culture and strengthens our ability to make our work matter for the customers, patients, donors and healthcare providers who depend on us. These efforts include:</w:t>
      </w:r>
    </w:p>
    <w:p>
      <w:pPr>
        <w:spacing w:after="0" w:line="193" w:lineRule="exact"/>
        <w:rPr>
          <w:sz w:val="20"/>
          <w:szCs w:val="20"/>
          <w:color w:val="auto"/>
        </w:rPr>
      </w:pPr>
    </w:p>
    <w:p>
      <w:pPr>
        <w:ind w:left="640" w:hanging="316"/>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Engagement</w:t>
      </w:r>
      <w:r>
        <w:rPr>
          <w:rFonts w:ascii="Times New Roman" w:cs="Times New Roman" w:eastAsia="Times New Roman" w:hAnsi="Times New Roman"/>
          <w:sz w:val="18"/>
          <w:szCs w:val="18"/>
          <w:color w:val="auto"/>
        </w:rPr>
        <w:t>. We conduct an annual employee engagement survey, with at least 90% global participation since fiscal 2018. Feedback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surveys is shared across the organization and informs both Company-sponsored initiatives and shared action plans between managers and direct reports.</w:t>
      </w:r>
    </w:p>
    <w:p>
      <w:pPr>
        <w:spacing w:after="0" w:line="199" w:lineRule="exact"/>
        <w:rPr>
          <w:rFonts w:ascii="Times New Roman" w:cs="Times New Roman" w:eastAsia="Times New Roman" w:hAnsi="Times New Roman"/>
          <w:sz w:val="18"/>
          <w:szCs w:val="18"/>
          <w:color w:val="auto"/>
        </w:rPr>
      </w:pPr>
    </w:p>
    <w:p>
      <w:pPr>
        <w:ind w:left="640" w:right="620" w:hanging="316"/>
        <w:spacing w:after="0" w:line="27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Development</w:t>
      </w:r>
      <w:r>
        <w:rPr>
          <w:rFonts w:ascii="Times New Roman" w:cs="Times New Roman" w:eastAsia="Times New Roman" w:hAnsi="Times New Roman"/>
          <w:sz w:val="18"/>
          <w:szCs w:val="18"/>
          <w:color w:val="auto"/>
        </w:rPr>
        <w:t>. We offer a variety of programs and resources designed to facilitate our employees’ career development,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networking, including:</w:t>
      </w:r>
    </w:p>
    <w:p>
      <w:pPr>
        <w:spacing w:after="0" w:line="188"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development sessions focused on leadership skills, such as performance management training, coaching and feedback;</w:t>
      </w:r>
    </w:p>
    <w:p>
      <w:pPr>
        <w:spacing w:after="0" w:line="243"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training for employees in functions that can best leverage and utilize process improvement practices;</w:t>
      </w:r>
    </w:p>
    <w:p>
      <w:pPr>
        <w:spacing w:after="0" w:line="243" w:lineRule="exact"/>
        <w:rPr>
          <w:rFonts w:ascii="Times New Roman" w:cs="Times New Roman" w:eastAsia="Times New Roman" w:hAnsi="Times New Roman"/>
          <w:sz w:val="18"/>
          <w:szCs w:val="18"/>
          <w:color w:val="auto"/>
        </w:rPr>
      </w:pPr>
    </w:p>
    <w:p>
      <w:pPr>
        <w:ind w:left="1280" w:right="100" w:hanging="320"/>
        <w:spacing w:after="0" w:line="274" w:lineRule="auto"/>
        <w:tabs>
          <w:tab w:leader="none" w:pos="12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learning management system and dynamic content libraries aimed to meet the individual needs of employees’ current roles as well as future goals and aspirations; and</w:t>
      </w:r>
    </w:p>
    <w:p>
      <w:pPr>
        <w:spacing w:after="0" w:line="189"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to support degree programs and certifications.</w:t>
      </w:r>
    </w:p>
    <w:p>
      <w:pPr>
        <w:spacing w:after="0" w:line="241" w:lineRule="exact"/>
        <w:rPr>
          <w:rFonts w:ascii="Times New Roman" w:cs="Times New Roman" w:eastAsia="Times New Roman" w:hAnsi="Times New Roman"/>
          <w:sz w:val="18"/>
          <w:szCs w:val="18"/>
          <w:color w:val="auto"/>
        </w:rPr>
      </w:pPr>
    </w:p>
    <w:p>
      <w:pPr>
        <w:ind w:left="640" w:right="200" w:hanging="316"/>
        <w:spacing w:after="0" w:line="25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Pay and Benefits</w:t>
      </w:r>
      <w:r>
        <w:rPr>
          <w:rFonts w:ascii="Times New Roman" w:cs="Times New Roman" w:eastAsia="Times New Roman" w:hAnsi="Times New Roman"/>
          <w:sz w:val="18"/>
          <w:szCs w:val="18"/>
          <w:color w:val="auto"/>
        </w:rPr>
        <w:t>. We offer market-competitive base pay and benefits to our employees around the world. Most of our employees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variable components to their compensation that are tied to achievement of corporate and individual performance goals, the fluctuations of our stock price, or a combination of both. We also offer an Employee Stock Purchase Plan to eligible employees, consistent with our philosophy that compensation should align the interests of employees and shareholders and promote a long-term shareholder perspective.</w:t>
      </w:r>
    </w:p>
    <w:p>
      <w:pPr>
        <w:spacing w:after="0" w:line="190" w:lineRule="exact"/>
        <w:rPr>
          <w:rFonts w:ascii="Times New Roman" w:cs="Times New Roman" w:eastAsia="Times New Roman" w:hAnsi="Times New Roman"/>
          <w:sz w:val="18"/>
          <w:szCs w:val="18"/>
          <w:color w:val="auto"/>
        </w:rPr>
      </w:pPr>
    </w:p>
    <w:p>
      <w:pPr>
        <w:ind w:left="640" w:right="40" w:hanging="316"/>
        <w:spacing w:after="0" w:line="23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Health and Safety</w:t>
      </w:r>
      <w:r>
        <w:rPr>
          <w:rFonts w:ascii="Times New Roman" w:cs="Times New Roman" w:eastAsia="Times New Roman" w:hAnsi="Times New Roman"/>
          <w:sz w:val="17"/>
          <w:szCs w:val="17"/>
          <w:color w:val="auto"/>
        </w:rPr>
        <w:t>. As a Company, we are also committed to making our workplaces safe and secure. This includes eliminating unsafe work practices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Our response to the COVID-19 pandemic has focused on business continuity and the safety of our employees. This includes prioritizing employee safety with remote work for employees in our administrative functions, implementing extensive cleaning and sanitation processes for all Haemonetics facilities, and instituting various safety protocols to limit exposure for our manufacturing and customer facing employees, including field service and sales teams, to ensure supplies and support for our customers. We have also instituted protocols to ensure compliance with vaccine mandates applicable to our employees. Beginning in March 2022, we executed plans to return employees to offices in jurisdictions where safe and feasible and introduced a new hybrid work model for administrative functions in the U.S. and certain other jurisdictions.</w:t>
      </w:r>
    </w:p>
    <w:p>
      <w:pPr>
        <w:spacing w:after="0" w:line="197" w:lineRule="exact"/>
        <w:rPr>
          <w:rFonts w:ascii="Times New Roman" w:cs="Times New Roman" w:eastAsia="Times New Roman" w:hAnsi="Times New Roman"/>
          <w:sz w:val="17"/>
          <w:szCs w:val="17"/>
          <w:color w:val="auto"/>
        </w:rPr>
      </w:pPr>
    </w:p>
    <w:p>
      <w:pPr>
        <w:ind w:left="640" w:right="80" w:hanging="316"/>
        <w:spacing w:after="0" w:line="229"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The diversity of our teams and their ideas helps build our collaborative, performance driven culture. We understand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that each individual brings to our workplace, and we are committed to providing an inclusive environment where every individual has the opportunity to thrive. Additionally, we encourage colleagues with shared interests and affinities to connect and learn from one another. For example, in 2020 we formed the Women’s Initiative Network under the sponsorship of executive leaders that meets regularly, provides development opportunities and participates in external networking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Reports and Other Information</w:t>
      </w:r>
    </w:p>
    <w:p>
      <w:pPr>
        <w:spacing w:after="0" w:line="24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All of our corporate governance materials, including the Principles of Corporate Governance, Code of Conduct and the charters of the Audit, Compensation, Governance and Compliance and Technology Committees are published on the Investor Relations section of our website at </w:t>
      </w:r>
      <w:r>
        <w:rPr>
          <w:rFonts w:ascii="Times New Roman" w:cs="Times New Roman" w:eastAsia="Times New Roman" w:hAnsi="Times New Roman"/>
          <w:sz w:val="18"/>
          <w:szCs w:val="18"/>
          <w:u w:val="single" w:color="auto"/>
          <w:color w:val="0000FF"/>
        </w:rPr>
        <w:t>www.haemonetics.com</w:t>
      </w:r>
      <w:r>
        <w:rPr>
          <w:rFonts w:ascii="Times New Roman" w:cs="Times New Roman" w:eastAsia="Times New Roman" w:hAnsi="Times New Roman"/>
          <w:sz w:val="18"/>
          <w:szCs w:val="18"/>
          <w:color w:val="auto"/>
        </w:rPr>
        <w:t>. On this website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 The SEC maintains an internet site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documents electronically.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90" w:lineRule="exact"/>
        <w:rPr>
          <w:sz w:val="20"/>
          <w:szCs w:val="20"/>
          <w:color w:val="auto"/>
        </w:rPr>
      </w:pPr>
    </w:p>
    <w:p>
      <w:pPr>
        <w:ind w:left="640" w:hanging="316"/>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or outbreaks of communicable diseases, on our business, financial conditions and results of operations, including the time it will take for vaccines to be broadly distributed and administered worldwide, and the effectiveness of such vaccines in slowing or stopping the spread of COVID-19 and its variants and mitigating the economic effects of the pandemic, including inflationary pressures and higher freight costs in our global supply chain;</w:t>
      </w:r>
    </w:p>
    <w:p>
      <w:pPr>
        <w:spacing w:after="0" w:line="20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our long-term strategic and financial-improvement goals;</w:t>
      </w:r>
    </w:p>
    <w:p>
      <w:pPr>
        <w:spacing w:after="0" w:line="243" w:lineRule="exact"/>
        <w:rPr>
          <w:rFonts w:ascii="Times New Roman" w:cs="Times New Roman" w:eastAsia="Times New Roman" w:hAnsi="Times New Roman"/>
          <w:sz w:val="18"/>
          <w:szCs w:val="18"/>
          <w:color w:val="auto"/>
        </w:rPr>
      </w:pPr>
    </w:p>
    <w:p>
      <w:pPr>
        <w:ind w:left="640" w:right="4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9"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89"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4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26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9" w:lineRule="exact"/>
        <w:rPr>
          <w:rFonts w:ascii="Times New Roman" w:cs="Times New Roman" w:eastAsia="Times New Roman" w:hAnsi="Times New Roman"/>
          <w:sz w:val="18"/>
          <w:szCs w:val="18"/>
          <w:color w:val="auto"/>
        </w:rPr>
      </w:pPr>
    </w:p>
    <w:p>
      <w:pPr>
        <w:ind w:left="640" w:right="120" w:hanging="316"/>
        <w:spacing w:after="0" w:line="304"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16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the anticipated benefits of restructuring programs that we have or may undertake, including the Operational Excellence Program;</w:t>
      </w:r>
    </w:p>
    <w:p>
      <w:pPr>
        <w:spacing w:after="0" w:line="241" w:lineRule="exact"/>
        <w:rPr>
          <w:rFonts w:ascii="Times New Roman" w:cs="Times New Roman" w:eastAsia="Times New Roman" w:hAnsi="Times New Roman"/>
          <w:sz w:val="17"/>
          <w:szCs w:val="17"/>
          <w:color w:val="auto"/>
        </w:rPr>
      </w:pPr>
    </w:p>
    <w:p>
      <w:pPr>
        <w:ind w:left="640" w:right="20" w:hanging="316"/>
        <w:spacing w:after="0" w:line="243"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divestitures or other strategic investments by the Company may not be realized or may take longer to realize than expected;</w:t>
      </w:r>
    </w:p>
    <w:p>
      <w:pPr>
        <w:spacing w:after="0" w:line="216"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impact of enhanced requirements to obtain regulatory approval in the U.S. and around the world and the associated timing and cost of product approval;</w:t>
      </w:r>
    </w:p>
    <w:p>
      <w:pPr>
        <w:spacing w:after="0" w:line="189"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FCPA, EU MDR/EU IVDR and similar laws in other jurisdictions, as well as U.S. and foreign export and import restrictions and tariffs;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Russia and other foreign jurisdictions where we do business;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 and</w:t>
      </w:r>
    </w:p>
    <w:p>
      <w:pPr>
        <w:spacing w:after="0" w:line="230"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share repurchase programs we may enter into from time to time, and the possibility that such share repurchase programs may be delayed, suspended or discontinued.</w:t>
      </w:r>
    </w:p>
    <w:p>
      <w:pPr>
        <w:spacing w:after="0" w:line="200" w:lineRule="exact"/>
        <w:rPr>
          <w:sz w:val="20"/>
          <w:szCs w:val="20"/>
          <w:color w:val="auto"/>
        </w:rPr>
      </w:pPr>
    </w:p>
    <w:p>
      <w:pPr>
        <w:spacing w:after="0" w:line="22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4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outbreak of communicable diseases could have, and the ongoing COVID-19 pandemic and its related effects are having, a material adverse impact on our business, financial condition, cash flows and results of operations, and we are unable to predict the extent to which COVID-19 and its related impacts will continue to adversely affect our Company and the achievement of our strategic objectives.</w:t>
      </w:r>
    </w:p>
    <w:p>
      <w:pPr>
        <w:spacing w:after="0" w:line="18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The COVID-19 outbreak has significantly impacted economic activity and markets around the world and is negatively impacting our business, financial condition, cash flows and results of operations in numerous ways, including, but not limited to, those outlined below. We are unable to predict the extent to which COVID-19 and its related impacts will continue to negatively affect our Company, including the time it will take for vaccines to be broadly distributed and administered worldwide, and the effectiveness of such vaccines in slowing or stopping the spread of COVID-19 and its variants and mitigating the economic effects of the pandemic:</w:t>
      </w:r>
    </w:p>
    <w:p>
      <w:pPr>
        <w:spacing w:after="0" w:line="177" w:lineRule="exact"/>
        <w:rPr>
          <w:sz w:val="20"/>
          <w:szCs w:val="20"/>
          <w:color w:val="auto"/>
        </w:rPr>
      </w:pPr>
    </w:p>
    <w:p>
      <w:pPr>
        <w:ind w:left="480" w:right="40" w:hanging="315"/>
        <w:spacing w:after="0" w:line="222"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Demand</w:t>
      </w:r>
      <w:r>
        <w:rPr>
          <w:rFonts w:ascii="Times New Roman" w:cs="Times New Roman" w:eastAsia="Times New Roman" w:hAnsi="Times New Roman"/>
          <w:sz w:val="18"/>
          <w:szCs w:val="18"/>
          <w:color w:val="auto"/>
        </w:rPr>
        <w:t>. As a result of COVID-19, we have experienced both decreased demand and increased volatility in demand for our products.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volumes at source plasma collection centers due to COVID-19 factors, including stay-at-home and other government orders designed to slow the spread of COVID-19, donor safety concerns, reduced donor collection capacity due to shutdowns and social distancing requirements, and government economic relief programs that may reduce the propensity of people to be donors, have adversely affected and will likely continue to adversely affect demand for our Plasma disposable products. While elective procedures and hospital capital purchases have increased from initially depressed levels earlier in the pandemic, demand for our Hospital products has been, and in the future may continue to be, negatively impacted by resurgences in COVID-19 and its variants that result in reductions in elective surgeries and trauma cases, restrictions on vendor access at customer sites and the reallocation of hospital resources to address critical intensive care needs. We also have experienced, and may continue to experience, in certain markets rapid and unpredictable changes in demand for some of our Blood Center disposable products both from reductions in donation volumes relating to resurgences in COVID-19 and its variants and as blood collectors seek to replenish their blood product inventories and safety stocks. Such changes could impact our ability to meet demand on a timely basis or could result in potential reductions in demand in future periods, including if safety stock levels in certain markets return to pre-COVID-19 levels or the supply of blood held by our customers significantly exceeds the demand for blood from hospitals due to declines of elective surgeries and trauma cases.</w:t>
      </w:r>
    </w:p>
    <w:p>
      <w:pPr>
        <w:spacing w:after="0" w:line="200" w:lineRule="exact"/>
        <w:rPr>
          <w:rFonts w:ascii="Times New Roman" w:cs="Times New Roman" w:eastAsia="Times New Roman" w:hAnsi="Times New Roman"/>
          <w:sz w:val="18"/>
          <w:szCs w:val="18"/>
          <w:color w:val="auto"/>
        </w:rPr>
      </w:pPr>
    </w:p>
    <w:p>
      <w:pPr>
        <w:ind w:left="480" w:hanging="315"/>
        <w:spacing w:after="0" w:line="241" w:lineRule="auto"/>
        <w:tabs>
          <w:tab w:leader="none" w:pos="4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Manufacturing, Supply Chain and Distribution System Disruption</w:t>
      </w:r>
      <w:r>
        <w:rPr>
          <w:rFonts w:ascii="Times New Roman" w:cs="Times New Roman" w:eastAsia="Times New Roman" w:hAnsi="Times New Roman"/>
          <w:sz w:val="17"/>
          <w:szCs w:val="17"/>
          <w:color w:val="auto"/>
        </w:rPr>
        <w:t>. COVID-19 and its associated economic disruptions could have an adverse impact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manufacturing capacity, supply chains and distribution systems, including impacts associated with preventive and precautionary measures that we, other businesses and governments are taking, such as the recent area-wide lockdowns implemented in China; labor shortages and other financial difficulties experienced by our third-party manufacturers and suppliers; and challenges to our global transportation channels and other aspects of our global supply chain network, including the cost and availability of raw materials and components due to shortages and resulting cost inflation. Although we have not experienced significant manufacturing or supply chain difficulties to date as a result of COVID-19, we may in the future. Delays or disruptions experienced by our suppliers and manufacturers caused by the COVID-19 pandemic and associated economic disruptions may prevent us from obtaining raw materials and component parts for our products in a timely manner. Additionally, China implemented area-wide lockdowns in early 2022 to control the spread of COVID-19, which have disrupted and may continue to disrupt our ability to distribute certain products in China. A protracted reduction or interruption in any of our manufacturing and distribution processes could have a material adverse effect on our business.</w:t>
      </w:r>
    </w:p>
    <w:p>
      <w:pPr>
        <w:spacing w:after="0" w:line="223" w:lineRule="exact"/>
        <w:rPr>
          <w:rFonts w:ascii="Times New Roman" w:cs="Times New Roman" w:eastAsia="Times New Roman" w:hAnsi="Times New Roman"/>
          <w:sz w:val="17"/>
          <w:szCs w:val="17"/>
          <w:color w:val="auto"/>
        </w:rPr>
      </w:pPr>
    </w:p>
    <w:p>
      <w:pPr>
        <w:ind w:left="480" w:right="180" w:hanging="315"/>
        <w:spacing w:after="0" w:line="256"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Liquidity and Credit Impacts</w:t>
      </w:r>
      <w:r>
        <w:rPr>
          <w:rFonts w:ascii="Times New Roman" w:cs="Times New Roman" w:eastAsia="Times New Roman" w:hAnsi="Times New Roman"/>
          <w:sz w:val="18"/>
          <w:szCs w:val="18"/>
          <w:color w:val="auto"/>
        </w:rPr>
        <w:t>. While we have significant sources of cash and liquidity and access to committed credit lines,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adversely impacted by delays in payments of outstanding receivables if our customers experience financial difficulties or are unable to borrow money to fund their operations, which may adversely impact their ability to pay for our products on a timely basis, if at all, which in turn would adversely affect our financial condition.</w:t>
      </w:r>
    </w:p>
    <w:p>
      <w:pPr>
        <w:spacing w:after="0" w:line="19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As these and other impacts of COVID-19 continue to adversely affect our Company, they may also have the effect of heightening many of the other risks described in the Risk Factors section of this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We believe the magnitude of the adverse impact of these factors on our business, financial condition, cash flows and results of operations in the future will be primarily driven by: the severity and duration of the COVID-19 pandemic (including the extent of future surges, variants and the efficacy of vaccinations); global vaccine distribution and acceptance; the timing, scope and effectiveness of governmental responses to the COVID-19 pandemic and associated economic disruptions; general confidence about personal health and safety; and the COVID-19 pandemic’s impact on U.S. and international healthcare systems, the U.S. economy and the worldwide economy.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4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8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 If we have not correctly identified the product categories with greatest growth potential, we will not allocate our resources appropriately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reductions in purchasing from or loss of a significant customer could adversely affect our business.</w:t>
      </w:r>
    </w:p>
    <w:p>
      <w:pPr>
        <w:spacing w:after="0" w:line="2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In fiscal 2022, our largest Plasma customer, CSL, accounted for more than 10% of our net revenues and our ten largest customers accounted for approximately 45% of our net revenues. In April 2021, CSL informed us of its intent not to renew its supply agreement for the use of PCS2 plasma collection system devices and the purchase of disposable plasmapheresis kits in the U.S. following the expiration of the current term, which was amended in fiscal 2022 to extend on a non-exclusive basis through December 2023. In addition to the anticipated financial impact of the expiration of the CSL supply agreement in December 2023, we could experience an adverse effect on our results of operations or financial condition if any of our other largest customers materially reduce their purchases from us or terminate their relationship with us for any reason, including material decreases in demand for plasma or development of alternative processes.</w:t>
      </w:r>
    </w:p>
    <w:p>
      <w:pPr>
        <w:spacing w:after="0" w:line="21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spacing w:after="0" w:line="18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healthcare industry generally are characterized by extensive research and development and rapid technological change.</w:t>
      </w:r>
    </w:p>
    <w:p>
      <w:pPr>
        <w:spacing w:after="0" w:line="2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successfully complete clinical trials, obtain regulatory approvals in the United States and abroad, manufacture products in a cost-effective manner, obtain appropriate intellectual 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quality issues associated with our products could adversely affect the results of operations.</w:t>
      </w:r>
    </w:p>
    <w:p>
      <w:pPr>
        <w:spacing w:after="0" w:line="2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199"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personnel needed to successfully operate the business and to plan for future executive transitions.</w:t>
      </w:r>
    </w:p>
    <w:p>
      <w:pPr>
        <w:spacing w:after="0" w:line="18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COVID-19 related health and safety protocols (including vaccine mandates) and industry economic conditions. In December 2019, we relocated our corporate headquarters to a leased office space in Boston, Massachusetts and in response to the COVID-19 pandemic, we instituted remote working practices for many of our employees. Although we believe our move to Boston and the steps we have taken to build a collaborative, performance driven culture and to maintain employee well-being during COVID-19 will help us to attract and retain key talent, we face intense competition for talent in our industry, particularly as employees are increasingly able to work remotely. Vaccine mandates applicable to our employees may also lead to employee attrition, challenges securing future labor needs, inefficiencies connected to employee turnover and costs associated with implementation and on-going compliance. If we fail to attract and retain key personnel in senior management and other positions, or if our succession planning efforts are not effective, it could have a material adverse effect on our business, financial condition and results of operations.</w:t>
      </w:r>
    </w:p>
    <w:p>
      <w:pPr>
        <w:spacing w:after="0" w:line="22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8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Although prior cyber incidents have not had a material effect on our business and we have invested and continue to invest in the protection of personal information and proprietary or confidential information, there can be no assurance that our efforts will prevent cyber-attacks,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 other adverse consequences, any of which could have a material adverse effect on our business, financial condition or results of operations.</w:t>
      </w:r>
    </w:p>
    <w:p>
      <w:pPr>
        <w:spacing w:after="0" w:line="23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the California Privacy Rights Act, effective January 1, 2023, and the EU’s General Data Protection Regulation, or GDPR. The GDPR imposes stringent EU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and several other U.S. states have introduced or proposed similar privacy laws. In addition, new information security and privacy laws have also come into effect in China and other countries where the Company conducts business.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outsource certain aspects of our business to a single third-party vendor that subjects us to risks, including disruptions in business and increased costs.</w:t>
      </w:r>
    </w:p>
    <w:p>
      <w:pPr>
        <w:spacing w:after="0" w:line="25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our vendor is unable to adequately protect our data or information is lost, if our ability to deliver our services is interrupted (including as a result of significant outbreaks of disease, including the ongoing COVID-19 pandemic, natural disasters, strikes, terrorism attacks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spacing w:after="0" w:line="203" w:lineRule="exact"/>
        <w:rPr>
          <w:sz w:val="20"/>
          <w:szCs w:val="20"/>
          <w:color w:val="auto"/>
        </w:rPr>
      </w:pPr>
    </w:p>
    <w:p>
      <w:pPr>
        <w:ind w:right="6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6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demand for whole blood disposable products in the U.S. continued to decrease in fiscal 2022 due to sustained declines in transfusion rates caused by hospitals' improved blood management techniques and protocols. In response to this trend, U.S. blood center collection groups prefer single source vendors for their whole blood collection products and are primarily focused on obtaining the lowest average selling prices.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20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influence of integrated delivery networks, group purchasing organizations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20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7"/>
          <w:szCs w:val="17"/>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8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manufacture our products, obtain key components or raw materials, or the failure of a sole source supplier or sterilization service provider may adversely affect our business.</w:t>
      </w:r>
    </w:p>
    <w:p>
      <w:pPr>
        <w:spacing w:after="0" w:line="18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We have a complex global supply chain that involves integrating key suppliers and our manufacturing capacity into a global movement of components and finished goods.</w:t>
      </w:r>
    </w:p>
    <w:p>
      <w:pPr>
        <w:spacing w:after="0" w:line="17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manufacture certain key disposables and devices at single locations with limited alternate facilities. If natural disasters, strikes, terrorism attacks or other adverse events occur that result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We also use certain components in our products, including semiconductor chips, that have been the subject of recent global supply chain shortages and disruptions. Any disruption to one or more of our suppliers’ production or delivery of sufficient volumes of components conforming to our specifications, including as a result of disruptions caused by the COVID-19 pandemic (as described above) or otherwise,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spacing w:after="0" w:line="2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Some of our products require sterilization prior to sale or distribution, and we utilize third-party facilities for this process. If an event occurs that results in damage to or closure, whether temporarily or permanent, of one or more of these facilities, we may be unable to manufacture or sterilize the relevant products at prior levels or at all, and a third party may not be available on a timely basis (if at all) to replace sterilization capacity.</w:t>
      </w:r>
    </w:p>
    <w:p>
      <w:pPr>
        <w:spacing w:after="0" w:line="20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addition, we manufacture our vascular closure devices under a shelter plan service agreement with Offshore International Incorporated (d/b/a Tetakawi), or Tetakawi, pursuant to which we lease our manufacturing facility in Guaymas, Mexico and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 ability to manufacture our vascular closure devices and maintain sufficient quality standards, which would negatively impact our business and results of operations.</w:t>
      </w:r>
    </w:p>
    <w:p>
      <w:pPr>
        <w:spacing w:after="0" w:line="183"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8"/>
          <w:szCs w:val="18"/>
          <w:color w:val="auto"/>
        </w:rPr>
        <w:t>Due to the high standards and stringent requirements of the FDA and other similar non-U.S. regulatory agencies applicable to manufacturing our products, such as the FDA's QSR and cGMP regulations, we also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202"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Plastics and other petroleum-based products are the principal components of our disposables, which are the main source of our revenues. Changes in the cost, composition or availability of the plastics and resins we purchase, or cost volatility associated with other raw materials and components used in our products, could adversely affect our business, financial condition and results of operations.</w:t>
      </w:r>
    </w:p>
    <w:p>
      <w:pPr>
        <w:spacing w:after="0" w:line="20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We face risks related to price, composition and availability of the plastic raw materials used in our business. Material or sustained increases in the price of petroleum or petroleum derivatives could have an adverse impact on the costs to procure plastic raw materials. Our results of operations could be negatively impacted by volatility in the cost of these and other raw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materials and components used in our products, including associated freight and energy costs that, in turn, increase the costs of producing and distributing our products. Recently, we have experienced inflationary pressures that have increased significantly the cost of raw materials, transportation, construction, services, and energy necessary for the production and distribution of our products, which we expect will continue throughout fiscal 2023. While we have implemented cost containment measures, selective price increases and taken other actions to offset these inflationary pressures in our global supply chain, we may not be able to completely offset all the increases in our operational costs. Additionally, climate change (including laws or regulations passed in response thereto) could increase our costs, in particular our costs of supply, energy and transportation/freight.</w:t>
      </w:r>
    </w:p>
    <w:p>
      <w:pPr>
        <w:spacing w:after="0" w:line="210"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8"/>
          <w:szCs w:val="18"/>
          <w:color w:val="auto"/>
        </w:rPr>
        <w:t>The composition of the plastic we purchase is also important. Today, we purchase plastics that contain phthalates, which are used to make plastic malleable. Due to regulatory changes and evolving customer expectations, we may be required to remove materials such as phthalates from our devices, find alternative materials which then need to be validated or obtain regulatory approvals from the regulatory authorities for a number of products.</w:t>
      </w:r>
    </w:p>
    <w:p>
      <w:pPr>
        <w:spacing w:after="0" w:line="2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we have not experienced significant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we expect from our Operational Excellence Program.</w:t>
      </w:r>
    </w:p>
    <w:p>
      <w:pPr>
        <w:spacing w:after="0" w:line="23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July 2019, our Board of Directors approved a new Operational Excellence Program, also referred to in this report as the 2020 Program, and delegated authority to management to determine the detail of the initiatives that will comprise the program. During the first quarter of fiscal 2022, the Company revised the program to improve product and service quality, reduce cost principally in our manufacturing and supply chain operations and ensure sustainability while helping to offset impacts from the expiration of CSL’s U.S. Supply Agreement in December 2023, rising inflationary pressures and effects of the COVID-19 pandemic. While cost savings from the 2020 Program to date have been consistent with our expectations, it is possible that events and circumstances, such as the aforementioned customer loss, labor shortages, sustained inflationary pressures and other financial or strategic difficulties, delays and unexpected costs, including as a direct or indirect result of the COVID-19 pandemic, could result in our not realizing all of the anticipated benefits or our not realizing the anticipated benefits on our expected timetable. Our inability to realize all of the anticipated benefits from the 2020 Program could have a material adverse effect on our business, results of operations, cash flows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business development activities are unsuccessful, we may not realize the intended benefits.</w:t>
      </w:r>
    </w:p>
    <w:p>
      <w:pPr>
        <w:spacing w:after="0" w:line="23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We have sought and in the future may seek to supplement our organic growth through strategic acquisitions, investments and alliances. We have also sought and in the future may seek to divest certain assets deemed non-core to our long-term strategic objectives. Such transactions are inherently risky and require significant effort and management attention. The success of any acquisition, investment or alliance, or of any divesture, may be affected by a number of factors, including our ability to properly assess and value the potential business opportunity or to successfully integrate any business we may acquire into our existing business.</w:t>
      </w:r>
    </w:p>
    <w:p>
      <w:pPr>
        <w:spacing w:after="0" w:line="21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For example, we anticipate that a material factor in achieving the anticipated benefits of our March 2021 acquisition of Cardiva will be our ability to effectively integrate and profitably market and sell the vascular closure devices acquired from Cardiva. Also as a result of the Cardiva acquisition, we have entered into a new line of business. Unlike our other products, the VASCADE and VASCADE MVP vascular closure devices are designated as Class III medical devices, which are subject to additional and complex regulatory requirements. Complying with these regulations will be costly, time-consuming and complex. Furthermore, any new business line and/or new product or service could have an adverse impact on the effectiveness of our system of internal controls.</w:t>
      </w:r>
    </w:p>
    <w:p>
      <w:pPr>
        <w:spacing w:after="0" w:line="210"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w:t>
      </w:r>
    </w:p>
    <w:p>
      <w:pPr>
        <w:spacing w:after="0" w:line="20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or on new growth opportunities funded in whole or part by divestitures, will not be realized or will not be realized within the expected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42"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 medical device and drug manufacturer, we operate in a highly regulated industry, and non-compliance with applicable laws or regulations could adversely affect our financial condition and results of operations.</w:t>
      </w:r>
    </w:p>
    <w:p>
      <w:pPr>
        <w:spacing w:after="0" w:line="18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and approval, manufacture, marketing, labeling, post-market surveillance, reporting, and imports and exports. Before a new medical device, or a new use of an existing product can be marketed in the United States, it must first receive either premarket clearance under Section 510(k) of the U.S. Federal Food, Drug, and Cosmetic Act, or FDCA, a grant of a request for de novo classification or a Premarket Approval, or PMA, from the FDA, unless an exemption applies. The process of obtaining regulatory clearances or approvals to market a medical device can be costly and time-consuming, and we may not be able to obtain these clearances or approvals on a timely basis, if at all.</w:t>
      </w:r>
    </w:p>
    <w:p>
      <w:pPr>
        <w:spacing w:after="0" w:line="2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Many of our currently commercialized products have received 510(k) clearance. In the future, the FDA may determine that our products will require more costly, lengthy and uncertain de novo or PMA processes. Modifications to Class III devices, like the Vascular Closure products we acquired from Cardiva in March 2021,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addition, even if we do obtain clearance or approval, the FDA may not approve or clear these products for the indications that we requested. Any delay in, or failure to receive or maintain, clearances or approvals for our products under development could prevent us from generating revenue from these products.</w:t>
      </w:r>
    </w:p>
    <w:p>
      <w:pPr>
        <w:spacing w:after="0" w:line="21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the imposition of fines, administrative actions like untitled or warning letters, and other penalties or sanctions.</w:t>
      </w:r>
    </w:p>
    <w:p>
      <w:pPr>
        <w:spacing w:after="0" w:line="19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Our products are also subject to approval and regulation by foreign regulatory and safety agencies. For example, the EU has adopted the EU Medical Device Regulation, or EU MDR, and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The EU MDR became fully applicable as of May 26, 2021 and the EU IVDR is fully applicable as of May 26, 2022. There is a transition period for devices with a notified body certificate with an expiry date after the date of full application, provided that there are no significant changes to the design or intended use. However, a new EU certificate under the applicable regulations must be obtained before that expiry date if there is to be no interruption in manufacturing and supply of devices to the market. Complying with the requirements of these regulations may require us to incur significant expenditures. Similarly, the separation of states from participation in the EU, such as through the cessation of the UK's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Failure to meet these requirements could adversely impact our business in the EU and other applicable regions.</w:t>
      </w:r>
    </w:p>
    <w:p>
      <w:pPr>
        <w:spacing w:after="0" w:line="23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laws and regulations governing the manufacture and production of our products, our products could be subject to restrictions or withdrawal from the market.</w:t>
      </w:r>
    </w:p>
    <w:p>
      <w:pPr>
        <w:spacing w:after="0" w:line="17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 (both routine and unannounced) by the FDA and other domestic and foreign regulatory bodies. In particular, we and our third-party suppliers must comply with the FDA's QSR or cGMP requirements (depending on the products at issue), which address, among other things, the methods of documentation of the design, testing, production, control, quality assurance, labeling, packaging, sterilization, storage and shipping of our products.</w:t>
      </w:r>
    </w:p>
    <w:p>
      <w:pPr>
        <w:spacing w:after="0" w:line="219"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Any future failure by us or one of our suppliers to comply with applicable statutes and regulations administered by the FDA or other regulatory authority could result in administrative actions, field actions, or civil or criminal enforcement actions.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spacing w:after="0" w:line="2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The enactment of additional environmental laws in the future may increase our compliance costs or otherwise adversely impact our operations.</w:t>
      </w:r>
    </w:p>
    <w:p>
      <w:pPr>
        <w:spacing w:after="0" w:line="208" w:lineRule="exact"/>
        <w:rPr>
          <w:sz w:val="20"/>
          <w:szCs w:val="20"/>
          <w:color w:val="auto"/>
        </w:rPr>
      </w:pPr>
    </w:p>
    <w:p>
      <w:pPr>
        <w:ind w:right="9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products cause or contribute to a death or serious injury, or malfunction in certain ways, we will be subject to medical device reporting requirements.</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spacing w:after="0" w:line="2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Class III medical devices are those that pose the highest risk to patients. As a result of the acquisition of our Vascular Closure products from Cardiva in March 2021, we may receive a greater number of complaints requiring investigation and potentially need to file a greater number of medical device reports with FDA, which may require additional time and resources.</w:t>
      </w:r>
    </w:p>
    <w:p>
      <w:pPr>
        <w:spacing w:after="0" w:line="2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201"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1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Changes in tax laws and regulations, or their interpretation and application, in the jurisdictions where we are subject to tax could materially impact our effective tax rate. For example, the U.S. Congress has recently been debating changes to U.S. corporate income tax laws, including provisions that may alter the U.S. taxation of the profits of foreign subsidiary corporations. If ultimately enacted, these changes could have a material impact on our future effective tax rate.</w:t>
      </w:r>
    </w:p>
    <w:p>
      <w:pPr>
        <w:spacing w:after="0" w:line="209"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Additionally, the U.S. Congress, government agencies in non-U.S. jurisdictions where we and our affiliates do business and the Organization for Economic Co-operation and Development, or OECD, have recently focused on issues related to the taxation of multinational corporations. The OECD has released its comprehensive plan to create an agreed set of international rules for fighting base erosion and profit shifting. In addition, the OECD, the European Commission and individual countries are examining changes to how taxing rights should be allocated among countries in light of the digital economy. As a result, the tax laws in the U.S. and other countries in which we and our affiliates do business could change on a prospective or retroactive basis and any such changes could materially adversely affect our business, results of operations or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Obligations and Indebtedness</w:t>
      </w:r>
    </w:p>
    <w:p>
      <w:pPr>
        <w:spacing w:after="0" w:line="24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that may decrease our business flexibility, access to capital, and/or increase our borrowing costs, and we may still incur additional debt in the future, which may adversely affect our operations and financial results.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April 2, 2022, we had $500 million aggregate principal amount of indebtedness under our convertible senior notes due 2026 (the “2026 Notes”) as well as a $350.0 million term loan (the “Term Loan”) and access to a $350.0 million revolving loan (the “Revolving Credit Facility” and together with the Term Loan, the “Credit Facilities”). As of April 2, 2022, we had $284.4 million of debt outstanding under the Term Loan and no borrowings were outstanding under the Revolving Credit Facility.</w:t>
      </w:r>
    </w:p>
    <w:p>
      <w:pPr>
        <w:spacing w:after="0" w:line="19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Credit Facilities contain financial covenants that require us to maintain specified financial ratios that may limit our ability to borrow additional funds and that require us to make interest and principal payments. As of April 2, 2022, we were in compliance with the covenants pursuant to our Credit Facilities, and we currently forecast that we will be in compliance with our Credit Facility covenants through the period ending April 1, 2023. Additionally, our Credit Facilities mature on June 15, 2023 and the Company will be required to pay the scheduled remaining balance of the Term Loan over the four calendar quarters preceding the expiration of the Credit Facilities in payments of $70.0 million per quarter commencing September 30, 2022, along with any amounts outstanding under the Revolving Credit Facility as of the maturity 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24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Under certain circumstances, the noteholders may convert their 2026 Notes at their option prior to the scheduled maturities. If one or more noteholders elect to convert their 2026 Notes, we would be required to settle a portion or all of our conversion obligation through the payment of cash, which could adversely affect our liquidity. In addition, holders of our 2026 Notes will have the right to require us to repurchase their 2026 Notes upon the occurrence of a fundamental change (as defined in the indenture, dated as of March 5, 2021, between U.S. Bank National Association, as trustee (the “Trustee”) and us (the “Indenture”)), at a repurchase price equal to the principal amount of the 2026 Notes to be repurchased, plus accrued and unpaid special interest, if any, to but not including, the fundamental change repurchase date. We may not have enough available cash or be able to obtain financing at the time we are required to repurchase the 2026 Notes or pay the cash amounts due upon conversion. In addition, applicable law, regulatory authorities and the agreements governing our other indebtedness may restrict our ability to repurchase the 2026 Notes or pay the cash amounts due upon conversion. Our failure to repurchase the 2026 Notes or to pay the cash amounts due upon conversion when required will constitute a default under the Indenture. A default under the Indenture or the fundamental change itself could also lead to a default under agreements governing our other indebtedness, including our Credit Facilities, which may result in that other indebtedness becoming immediately payable in full. We may not have sufficient funds to satisfy all amounts due under the other indebtedness and the Notes.</w:t>
      </w:r>
    </w:p>
    <w:p>
      <w:pPr>
        <w:spacing w:after="0" w:line="21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2026 Notes issuance,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2026 Notes and/or offset any potential cash payments we are required to make in excess of the principal amount of converted Notes, as the case may be, with such reduction and/or offset subject to a cap.</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This activity could also cause or avoid an increase or a decrease in the market price of our common stock or the 2026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4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spacing w:after="0" w:line="2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provisions in the 2026 Notes and the Indenture could make a third party attempt to acquire us more difficult or expensive. For example, if a takeover constitutes a fundamental change, then noteholders will have the right to require us to repurchase their 2026 Notes for cash. In addition, if a takeover constitutes a make-whole fundamental change, then we may be required to temporarily increase the conversion rate. In either case, and in other cases, our obligations under the 2026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2026 Notes may dilute the ownership interest of existing stockholders.</w:t>
      </w:r>
    </w:p>
    <w:p>
      <w:pPr>
        <w:spacing w:after="0" w:line="24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to the extent we deliver shares of our common stock upon conversion of any of the 2026 Notes. Any sales in the public market of the common stock issuable upon such conversion could adversely affect our common stock’s prevailing market prices. In addition, the existence of the 2026 Notes may encourage short selling by market participants because the conversion of the 2026 Notes could be used to satisfy short positions, or anticipated conversion of the 2026 Notes into shares of our common stock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Internationally</w:t>
      </w:r>
    </w:p>
    <w:p>
      <w:pPr>
        <w:spacing w:after="0" w:line="242" w:lineRule="exact"/>
        <w:rPr>
          <w:sz w:val="20"/>
          <w:szCs w:val="20"/>
          <w:color w:val="auto"/>
        </w:rPr>
      </w:pPr>
    </w:p>
    <w:p>
      <w:pPr>
        <w:jc w:val="both"/>
        <w:ind w:right="7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187"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We do business in over 90 countries and have distributors in approximately 80 of these countries. This exposes us to currency fluctuation, geopolitical risk, economic volatility, anti-corruption laws, export and import restrictions, local regulatory authorities and the laws and medical practices in foreign jurisdictions.</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U.S. legislation aimed at boosting competitiveness of U.S. businesses may have unintended effects on our business. Tariffs and other protectionist measures directed at China and other markets, as well as prolonged uncertainty regarding such measures as administrations change, may have adverse effects on our ability to source, manufacture and distribute products, or receive payments, in a timely and cost effective manner, thereby adversely affecting our business. Additionally, the military conflict between Russia and Ukraine has resulted in the implementation of sanctions by the U.S.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cyber-attacks, supply chain challenges and adverse effects on currency exchange rates and financial markets. We are continuing to monitor the situation in Ukraine and globally as well as assess its potential impact on our business. Although our business in Russia accounted for only about 2% of fiscal 2022 net revenue, a significant escalation or further expansion of the conflict's current scope or related disruptions to the global markets could have a material adverse effect on our results of operations.</w:t>
      </w:r>
    </w:p>
    <w:p>
      <w:pPr>
        <w:spacing w:after="0" w:line="22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21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8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7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geopolitical events or funding capacity. Our ability to sell products in these economies is dependent upon, among other factors,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also exposed to a higher degree of financial risk if we extend credit to customers in these economies.</w:t>
      </w:r>
    </w:p>
    <w:p>
      <w:pPr>
        <w:spacing w:after="0" w:line="207"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8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adversely affect our cash flows and results of operations.</w:t>
      </w:r>
    </w:p>
    <w:p>
      <w:pPr>
        <w:spacing w:after="0" w:line="24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International revenues and expenses account for a substantial portion of our operations. In fiscal 2022, our international revenues accounted for 35.6%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4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or Malaysia, could adversely affect our tax rate due to favorable tax rulings in these jurisdictions.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Litigation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intellectual property may be subject to misappropriation in some countries.</w:t>
      </w:r>
    </w:p>
    <w:p>
      <w:pPr>
        <w:spacing w:after="0" w:line="2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countries, particularly China and Russia, do not enforce compliance with laws that protect intellectual property rights with the same degree of vigor as is available under the U.S.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intellectual property litigation could be costly and disruptive to us.</w:t>
      </w:r>
    </w:p>
    <w:p>
      <w:pPr>
        <w:spacing w:after="0" w:line="24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200"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spacing w:after="0" w:line="17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order to guard against the risk of infringement of intellectual property rights held by third parties we conduct freedom to operate studies through qualified counsel on all newly developed or acquired technologies. While we believe this practice is reasonable and adequate, there is risk that third party patents or trademarks were not identified in such studies or that litigation outcomes regarding infringement or validity may be contrary to our understanding of the facts or the established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susceptible to significant product liability claims. Pending and future product liability claims and other litigation may adversely affect our financial condition and results of operations or liquidity, and they also have the potential to damage our reputation, impair our ability to market our products and impact our ability to maintain applicable insurance coverage on reasonable terms or at all.</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we may be subject to claims against us even if the apparent injury is due to the actions of others or the pre-existing health of the patient. For example, we rely on physicians and healthcare providers to properly and correctly use our products on patients. If these physicians or healthcare providers are not properly trained, are negligent in using our products or use our products “off-label,” the capabilities of our products may be diminished or the patient may suffer critical injury. We cannot prevent a physician from using our products for off-label applications. In addition, we cannot guarantee that physicians are trained by us or their peers prior to utilizing our products. Complications resulting from the use of our products off-label or use by physicians who have not been trained appropriately, or at all, may expose us to product liability claims and harm our reputation. Any such complications or adverse safety outcomes following use of VASCADE or VASCADE MVP may result in higher payments to our customers under a Performance Guarantee program applicable to those products, which would harm our business and results of operations. In addition, product liability claims may be asserted against us in the future based on events we are not aware of at the present time.</w:t>
      </w:r>
    </w:p>
    <w:p>
      <w:pPr>
        <w:spacing w:after="0" w:line="203"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If we cannot successfully defend ourselves against pending or future product liability claims and other litigation (including class actions and stockholder derivative actions), we may incur substantial liabilities or be required to limit or halt commercialization of our products. Even successful defenses require significant financial and management resources. Regardless of the merits or eventual outcome, such litigation could have a material adverse effect on our financial condition, results of operations or liquidity and further could damage our reputation and, therefore, impair our ability to market our products and make applicable insurance coverage more costly or difficult to obtain. While we believe that our current product liability insurance coverage is sufficient, there is no assurance that such coverage will be adequate to cover incurred liabilities or that we will be able to obtain acceptable product and professional liability coverage in the future. Additionally, we do not maintain third-party insurance coverage for all categories of potential liability, which increases our exposure to unanticipated claims and adverse decisions and these losses could have a material adverse effect on our financial condition, results of operations or liquidity.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fluctuate, and accordingly, the value of an investment in our common stock may also fluctuate.</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sell their shares at attractive prices.</w:t>
      </w:r>
    </w:p>
    <w:p>
      <w:pPr>
        <w:spacing w:after="0" w:line="208"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programs could affect the price of our common stock and increase volatility and may be suspended or terminated at any time, which may result in a decrease in the trading price of our common stock.</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may in the future request that the Board of Directors authorize one or more share repurchase programs. Under such share repurchase programs, we are generally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Such share repurchase programs may be suspended, modified or discontinued at any time and we have no obligation to repurchase any amount of our common stock under the programs. Repurchases pursuant to a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would enhance shareholder value because the market price of our common stock may decline below the levels 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which we repurchased our common stock. Although our share repurchase programs are intended to enhance long-term shareholder value, short-term stock price fluctuations could reduce a program’s effectiveness.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Our global headquarters is located in Boston, Massachusetts. During fiscal 2020, we sold our principal office in Braintree, Massachusetts and completed our relocation to a 62,000 square foot leased office space in Boston, Massachusetts.</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April 2, 2022, our principal manufacturing centers were located in Pennsylvania and California within the U.S., as well as internationally in Mexico and Malaysia. Our products are distributed worldwide from primary distributor centers in Tennessee, Utah and Switzerland, as well as smaller locations globally. We believe all of these facilities are well-maintained and suitable for the operations conducted in them. These facilities produce and manufacture products for more than one of our business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facilities as of April 2, 2022 (in approximate square feet):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40" w:type="dxa"/>
            <w:vAlign w:val="bottom"/>
            <w:shd w:val="clear" w:color="auto" w:fill="CCEEFF"/>
          </w:tcPr>
          <w:p>
            <w:pPr>
              <w:spacing w:after="0"/>
              <w:rPr>
                <w:sz w:val="17"/>
                <w:szCs w:val="17"/>
                <w:color w:val="auto"/>
              </w:rPr>
            </w:pP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10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rPr>
              <w:t>165,385</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725,666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891,051</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135,000</w:t>
            </w:r>
          </w:p>
        </w:tc>
        <w:tc>
          <w:tcPr>
            <w:tcW w:w="124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768,749</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903,749</w:t>
            </w:r>
          </w:p>
        </w:tc>
      </w:tr>
      <w:tr>
        <w:trPr>
          <w:trHeight w:val="218"/>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rPr>
              <w:t>300,385</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1,494,415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1,794,800</w:t>
            </w:r>
          </w:p>
        </w:tc>
      </w:tr>
      <w:tr>
        <w:trPr>
          <w:trHeight w:val="20"/>
        </w:trPr>
        <w:tc>
          <w:tcPr>
            <w:tcW w:w="47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16,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to the Consolidated Financial Statements in Item 8 of this Annual Report on Form 10-K, which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3"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Information</w:t>
      </w:r>
    </w:p>
    <w:p>
      <w:pPr>
        <w:spacing w:after="0" w:line="248"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Our common stock is quoted on the New York Stock Exchange under the symbol “HAE”. As of April 2, 2022, we had 108 stockholders of record. We have not historically paid cash dividends.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Issuer Purchases of Equity Securities</w:t>
      </w:r>
    </w:p>
    <w:p>
      <w:pPr>
        <w:spacing w:after="0" w:line="24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In May 2019, our Board of Directors authorized the repurchase of up to $500 million of Haemonetics common shares over the two year period ending May 2021. During fiscal 2022, we did not make any additional repurchases under this program, which expired in May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4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and the “Company” mean Haemonetics.</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Transfusion Management and Cell Salvage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12" w:lineRule="exact"/>
        <w:rPr>
          <w:sz w:val="20"/>
          <w:szCs w:val="20"/>
          <w:color w:val="auto"/>
        </w:rPr>
      </w:pPr>
    </w:p>
    <w:p>
      <w:pPr>
        <w:jc w:val="both"/>
        <w:ind w:right="440"/>
        <w:spacing w:after="0" w:line="304"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During the first quarter of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years ended April 2, 2022, April 3, 2021 and March 28, 2020, the Company incurred $28.7 million, $15.1 million and $11.9 million, respectively, of restructuring and restructuring related costs under this program. Total cumulative charges under this program are $55.7 million as of April 2,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continue to closely manage the impacts of the COVID-19 pandemic on our business, results of operations and financial condition. The continuation of the COVID-19 pandemic during fiscal 2022 has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2"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1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and Risk Factors contained in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 Market</w:t>
      </w:r>
    </w:p>
    <w:p>
      <w:pPr>
        <w:spacing w:after="0" w:line="24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90"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204" w:lineRule="exact"/>
        <w:rPr>
          <w:sz w:val="20"/>
          <w:szCs w:val="20"/>
          <w:color w:val="auto"/>
        </w:rPr>
      </w:pPr>
    </w:p>
    <w:p>
      <w:pPr>
        <w:ind w:left="640" w:right="200" w:hanging="634"/>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companies are seeking more yield from the collected plasma to meet growing demand for biopharmaceuticals without requiring an equivalent increase in plasma supply.</w:t>
      </w:r>
    </w:p>
    <w:p>
      <w:pPr>
        <w:spacing w:after="0" w:line="189" w:lineRule="exact"/>
        <w:rPr>
          <w:rFonts w:ascii="Times New Roman" w:cs="Times New Roman" w:eastAsia="Times New Roman" w:hAnsi="Times New Roman"/>
          <w:sz w:val="18"/>
          <w:szCs w:val="18"/>
          <w:color w:val="auto"/>
        </w:rPr>
      </w:pPr>
    </w:p>
    <w:p>
      <w:pPr>
        <w:ind w:left="640" w:right="460" w:hanging="634"/>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approved indications for auto-immune diseases treated with plasma-derived therapies, the growing understanding and diagnosis of these diseases, longer lifespans and a growing aging patient population increase the demand for plasma.</w:t>
      </w:r>
    </w:p>
    <w:p>
      <w:pPr>
        <w:spacing w:after="0" w:line="189"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expansion of biopharmaceuticals also increases demand for plasma.</w:t>
      </w:r>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fiscal 2022 the COVID-19 pandemic significantly reduced the number of source plasma collections in the U.S., which materially reduced the demand for plasma products. We continue to view the impacts of the pandemic on plasma collection as temporary and remain confident in the strength of the plasma end market growth as the long-term global demand for plasma-derived pharmaceuticals is expected to continue. Because plasma collected in the U.S. supplies the vast majority of plasma volume demand worldwide, we anticipate continued growth in North America in future periods as collection volumes benefit from an expanding end user market for plasma-derived biopharmaceuticals.</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Despite the overall growth in the market, the number of biopharmaceutical companies that collect and fractionate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over 70% of the world's source plasma is collected and only a few customers provide the majority of our Plasma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 Market</w:t>
      </w:r>
    </w:p>
    <w:p>
      <w:pPr>
        <w:spacing w:after="0" w:line="24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In the Blood Center market, we sell automated blood component and manual whole blood collection systems. While we sell products around the world, a significant portion of our sales are to a limited number of customers due to relatively limited number of blood collectors.</w:t>
      </w:r>
    </w:p>
    <w:p>
      <w:pPr>
        <w:spacing w:after="0" w:line="19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Within the Blood Center market, we have seen three trends that have negatively impacted growth of the overall marketplace despite the overall increase in aging populations. Overall, we continue to expect a decline in this business in the low to mid single-digits.</w:t>
      </w:r>
    </w:p>
    <w:p>
      <w:pPr>
        <w:spacing w:after="0" w:line="190" w:lineRule="exact"/>
        <w:rPr>
          <w:sz w:val="20"/>
          <w:szCs w:val="20"/>
          <w:color w:val="auto"/>
        </w:rPr>
      </w:pPr>
    </w:p>
    <w:p>
      <w:pPr>
        <w:ind w:left="640" w:right="280" w:hanging="634"/>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transfusion rates in mature markets due to the development of more minimally invasive procedures with lower associated blood loss, as well as better blood management.</w:t>
      </w:r>
    </w:p>
    <w:p>
      <w:pPr>
        <w:spacing w:after="0" w:line="189" w:lineRule="exact"/>
        <w:rPr>
          <w:rFonts w:ascii="Times New Roman" w:cs="Times New Roman" w:eastAsia="Times New Roman" w:hAnsi="Times New Roman"/>
          <w:sz w:val="18"/>
          <w:szCs w:val="18"/>
          <w:color w:val="auto"/>
        </w:rPr>
      </w:pPr>
    </w:p>
    <w:p>
      <w:pPr>
        <w:ind w:left="640" w:right="180" w:hanging="634"/>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90" w:lineRule="exact"/>
        <w:rPr>
          <w:sz w:val="20"/>
          <w:szCs w:val="20"/>
          <w:color w:val="auto"/>
        </w:rPr>
      </w:pPr>
    </w:p>
    <w:p>
      <w:pPr>
        <w:ind w:left="640" w:right="120" w:hanging="634"/>
        <w:spacing w:after="0" w:line="274"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through group purchasing organizations has intensified pricing competition particularly in the manual whole blood collection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Markets</w:t>
      </w:r>
    </w:p>
    <w:p>
      <w:pPr>
        <w:spacing w:after="0" w:line="2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Hemostasis Management Market - </w:t>
      </w:r>
      <w:r>
        <w:rPr>
          <w:rFonts w:ascii="Times New Roman" w:cs="Times New Roman" w:eastAsia="Times New Roman" w:hAnsi="Times New Roman"/>
          <w:sz w:val="18"/>
          <w:szCs w:val="18"/>
          <w:color w:val="auto"/>
        </w:rPr>
        <w:t>The use of routine coagulation testing is well established throughout the world in various medical procedures,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cardiovascular surgery, organ transplantation, trauma, post-partum hemorrhage and percutaneous coronary intervention. While standard tests like prothrombin time, partial thromboplastin time and platelet count have limited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20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Haemonetics’ TEG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ClotPro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HAS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spacing w:after="0" w:line="2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 Our ClotPro system is currently available in select European and Asian markets and is not available for use or sale in the U.S. The HAS-100 is currently commercialized in China.</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Vascular Closure Market - </w:t>
      </w:r>
      <w:r>
        <w:rPr>
          <w:rFonts w:ascii="Times New Roman" w:cs="Times New Roman" w:eastAsia="Times New Roman" w:hAnsi="Times New Roman"/>
          <w:sz w:val="18"/>
          <w:szCs w:val="18"/>
          <w:color w:val="auto"/>
        </w:rPr>
        <w:t>Our target markets, coronary and peripheral procedures and electrophysiology procedures, are highly concentrated in the 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 market of coronary and peripheral procedures consists of interventions to diagnose and treat vascular diseases. Electrophysiology procedures consist of catheter-based interventions to diagnose and treat cardiac arrhythmias. This procedure category is expected to grow based on the increasing incidence and prevalence of cardiac arrhythmias, mainly in the U.S.</w:t>
      </w:r>
    </w:p>
    <w:p>
      <w:pPr>
        <w:spacing w:after="0" w:line="202"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7"/>
          <w:szCs w:val="17"/>
          <w:i w:val="1"/>
          <w:iCs w:val="1"/>
          <w:color w:val="auto"/>
        </w:rPr>
        <w:t xml:space="preserve">Transfusion Management Market - </w:t>
      </w:r>
      <w:r>
        <w:rPr>
          <w:rFonts w:ascii="Times New Roman" w:cs="Times New Roman" w:eastAsia="Times New Roman" w:hAnsi="Times New Roman"/>
          <w:sz w:val="17"/>
          <w:szCs w:val="17"/>
          <w:color w:val="auto"/>
        </w:rPr>
        <w:t>Revenues from BloodTrack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increased in the U.S. and Europe in recent years as hospitals seek means to improve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efficiencies and meet compliance guidelines for tracking and dispositioning blood components to patients. SafeTrace Tx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's leading market share in the U.S. remains steady and in fiscal 2021 launched in the United Kingdom. We continue to explore opportunities to expand the portfolio internationally.</w:t>
      </w:r>
    </w:p>
    <w:p>
      <w:pPr>
        <w:spacing w:after="0" w:line="2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Cell Salvage Market </w:t>
      </w:r>
      <w:r>
        <w:rPr>
          <w:rFonts w:ascii="Times New Roman" w:cs="Times New Roman" w:eastAsia="Times New Roman" w:hAnsi="Times New Roman"/>
          <w:sz w:val="18"/>
          <w:szCs w:val="18"/>
          <w:color w:val="auto"/>
        </w:rPr>
        <w:t>- In recent years, more efficient blood use and less invasive surgeries have reduced demand for autotransfusion in these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1"/>
                <w:szCs w:val="11"/>
                <w:color w:val="auto"/>
              </w:rPr>
            </w:pPr>
          </w:p>
        </w:tc>
        <w:tc>
          <w:tcPr>
            <w:tcW w:w="13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00" w:type="dxa"/>
            <w:vAlign w:val="bottom"/>
          </w:tcPr>
          <w:p>
            <w:pPr>
              <w:spacing w:after="0"/>
              <w:rPr>
                <w:sz w:val="12"/>
                <w:szCs w:val="12"/>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4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22 vs. 21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 vs. 20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993,196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870,463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988,479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(11.9)%</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505,502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397,838</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484,513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424,752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308,091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381,162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(19.2)%</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89,747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103,351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(13.2)%</w:t>
            </w:r>
          </w:p>
        </w:tc>
        <w:tc>
          <w:tcPr>
            <w:tcW w:w="0" w:type="dxa"/>
            <w:vAlign w:val="bottom"/>
          </w:tcPr>
          <w:p>
            <w:pPr>
              <w:spacing w:after="0"/>
              <w:rPr>
                <w:sz w:val="1"/>
                <w:szCs w:val="1"/>
                <w:color w:val="auto"/>
              </w:rPr>
            </w:pP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(benefit) provision for income taxes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72,913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87,152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(16.3)%</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i w:val="1"/>
                <w:iCs w:val="1"/>
                <w:color w:val="auto"/>
              </w:rPr>
              <w:t>n/m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43,375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79,469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76,526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0" w:type="dxa"/>
            <w:vAlign w:val="bottom"/>
          </w:tcPr>
          <w:p>
            <w:pPr>
              <w:spacing w:after="0"/>
              <w:rPr>
                <w:sz w:val="1"/>
                <w:szCs w:val="1"/>
                <w:color w:val="auto"/>
              </w:rPr>
            </w:pP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7.7 %</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0" w:type="dxa"/>
            <w:vAlign w:val="bottom"/>
          </w:tcPr>
          <w:p>
            <w:pPr>
              <w:spacing w:after="0"/>
              <w:rPr>
                <w:sz w:val="1"/>
                <w:szCs w:val="1"/>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(45.8)%</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March. Fiscal years 2022 and 2020 included 52 weeks with each quarter having 13 weeks. Fiscal 2021 included 53 weeks with each of the first three quarters having 13 weeks and the fourth quarter having 14 weeks.</w:t>
      </w:r>
    </w:p>
    <w:p>
      <w:pPr>
        <w:spacing w:after="0" w:line="190" w:lineRule="exact"/>
        <w:rPr>
          <w:sz w:val="20"/>
          <w:szCs w:val="20"/>
          <w:color w:val="auto"/>
        </w:rPr>
      </w:pPr>
    </w:p>
    <w:p>
      <w:pPr>
        <w:ind w:right="160"/>
        <w:spacing w:after="0" w:line="304" w:lineRule="auto"/>
        <w:rPr>
          <w:sz w:val="20"/>
          <w:szCs w:val="20"/>
          <w:color w:val="auto"/>
        </w:rPr>
      </w:pPr>
      <w:r>
        <w:rPr>
          <w:rFonts w:ascii="Times New Roman" w:cs="Times New Roman" w:eastAsia="Times New Roman" w:hAnsi="Times New Roman"/>
          <w:sz w:val="17"/>
          <w:szCs w:val="17"/>
          <w:color w:val="auto"/>
        </w:rPr>
        <w:t>Net revenues for fiscal 2022 increased 14.1% compared with fiscal 2021. Without the effects of foreign exchange, net revenues increased 13.4% compared with fiscal 2021. Revenue increases in Hospital, primarily Vascular Closure, drove the overall increase in revenue during the fiscal year ended April 2, 2022.</w:t>
      </w:r>
    </w:p>
    <w:p>
      <w:pPr>
        <w:spacing w:after="0" w:line="167"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Net revenues for fiscal 2021 decreased 11.9% compared with fiscal 2020. Without the effects of foreign exchange, net revenues decreased 12.9% compared with fiscal 2020. Revenue decreases in Plasma due to the COVID-19 pandemic primarily drove the overall decrease in revenue during the fiscal year ended April 3, 2021.</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income decreased during fiscal 2022 as compared with fiscal 2021, primarily due to increased spend related to the acquisition of Cardiva Medical, Inc. (“Cardiva”), including higher transaction and integration costs, amortization of the fair value inventory step-up, increased intangible amortization expense and an increase in the fair value of contingent consideration, as well as increased freight costs and inflationary pressures, partially offset by productivity savings from the 2020 Program.</w:t>
      </w:r>
    </w:p>
    <w:p>
      <w:pPr>
        <w:spacing w:after="0" w:line="20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Operating income decreased during fiscal 2021 as compared with fiscal 2020, primarily due to the impact of the COVID-19 pandemic on revenue and gross margin, offset by gains on divestitures, incremental savings from the 2020 Program and lower asset impairment charges and depreciation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ind w:left="785"/>
              <w:spacing w:after="0"/>
              <w:rPr>
                <w:sz w:val="20"/>
                <w:szCs w:val="20"/>
                <w:color w:val="auto"/>
              </w:rPr>
            </w:pPr>
            <w:r>
              <w:rPr>
                <w:rFonts w:ascii="Times New Roman" w:cs="Times New Roman" w:eastAsia="Times New Roman" w:hAnsi="Times New Roman"/>
                <w:sz w:val="14"/>
                <w:szCs w:val="14"/>
                <w:b w:val="1"/>
                <w:bCs w:val="1"/>
                <w:color w:val="auto"/>
              </w:rPr>
              <w:t>Fiscal 2022 versus 2021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Fiscal 2021 versus 2020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6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86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34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86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4"/>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93"/>
        </w:trPr>
        <w:tc>
          <w:tcPr>
            <w:tcW w:w="1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impact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9"/>
                <w:szCs w:val="9"/>
                <w:b w:val="1"/>
                <w:bCs w:val="1"/>
                <w:color w:val="auto"/>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impact</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646,204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353,874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347,856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993,196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092950"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2950" cy="168275"/>
                    </a:xfrm>
                    <a:prstGeom prst="rect">
                      <a:avLst/>
                    </a:prstGeom>
                    <a:noFill/>
                  </pic:spPr>
                </pic:pic>
              </a:graphicData>
            </a:graphic>
          </wp:anchor>
        </w:drawing>
      </w:r>
    </w:p>
    <w:p>
      <w:pPr>
        <w:ind w:left="20" w:right="60" w:firstLine="4"/>
        <w:spacing w:after="0" w:line="232" w:lineRule="auto"/>
        <w:tabs>
          <w:tab w:leader="none" w:pos="15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Constant currency growth, a non-GAAP financial measure, measures the change in revenue between the current and prior year periods using a constant currency. See </w:t>
      </w:r>
      <w:r>
        <w:rPr>
          <w:rFonts w:ascii="Times New Roman" w:cs="Times New Roman" w:eastAsia="Times New Roman" w:hAnsi="Times New Roman"/>
          <w:sz w:val="13"/>
          <w:szCs w:val="13"/>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-194310</wp:posOffset>
            </wp:positionV>
            <wp:extent cx="18846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 and the Impact of Foreign Exchange</w:t>
      </w:r>
    </w:p>
    <w:p>
      <w:pPr>
        <w:spacing w:after="0" w:line="24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revenue generated in our principal operating regions is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20" w:type="dxa"/>
            <w:vAlign w:val="bottom"/>
          </w:tcPr>
          <w:p>
            <w:pPr>
              <w:spacing w:after="0"/>
              <w:rPr>
                <w:sz w:val="16"/>
                <w:szCs w:val="16"/>
                <w:color w:val="auto"/>
              </w:rPr>
            </w:pPr>
          </w:p>
        </w:tc>
      </w:tr>
      <w:tr>
        <w:trPr>
          <w:trHeight w:val="199"/>
        </w:trPr>
        <w:tc>
          <w:tcPr>
            <w:tcW w:w="6760" w:type="dxa"/>
            <w:vAlign w:val="bottom"/>
          </w:tcPr>
          <w:p>
            <w:pPr>
              <w:spacing w:after="0"/>
              <w:rPr>
                <w:sz w:val="17"/>
                <w:szCs w:val="17"/>
                <w:color w:val="auto"/>
              </w:rPr>
            </w:pPr>
          </w:p>
        </w:tc>
        <w:tc>
          <w:tcPr>
            <w:tcW w:w="14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International sales are generally conducted in local currencies, primarily Japanese Yen, Euro, Chinese Yuan and Australian Dollar.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02"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 xml:space="preserve">Please see the section entitled </w:t>
      </w:r>
      <w:r>
        <w:rPr>
          <w:rFonts w:ascii="Times New Roman" w:cs="Times New Roman" w:eastAsia="Times New Roman" w:hAnsi="Times New Roman"/>
          <w:sz w:val="18"/>
          <w:szCs w:val="18"/>
          <w:i w:val="1"/>
          <w:iCs w:val="1"/>
          <w:color w:val="auto"/>
        </w:rPr>
        <w:t>“Foreign Exchange”</w:t>
      </w:r>
      <w:r>
        <w:rPr>
          <w:rFonts w:ascii="Times New Roman" w:cs="Times New Roman" w:eastAsia="Times New Roman" w:hAnsi="Times New Roman"/>
          <w:sz w:val="18"/>
          <w:szCs w:val="18"/>
          <w:color w:val="auto"/>
        </w:rPr>
        <w:t xml:space="preserve"> in this discussion for a more complete explanation of how foreign currency affects our business and our strategy for managing this exposure.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2022 versus 2021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2021 versus 2020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vMerge w:val="restart"/>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40" w:type="dxa"/>
            <w:vAlign w:val="bottom"/>
            <w:tcBorders>
              <w:top w:val="single" w:sz="8" w:color="auto"/>
            </w:tcBorders>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20" w:type="dxa"/>
            <w:vAlign w:val="bottom"/>
          </w:tcPr>
          <w:p>
            <w:pPr>
              <w:spacing w:after="0"/>
              <w:rPr>
                <w:sz w:val="11"/>
                <w:szCs w:val="11"/>
                <w:color w:val="auto"/>
              </w:rPr>
            </w:pPr>
          </w:p>
        </w:tc>
        <w:tc>
          <w:tcPr>
            <w:tcW w:w="760" w:type="dxa"/>
            <w:vAlign w:val="bottom"/>
            <w:tcBorders>
              <w:top w:val="single" w:sz="8" w:color="auto"/>
            </w:tcBorders>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60" w:type="dxa"/>
            <w:vAlign w:val="bottom"/>
            <w:tcBorders>
              <w:top w:val="single" w:sz="8" w:color="auto"/>
            </w:tcBorders>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4"/>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99"/>
        </w:trPr>
        <w:tc>
          <w:tcPr>
            <w:tcW w:w="17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8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(1)</w:t>
            </w:r>
          </w:p>
        </w:tc>
        <w:tc>
          <w:tcPr>
            <w:tcW w:w="76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76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8"/>
        </w:trPr>
        <w:tc>
          <w:tcPr>
            <w:tcW w:w="1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351,347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332,236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458,681</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8"/>
                <w:szCs w:val="18"/>
                <w:color w:val="auto"/>
                <w:w w:val="95"/>
              </w:rPr>
              <w:t>5.8%</w:t>
            </w: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(27.6)%</w:t>
            </w: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center"/>
              <w:ind w:right="98"/>
              <w:spacing w:after="0"/>
              <w:rPr>
                <w:sz w:val="20"/>
                <w:szCs w:val="20"/>
                <w:color w:val="auto"/>
              </w:rPr>
            </w:pPr>
            <w:r>
              <w:rPr>
                <w:rFonts w:ascii="Times New Roman" w:cs="Times New Roman" w:eastAsia="Times New Roman" w:hAnsi="Times New Roman"/>
                <w:sz w:val="18"/>
                <w:szCs w:val="18"/>
                <w:color w:val="auto"/>
                <w:w w:val="99"/>
              </w:rPr>
              <w:t>(27.6)%</w:t>
            </w:r>
          </w:p>
        </w:tc>
        <w:tc>
          <w:tcPr>
            <w:tcW w:w="0" w:type="dxa"/>
            <w:vAlign w:val="bottom"/>
          </w:tcPr>
          <w:p>
            <w:pPr>
              <w:spacing w:after="0"/>
              <w:rPr>
                <w:sz w:val="1"/>
                <w:szCs w:val="1"/>
                <w:color w:val="auto"/>
              </w:rPr>
            </w:pPr>
          </w:p>
        </w:tc>
      </w:tr>
      <w:tr>
        <w:trPr>
          <w:trHeight w:val="225"/>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317,761</w:t>
            </w:r>
          </w:p>
        </w:tc>
        <w:tc>
          <w:tcPr>
            <w:tcW w:w="8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6"/>
              </w:rPr>
              <w:t>(2.9)%</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6"/>
              </w:rPr>
              <w:t>(3.2)%</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8"/>
                <w:szCs w:val="18"/>
                <w:color w:val="auto"/>
                <w:w w:val="96"/>
              </w:rPr>
              <w:t>(5.6)%</w:t>
            </w:r>
          </w:p>
        </w:tc>
        <w:tc>
          <w:tcPr>
            <w:tcW w:w="0" w:type="dxa"/>
            <w:vAlign w:val="bottom"/>
          </w:tcPr>
          <w:p>
            <w:pPr>
              <w:spacing w:after="0"/>
              <w:rPr>
                <w:sz w:val="1"/>
                <w:szCs w:val="1"/>
                <w:color w:val="auto"/>
              </w:rPr>
            </w:pPr>
          </w:p>
        </w:tc>
      </w:tr>
      <w:tr>
        <w:trPr>
          <w:trHeight w:val="225"/>
        </w:trPr>
        <w:tc>
          <w:tcPr>
            <w:tcW w:w="17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Hospital</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193,437</w:t>
            </w:r>
          </w:p>
        </w:tc>
        <w:tc>
          <w:tcPr>
            <w:tcW w:w="8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4"/>
              </w:rPr>
              <w:t>53.3%</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8"/>
              </w:rPr>
              <w:t>52.7%</w:t>
            </w:r>
          </w:p>
        </w:tc>
        <w:tc>
          <w:tcPr>
            <w:tcW w:w="120" w:type="dxa"/>
            <w:vAlign w:val="bottom"/>
          </w:tcPr>
          <w:p>
            <w:pPr>
              <w:spacing w:after="0"/>
              <w:rPr>
                <w:sz w:val="19"/>
                <w:szCs w:val="19"/>
                <w:color w:val="auto"/>
              </w:rPr>
            </w:pPr>
          </w:p>
        </w:tc>
        <w:tc>
          <w:tcPr>
            <w:tcW w:w="76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8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1.9%</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988,479</w:t>
            </w:r>
          </w:p>
        </w:tc>
        <w:tc>
          <w:tcPr>
            <w:tcW w:w="8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4"/>
              </w:rPr>
              <w:t>14.1%</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8"/>
              </w:rPr>
              <w:t>13.4%</w:t>
            </w:r>
          </w:p>
        </w:tc>
        <w:tc>
          <w:tcPr>
            <w:tcW w:w="120" w:type="dxa"/>
            <w:vAlign w:val="bottom"/>
          </w:tcPr>
          <w:p>
            <w:pPr>
              <w:spacing w:after="0"/>
              <w:rPr>
                <w:sz w:val="19"/>
                <w:szCs w:val="19"/>
                <w:color w:val="auto"/>
              </w:rPr>
            </w:pPr>
          </w:p>
        </w:tc>
        <w:tc>
          <w:tcPr>
            <w:tcW w:w="76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(11.9)%</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w w:val="99"/>
              </w:rPr>
              <w:t>(12.9)%</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right="380" w:firstLine="4"/>
        <w:spacing w:after="0" w:line="248" w:lineRule="auto"/>
        <w:tabs>
          <w:tab w:leader="none" w:pos="15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Constant currency growth, a non-GAAP financial measure, measures the change in revenue between the current and prior year periods using a constant currency. See </w:t>
      </w:r>
      <w:r>
        <w:rPr>
          <w:rFonts w:ascii="Times New Roman" w:cs="Times New Roman" w:eastAsia="Times New Roman" w:hAnsi="Times New Roman"/>
          <w:sz w:val="14"/>
          <w:szCs w:val="14"/>
          <w:i w:val="1"/>
          <w:iCs w:val="1"/>
          <w:color w:val="auto"/>
        </w:rPr>
        <w:t>“Management's Use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Non-GAAP Measures.”</w:t>
      </w:r>
    </w:p>
    <w:p>
      <w:pPr>
        <w:ind w:left="20" w:right="320" w:firstLine="4"/>
        <w:spacing w:after="0" w:line="226" w:lineRule="auto"/>
        <w:tabs>
          <w:tab w:leader="none" w:pos="162"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Hospital revenue includes Hemostasis Management revenue of $127.4 million, $107.4 million, and $95.7 million for fiscal years 2022, 2021 and 2020, respectively. Hemostasis Management revenue increased 18.6% during fiscal 2022 as compared with fiscal 2021. Without the effect of foreign exchange, Hemostasis Management revenue increased 18.4% as compared with fiscal 2021. Hemostasis Management revenue increased 12.2% during fiscal 2021 as compared with fiscal 2020. Without the effect of foreign exchange, Hemostasis Management revenue increased 12.8% during fiscal 2021 as compared with fiscal 2020. Hospital revenue also includes Vascular Closure revenue of $93.8 million and $7.7 million for fiscal years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-580390</wp:posOffset>
            </wp:positionV>
            <wp:extent cx="20110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Plasma revenue increased 5.8% during fiscal 2022 as compared with fiscal 2021. Without the effect of foreign exchange, Plasma revenue increased 5.6% during fiscal 2022 as compared with fiscal 2021. This revenue increase was primarily driven by increase in volume of plasma disposables and an increase in software revenue, partially offset by declines in plasma liquid solutions as a result of certain strategic exits within our liquid solutions business.</w:t>
      </w:r>
    </w:p>
    <w:p>
      <w:pPr>
        <w:spacing w:after="0" w:line="185"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7"/>
          <w:szCs w:val="17"/>
          <w:color w:val="auto"/>
        </w:rPr>
        <w:t>We remain confident in the strength of the plasma end market growth as the long-term global demand for plasma-derived pharmaceuticals is expected to continue. Although we continue to experience the negative impact of COVID-19 on our business, we believe the impacts on plasma collection are temporary.</w:t>
      </w:r>
    </w:p>
    <w:p>
      <w:pPr>
        <w:spacing w:after="0" w:line="16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In early April 2021, CSL Plasma, Ltd. informed us of its intent not to renew its supply agreement for the use of PCS2 plasma collection system devices and the purchase of disposable plasmapheresis kits following the expiration of the current term of the Supply Agreement in June 2022. In fiscal 2022, revenue under this Supply Agreement was $102.4 million. During the third quarter of fiscal 2022, we amended the Supply Agreement to allow CSL to continue to use our PCS2 devices and purchase disposables through December 2023. The extension provides CSL the ability to utilize our devices and disposables in their collection centers on a non-exclusive basis, and CSL has committed to a minimum of $88.0 million of disposable purchases in fiscal 2023.</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Plasma revenue decreased 27.6% during fiscal 2021 as compared with fiscal 2020. There was no foreign exchange impact on Plasma revenue during fiscal 2021. This revenue decrease was primarily driven by a decline in the volume of plasma disposables, primarily in the U.S., due to the COVID-19 pandemic and declines in plasma liquid solutions as a result of certain strategic exits within our liquid solutions business. Declines in software revenue due to a one-time favorable impact in the prior year period also contributed to the decrease.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Blood Center revenue decreased 2.9% during fiscal 2022 as compared with fiscal 2021. Without the effect of foreign exchange, Blood Center revenue decreased 4.2% during fiscal 2022. The decrease was primarily driven by continued declines in whole blood disposables, the divestiture of certain blood donor management software solution assets and the impact of previously discontinued customer contracts in North America as well as an apheresis stocking order in the prior year period.</w:t>
      </w:r>
    </w:p>
    <w:p>
      <w:pPr>
        <w:spacing w:after="0" w:line="2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Blood Center revenue decreased 3.2% during fiscal 2021 as compared with fiscal 2020. Without the effect of foreign exchange, Blood Center revenue decreased 5.6% during fiscal 2021 primarily due to continued declines in whole blood disposables and the divestiture of certain blood donor management software solution assets. These declines were partially offset by increases in apheresis revenue, despite certain customers' conversions to alternative sources of supply, due to the impact distributor stocking orders in the first quarter and the 53rd week in fiscal 2021. The impact of the loss of this apheresis business was an incremental revenue decline of approximately $17.0 million in fiscal 2021 as compared with fiscal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Hospital revenue increased 53.3% during fiscal 2022 as compared with fiscal 2021. Without the effect of foreign exchange, Hospital revenue increased 52.7% during fiscal 2022. The increase was primarily attributable to Vascular Closure revenue resulting from the acquisition of Cardiva and an increase in TEG disposables revenue in the U.S. The increase also reflected the impact of the COVID-19 pandemic on the prior year period, partially offset by the divestiture of certain blood bank and hospital software solution assets during the same period of fiscal 2021.</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Hospital revenue increased 8.9% during fiscal 2021 as compared with fiscal 2020 despite the negative impact of COVID-19, primarily in China and the U.S, early in the fiscal year. Without the effect of foreign exchange, Hospital revenue increased 8.2% during fiscal 2021. This increase was primarily attributable to a recent acquisition, TEG® disposable revenue in the U.S. and equipment sales in Europe. The increases were partially offset by declines in Cell Salvage revenue and the divestiture of certain blood bank and hospital software solution assets.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120" w:type="dxa"/>
            <w:vAlign w:val="bottom"/>
            <w:vMerge w:val="restart"/>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120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 Increase/(Decrease)</w:t>
            </w: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 Increase/(Decrease)</w:t>
            </w:r>
          </w:p>
        </w:tc>
        <w:tc>
          <w:tcPr>
            <w:tcW w:w="0" w:type="dxa"/>
            <w:vAlign w:val="bottom"/>
          </w:tcPr>
          <w:p>
            <w:pPr>
              <w:spacing w:after="0"/>
              <w:rPr>
                <w:sz w:val="1"/>
                <w:szCs w:val="1"/>
                <w:color w:val="auto"/>
              </w:rPr>
            </w:pPr>
          </w:p>
        </w:tc>
      </w:tr>
      <w:tr>
        <w:trPr>
          <w:trHeight w:val="191"/>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22 vs. 21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 vs. 20</w:t>
            </w: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505,502</w:t>
            </w:r>
          </w:p>
        </w:tc>
        <w:tc>
          <w:tcPr>
            <w:tcW w:w="2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397,838</w:t>
            </w: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484,513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(17.9)%</w:t>
            </w:r>
          </w:p>
        </w:tc>
        <w:tc>
          <w:tcPr>
            <w:tcW w:w="0" w:type="dxa"/>
            <w:vAlign w:val="bottom"/>
          </w:tcPr>
          <w:p>
            <w:pPr>
              <w:spacing w:after="0"/>
              <w:rPr>
                <w:sz w:val="1"/>
                <w:szCs w:val="1"/>
                <w:color w:val="auto"/>
              </w:rPr>
            </w:pPr>
          </w:p>
        </w:tc>
      </w:tr>
      <w:tr>
        <w:trPr>
          <w:trHeight w:val="23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50.9 %</w:t>
            </w:r>
          </w:p>
        </w:tc>
        <w:tc>
          <w:tcPr>
            <w:tcW w:w="28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45.7 %</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Gross profit increased 27.1% during fiscal 2022 as compared with fiscal 2021. Without the effects of foreign exchange, gross profit increased 26.0% during fiscal 2022. The increase was primarily driven by the addition of Vascular Closure, productivity savings from the 2020 Program and favorable volume and product mix. The increase was partially offset by inflationary pressures and higher freight costs in our global supply chain, increased restructuring and restructuring related costs, the amortization of the fair value inventory step-up related to the acquisition of Cardiva and asset impairments.</w:t>
      </w:r>
    </w:p>
    <w:p>
      <w:pPr>
        <w:spacing w:after="0" w:line="1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Gross profit decreased 17.9% during fiscal 2021 as compared with fiscal 2020. Without the effects of foreign exchange, gross profit decreased 19.6% during fiscal 2021. The decrease in gross profit during fiscal 2021 was primarily due to unfavorable volumes and product mix, asset impairments, higher operational costs from the impact of the COVID-19 pandemic, recent divestitures and the amortization of the fair value inventory step-up related to the acquisition of Cardiva. The decline was partially offset by lower depreciation expense and productivity savings from the 2020 Program, the 53rd week in fiscal 2021 and recent acquisitions.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3"/>
                <w:szCs w:val="13"/>
                <w:color w:val="auto"/>
              </w:rPr>
            </w:pPr>
          </w:p>
        </w:tc>
        <w:tc>
          <w:tcPr>
            <w:tcW w:w="10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12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 Increase/(Decrease)</w:t>
            </w:r>
          </w:p>
        </w:tc>
        <w:tc>
          <w:tcPr>
            <w:tcW w:w="14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Increase/(Decrease)</w:t>
            </w:r>
          </w:p>
        </w:tc>
        <w:tc>
          <w:tcPr>
            <w:tcW w:w="0" w:type="dxa"/>
            <w:vAlign w:val="bottom"/>
          </w:tcPr>
          <w:p>
            <w:pPr>
              <w:spacing w:after="0"/>
              <w:rPr>
                <w:sz w:val="1"/>
                <w:szCs w:val="1"/>
                <w:color w:val="auto"/>
              </w:rPr>
            </w:pPr>
          </w:p>
        </w:tc>
      </w:tr>
      <w:tr>
        <w:trPr>
          <w:trHeight w:val="192"/>
        </w:trPr>
        <w:tc>
          <w:tcPr>
            <w:tcW w:w="37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22 vs. 21</w:t>
            </w: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21 vs. 20</w:t>
            </w:r>
          </w:p>
        </w:tc>
        <w:tc>
          <w:tcPr>
            <w:tcW w:w="0" w:type="dxa"/>
            <w:vAlign w:val="bottom"/>
          </w:tcPr>
          <w:p>
            <w:pPr>
              <w:spacing w:after="0"/>
              <w:rPr>
                <w:sz w:val="1"/>
                <w:szCs w:val="1"/>
                <w:color w:val="auto"/>
              </w:rPr>
            </w:pPr>
          </w:p>
        </w:tc>
      </w:tr>
      <w:tr>
        <w:trPr>
          <w:trHeight w:val="22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46,801</w:t>
            </w:r>
          </w:p>
        </w:tc>
        <w:tc>
          <w:tcPr>
            <w:tcW w:w="2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32,857</w:t>
            </w: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30,883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6.4 %</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339,563</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274,188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282,017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34.2 %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31.5 %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28.5 %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47,414</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32,830</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25,746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27.5 %</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50,599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(98.0)%</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divestitures and sale of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(9,603)</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(32,812)</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424,752</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308,091</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381,162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(19.2)%</w:t>
            </w:r>
          </w:p>
        </w:tc>
        <w:tc>
          <w:tcPr>
            <w:tcW w:w="0" w:type="dxa"/>
            <w:vAlign w:val="bottom"/>
          </w:tcPr>
          <w:p>
            <w:pPr>
              <w:spacing w:after="0"/>
              <w:rPr>
                <w:sz w:val="1"/>
                <w:szCs w:val="1"/>
                <w:color w:val="auto"/>
              </w:rPr>
            </w:pPr>
          </w:p>
        </w:tc>
      </w:tr>
      <w:tr>
        <w:trPr>
          <w:trHeight w:val="23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42.8 %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35.4 %</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Research and development expenses increased 42.4% during fiscal 2022 as compared with fiscal 2021. Without the effects of foreign exchange, research and development expenses increased 41.9% during fiscal 2022. The increase in fiscal 2022 was primarily due to increased spend related to investments in our Hospital Business unit, primarily driven by Vascular Closure, as well as costs related to compliance with the EU MDR and EU IVDR requirements, partially offset by cost savings related to the 2020 Program.</w:t>
      </w:r>
    </w:p>
    <w:p>
      <w:pPr>
        <w:spacing w:after="0" w:line="20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Research and development expenses increased 6.4% during fiscal 2021 as compared with fiscal 2020. Without the effects of foreign exchange, research and development expenses increased 6.1% during fiscal 2021. The increase in fiscal 2021 was primarily due to increased spend related to EU MDR and EU IVDR costs, recent acquisitions and continued investments in our Plasma and Hospital Business units. The increases were partially offset by cost savings primarily related to the 2020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23.8% during fiscal 2022 as compared with fiscal 2021. Without the effects of foreign exchange, selling, general and administrative expenses increased 23.2% during fiscal 2022. The increase in fiscal 2022 was primarily due to spend related to the acquisition of Cardiva, including the increase in the fair value of contingent consideration. Higher freight costs also contributed to these increases, which were partially offset by cost savings related to the 2020 Program.</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decreased 2.8% during fiscal 2021 as compared with fiscal 2020. Without the effects of foreign exchange, selling, general and administrative expenses decreased 3.5% during fiscal 2021. The decrease in fiscal 2021 was primarily due to cost containment actions taken to offset the negative effects related to the COVID-19 pandemic, incremental productivity savings from the 2020 Program and a reduction in restructuring and restructuring related costs. The decrease was partially offset by higher transaction and integration costs and higher share-based and variable compensation expense.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46"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We recognized amortization expense of $47.4 million and $32.8 million during fiscal 2022 and fiscal 2021, respectively. The increase in fiscal 2022 was primarily driven by an increase in intangible assets resulting from recent acquisitions.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intangible asset impairment charges of $0.6 million and $1.0 million during fiscal 2022 and fiscal 2021,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Divestitures</w:t>
      </w:r>
    </w:p>
    <w:p>
      <w:pPr>
        <w:spacing w:after="0" w:line="244"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 xml:space="preserve">We recognized gains on divestitures of $9.6 million and $32.8 million during fiscal 2022 and fiscal 2021, respectively.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to the Consolidated Financial Statements in Item 8 of this Annual Report on Form 10-K for information pertaining to these divestitures.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Interest and other expenses increased 1.7% during fiscal 2022 as compared with fiscal 2021. Without the effects of foreign exchange, interest and other expenses increased 1.3% during fiscal 2022. The increase was primarily driven by realized losses due to foreign currency, partially offset by a reduction in interest expense.</w:t>
      </w:r>
    </w:p>
    <w:p>
      <w:pPr>
        <w:spacing w:after="0" w:line="2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Interest and other expenses increased 3.9% during fiscal 2021 as compared with fiscal 2020. Without the effects of foreign exchange, interest and other expenses increased 4.8% during fiscal 2021. The increase is primarily driven by realized losses on interest rate swaps due to declining rates, interest and debt issuance costs incurred in connection with short-term financing for the Cardiva acquisition and amortization of the debt discount associated with the 2026 Notes partially offset by a reduction in interest expense from borrowings under our $350.0 million term loan and $350.0 million revolving loan. The effective interest rate on total debt outstanding for the fiscal year ended April 3, 2021 was 1.4%.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3"/>
                <w:szCs w:val="13"/>
                <w:color w:val="auto"/>
              </w:rPr>
            </w:pPr>
          </w:p>
        </w:tc>
        <w:tc>
          <w:tcPr>
            <w:tcW w:w="1560" w:type="dxa"/>
            <w:vAlign w:val="bottom"/>
            <w:vMerge w:val="restart"/>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 Increase/(Decrease)</w:t>
            </w: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 Increase/(Decrease)</w:t>
            </w:r>
          </w:p>
        </w:tc>
        <w:tc>
          <w:tcPr>
            <w:tcW w:w="0" w:type="dxa"/>
            <w:vAlign w:val="bottom"/>
          </w:tcPr>
          <w:p>
            <w:pPr>
              <w:spacing w:after="0"/>
              <w:rPr>
                <w:sz w:val="1"/>
                <w:szCs w:val="1"/>
                <w:color w:val="auto"/>
              </w:rPr>
            </w:pPr>
          </w:p>
        </w:tc>
      </w:tr>
      <w:tr>
        <w:trPr>
          <w:trHeight w:val="191"/>
        </w:trPr>
        <w:tc>
          <w:tcPr>
            <w:tcW w:w="46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22 vs. 21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 vs. 20</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income tax rate</w:t>
            </w:r>
          </w:p>
        </w:tc>
        <w:tc>
          <w:tcPr>
            <w:tcW w:w="8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31.8 %</w:t>
            </w:r>
          </w:p>
        </w:tc>
        <w:tc>
          <w:tcPr>
            <w:tcW w:w="156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Reported Tax Rate</w:t>
      </w:r>
    </w:p>
    <w:p>
      <w:pPr>
        <w:spacing w:after="0" w:line="24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U.S. Our reported tax rate is impacted by the jurisdictional mix of earnings in any given period as the foreign jurisdictions in which we operate have tax rates that differ from the U.S. statutory tax rate.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April 2, 2022, we maintain a valuation allowance against certain U.S. state deferred tax assets that are not more-likely-than-not realizable and have a full valuation allowance against the net deferred tax assets of certain foreign subsidiaries.</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For the year ended April 2, 2022, we recorded income tax expense of $20.3 million on our worldwide pre-tax income of $63.6 million, resulting in a reported tax rate of 31.8%. Our effective tax rate for the year ended April 2, 2022 is higher than our effective tax rates of (9.0)% and 12.2% for the years ended April 3, 2021 and March 28, 2020, respectively. The increase in our tax rate for fiscal 2022, as compared with fiscal 2021, is primarily the result of a deferred tax asset recorded in the prior year related to the U.S. purchase of intellectual property, a non-recurring tax benefit in the prior year from the release of a portion of the valuation allowance due to taxable temporary differences acquired with the acquisition of Cardiva being available as a source of income to realize certain pre-existing deferred tax assets, greater tax benefits associated with windfall stock compensation deductions in the prior year, and jurisdictional mix of earnings.</w:t>
      </w:r>
    </w:p>
    <w:p>
      <w:pPr>
        <w:spacing w:after="0" w:line="19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Effective for fiscal 2023, the Tax Cuts and Jobs Act of 2017 requires the Company to capitalize, and subsequently amortize research and development expenses over five years for research activities conducted in the U.S. and over fifteen years for research activities conducted outside of the U.S. The Company is evaluating the impact on our effective tax rate.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192,305</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313,765</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440,051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(514,093)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(515,303)</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1"/>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Net debt position is the sum of cash and cash equivalents less total debt.</w:t>
      </w:r>
    </w:p>
    <w:p>
      <w:pPr>
        <w:spacing w:after="0" w:line="3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our revolving credit line that expires in the first quarter of fiscal 2024 and proceeds from employee stock option exercises. We believe these sources are sufficient to fund our cash requirements over at least the next twelve months. Our expected cash outlays relate primarily to acquisitions, investments, capital expenditures, including the build out of our new manufacturing facility in Clinton, PA, cash payments under our credit agreement and restructuring initiatives.</w:t>
      </w:r>
    </w:p>
    <w:p>
      <w:pPr>
        <w:spacing w:after="0" w:line="20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April 2, 2022.</w:t>
      </w:r>
    </w:p>
    <w:p>
      <w:pPr>
        <w:spacing w:after="0" w:line="20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As of April 2, 2022, we had $259.5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as amended from time to time,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During the fourth quarter of fiscal 2021, the Company entered into an additional $150.0 million term loan under the existing Credit Facilities and borrowed $290.0 million under the Revolving Credit Facility in connection with the acquisition of Cardiva. Both of these borrowings were subsequently paid in full during the same period using the proceeds from the 2026 Notes. In connection with the additional $150 million term loan borrowing, the Company and its lenders also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As of April 2, 2022, $284.4 million was outstanding under the term loan with an effective interest rate of 2.3%. There were no borrowings outstanding on the revolving loan. We also had $23.0 million of uncommitted operating lines of credit to fund our global operations under which there were no outstanding borrowings as of April 2, 2022.</w:t>
      </w:r>
    </w:p>
    <w:p>
      <w:pPr>
        <w:spacing w:after="0" w:line="2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 has scheduled principal payments of $214.4 million required during fiscal 2023. The Company plans to refinance the Credit Facility prior to the maturity date of June 15, 2023. The Company was in compliance with the leverage and interest coverage ratios specified in the credit agreement as well as all other bank covenants as of April 2, 2022.</w:t>
      </w:r>
    </w:p>
    <w:p>
      <w:pPr>
        <w:spacing w:after="0" w:line="2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years ended April 2, 2022, April 3, 2021 and March 28, 2020, the Company incurred $28.7 million, $15.1 million and $11.9 million, respectively, of restructuring and restructuring related costs under this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7"/>
                <w:szCs w:val="17"/>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158,217</w:t>
            </w:r>
          </w:p>
        </w:tc>
        <w:tc>
          <w:tcPr>
            <w:tcW w:w="0" w:type="dxa"/>
            <w:vAlign w:val="bottom"/>
          </w:tcPr>
          <w:p>
            <w:pPr>
              <w:spacing w:after="0"/>
              <w:rPr>
                <w:sz w:val="1"/>
                <w:szCs w:val="1"/>
                <w:color w:val="auto"/>
              </w:rPr>
            </w:pPr>
          </w:p>
        </w:tc>
      </w:tr>
      <w:tr>
        <w:trPr>
          <w:trHeight w:val="225"/>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(131,208)</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20" w:right="180" w:firstLine="4"/>
        <w:spacing w:after="0" w:line="237" w:lineRule="auto"/>
        <w:tabs>
          <w:tab w:leader="none" w:pos="15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3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was $172.3 million during fiscal 2022, an increase of $63.5 million as compared with fiscal 2021. The increase in cash provided by operating activities was primarily the result of higher net income, as adjusted for depreciation, amortization and other non-cash charges compared to the prior year period, decreased inventory driven by higher NexSys PCS device placements and the absence of a payment for a compensation-related liability paid at the closing of the Cardiva acquisition during fiscal 2021, partially offset by increases in accounts receivable during fiscal 2022.</w:t>
      </w:r>
    </w:p>
    <w:p>
      <w:pPr>
        <w:spacing w:after="0" w:line="20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$108.8 million during fiscal 2021, a decrease of $49.4 million as compared with fiscal 2020. The decrease in cash provided by operating activities was primarily the result of a reduction in net income, as adjusted for depreciation, amortization and other non-cash charges compared with the prior year period, partially offset by a decrease in working capital outflow as compared with the prior year period due to lower inventory growth, primarily related to NexSys PCS devices, a decline in the build of accounts receivable due to lower sales and improved collection timing, partially offset by a payment for a compensation-related liability paid at the closing of the Cardiva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6"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$86.3 million during fiscal 2022, a decrease of $339.1 million as compared with fiscal 2021. The decrease in cash used in investing activities was primarily the result of decreased acquisition spend in fiscal 2022, partially offset by increased capital expenditures in fiscal 2022 and lower proceeds received from various divestitures during fiscal 2022 as compared to fiscal 2021.</w:t>
      </w:r>
    </w:p>
    <w:p>
      <w:pPr>
        <w:spacing w:after="0" w:line="20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$425.4 million during fiscal 2021, an increase of $368.3 million as compared with fiscal 2020. The increase in cash used in investing activities was primarily the result of cash paid for acquisitions. The increase was partially offset by an increase in proceeds received relating to divestitures and a decrease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was $15.7 million during fiscal 2022, an increase of $383.2 million as compared with fiscal 2021. The increase in cash used in financing activities during fiscal 2022 was primarily the result of cash received from issuance of convertible notes in fiscal 2021 and contingent consideration payments in fiscal 2022, partially offset by lower payments of short-term loans during fiscal 2022 as compared to fiscal 2021.</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$367.5 million during fiscal 2021, an increase of $498.7 million as compared with fiscal 2020. The increase in cash provided by financing activities was primarily due to the $500.0 million of proceeds related to the 2026 Notes entered into in March 2021 and a decrease in share repurchases compared with the prior year period. The increase was partially offset by the repayment of borrowings on our revolving credit facility, the purchase of the Capped Call on the 2026 Notes and higher payments on our term loan.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contractual and commercial commitments as of April 2, 2022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6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6"/>
                <w:szCs w:val="16"/>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39,789</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retirement plan benefit payments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452,907</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88,108</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49,656</w:t>
            </w:r>
          </w:p>
        </w:tc>
        <w:tc>
          <w:tcPr>
            <w:tcW w:w="0" w:type="dxa"/>
            <w:vAlign w:val="bottom"/>
          </w:tcPr>
          <w:p>
            <w:pPr>
              <w:spacing w:after="0"/>
              <w:rPr>
                <w:sz w:val="1"/>
                <w:szCs w:val="1"/>
                <w:color w:val="auto"/>
              </w:rPr>
            </w:pPr>
          </w:p>
        </w:tc>
      </w:tr>
    </w:tbl>
    <w:p>
      <w:pPr>
        <w:ind w:left="20" w:right="120" w:firstLine="4"/>
        <w:spacing w:after="0" w:line="206" w:lineRule="auto"/>
        <w:tabs>
          <w:tab w:leader="none" w:pos="15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payments reflect the contractual interest payments on our outstanding debt and exclude the impact of interest rate swap agreements. Interest payments are projected using interest rates in effect as of April 2, 2022. Certain of these projected interest payments may differ in the future based on changes in market interest rates.</w:t>
      </w:r>
    </w:p>
    <w:p>
      <w:pPr>
        <w:ind w:left="20" w:right="220" w:firstLine="4"/>
        <w:spacing w:after="0" w:line="233" w:lineRule="auto"/>
        <w:tabs>
          <w:tab w:leader="none" w:pos="15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w:t>
      </w:r>
    </w:p>
    <w:p>
      <w:pPr>
        <w:spacing w:after="0" w:line="33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above table does not reflect our long-term liabilities associated with unrecognized tax benefits of $2.6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4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While approximately 45% of our revenue during fiscal 2022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16,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to the Consolidated Financial Statements in Item 8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4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experienced rising inflationary pressures in our global supply chain that had an impact on our results of operations during fiscal 2022. We continue to monitor inflationary pressures generally and raw materials indices that may affect our procurement and production costs. Increases in the price of petroleum derivatives could result in corresponding increases in our costs to</w:t>
      </w:r>
    </w:p>
    <w:p>
      <w:pPr>
        <w:spacing w:after="0" w:line="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procure plastic raw materials. We expect the inflationary pressures we have experienced in our global supply chain to continue throughout fiscal 2023.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4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During fiscal 2022, 35.6%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Australian Dollar, Chinese Yuan and the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recent accounting pronouncements that we expect to have a material impact on our financial position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 We consider an estimate to be a “critical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color w:val="auto"/>
        </w:rPr>
        <w:t>accounting estimate” when (i) the nature of the estimate is material due to the level of subjectivity and judgment necessary to account for highly uncertain matters or the susceptibility of such matters to change; and (ii) the impact of the estimate on financial condition or operating performance is material. The accounting policies and estimates identified as critical are as follows: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 the Consolidated Financial Statements in Item 8 of this Annual Report on Form 10-K for further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Future events that could have a negative impact on the levels of excess fair value over carrying value of our reporting units include, but are not limited to, the following:</w:t>
      </w:r>
    </w:p>
    <w:p>
      <w:pPr>
        <w:spacing w:after="0" w:line="190" w:lineRule="exact"/>
        <w:rPr>
          <w:sz w:val="20"/>
          <w:szCs w:val="20"/>
          <w:color w:val="auto"/>
        </w:rPr>
      </w:pPr>
    </w:p>
    <w:p>
      <w:pPr>
        <w:ind w:left="640" w:right="20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89" w:lineRule="exact"/>
        <w:rPr>
          <w:rFonts w:ascii="Times New Roman" w:cs="Times New Roman" w:eastAsia="Times New Roman" w:hAnsi="Times New Roman"/>
          <w:sz w:val="18"/>
          <w:szCs w:val="18"/>
          <w:color w:val="auto"/>
        </w:rPr>
      </w:pPr>
    </w:p>
    <w:p>
      <w:pPr>
        <w:jc w:val="both"/>
        <w:ind w:left="640" w:right="26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204"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forecasted profitability due to an inability to implement successfully and achieve timely and sustainable cost improvement measures consistent with our expectations,</w:t>
      </w:r>
    </w:p>
    <w:p>
      <w:pPr>
        <w:spacing w:after="0" w:line="189" w:lineRule="exact"/>
        <w:rPr>
          <w:rFonts w:ascii="Times New Roman" w:cs="Times New Roman" w:eastAsia="Times New Roman" w:hAnsi="Times New Roman"/>
          <w:sz w:val="18"/>
          <w:szCs w:val="18"/>
          <w:color w:val="auto"/>
        </w:rPr>
      </w:pPr>
    </w:p>
    <w:p>
      <w:pPr>
        <w:ind w:left="640" w:right="68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reporting units or in the structure of our business as a result of future reorganizations, acquisitions or divestitures of assets or businesses and</w:t>
      </w:r>
    </w:p>
    <w:p>
      <w:pPr>
        <w:spacing w:after="0" w:line="189"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market-participant risk-adjusted weighted average cost of capital and increases in our market-participant tax rate and/or changes in tax laws or macroeconomic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changes in one or more of these factors, among others, could result in future impairment charges.</w:t>
      </w:r>
    </w:p>
    <w:p>
      <w:pPr>
        <w:spacing w:after="0" w:line="24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Refer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Goodwill &amp; Intangible Assets,</w:t>
      </w:r>
      <w:r>
        <w:rPr>
          <w:rFonts w:ascii="Times New Roman" w:cs="Times New Roman" w:eastAsia="Times New Roman" w:hAnsi="Times New Roman"/>
          <w:sz w:val="18"/>
          <w:szCs w:val="18"/>
          <w:color w:val="auto"/>
        </w:rPr>
        <w:t xml:space="preserve"> to the Consolidated Financial Statements in Item 8 of this Annual Report on Form 10-K for additional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Provisions</w:t>
      </w:r>
    </w:p>
    <w:p>
      <w:pPr>
        <w:spacing w:after="0" w:line="24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 the Consolidated Financial Statements in Item 8 of this Annual Report on Form 10-K for further information and discussion of our income tax provision and balances.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4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existing customer attrition.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spacing w:after="0" w:line="21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projections are discounted with a risk adjusted rate. Each quarter until such contingent amounts are earned, the fair value of the liability is remeasured at each reporting period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and interest rate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4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April 2, 2022, in the event of a 10% strengthening of the U.S. Dollar, the change in fair value of all forward contracts would result in a $3.9 million increase in the fair value of the forward contracts, whereas a 10% weakening of the U.S. Dollar would result in a $4.4 million decrease in the fair value of the forward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7"/>
          <w:szCs w:val="17"/>
          <w:color w:val="auto"/>
        </w:rPr>
        <w:t>Our exposure to changes in interest rates is associated with borrowings under our Credit Facilities, all of which is variable rate debt. Total outstanding debt under our Credit Facilities as of April 2, 2022 was $284.4 million with an interest rate of 2.3% based on prevailing LIBOR rates. An increase of 100 basis points in LIBOR rates would result in additional annual interest expense of $0.9 million. As of April 2, 2022, the notional amount on our two interest rate swap agreements to effectively convert borrowings under our Credit Facilities from a variable rate to a fixed rate were $199.1 million.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Haemonetics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Haemonetics Corporation and subsidiaries (the Company) as of April 2, 2022 and April 3, 2021, the related consolidated statements of income, comprehensive income, stockholders' equity and cash flows for each of the three years in the period ended April 2, 2022, and the related notes (collectively referred to as the “consolidated financial statements”). In our opinion, the consolidated financial statements present fairly, in all material respects, the financial position of the Company at April 2, 2022 and April 3, 2021, and the results of its operations and its cash flows for each of the three years in the period ended April 2, 2022, in conformity with U.S. generally accepted accounting principles.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April 2, 2022, based on criteria established in Internal Control—Integrated Framework issued by the Committee of Sponsoring Organizations of the Treadway Commission (2013 framework) and our report dated May 25, 2022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discussed in Note 13 to the consolidated financial statements, the Company changed its method of accounting for its convertible notes effective April 4, 2021 due to adoption of Accounting Standards Update (ASU) No. 2020-06 Debt - Debt with Conversion and Other Options (Subtopic 470-20) and Derivatives and Hedging - Contracts in Entity's Own Equity (Subtopic 815-40), and the related amendments.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had approximately $467 million of goodwill allocated among its reporting units as of April 2, 2022. The Company performs its annual quantitative impairment analysis as of the first day of the fourth quarter, and more frequently if the Company believes indicators of impairment exist, utilizing a discounted cash flow income approach in order to value reporting units for the test.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Auditing the annual goodwill impairment test was especially complex and judgmental due to the significant estimation required in determining the fair values of the reporting units. In particular, the fair value estimates involve judgmental assumptions including discount rates, terminal values, and the amount and timing of expected future cash flows, which are all affected by expectations about future market or economic conditions and reporting unit specific risk factors.</w:t>
      </w:r>
    </w:p>
    <w:p>
      <w:pPr>
        <w:spacing w:after="0" w:line="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For example, we tested controls over management's review of the significant inputs and assumptions used in determining the reporting unit fair values.</w:t>
      </w:r>
    </w:p>
    <w:p>
      <w:pPr>
        <w:spacing w:after="0" w:line="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To test the estimated fair value of the Company’s reporting units, we performed audit procedures that included, among others, assessing fair value methodologies, testing the significant assumptions discussed above and the completeness and accuracy of the underlying data used by the Company in its analysis. We compared the significant assumptions used by management to current industry trends, historical financial results of the reporting unit, and other relevant factors. We considered the historical accuracy of management’s estimates and performed sensitivity analyses of significant assumptions to evaluate the changes in the fair value of the reporting unit that would result from changes in the assumptions. In addition, we involved our valuation professionals to assist in our evaluation of the significant assumptions used to develop the fair value estimates. We also evaluated the reconciliation of the estimated aggregate fair value of the reporting units to the market capitalization of the Company.</w:t>
      </w:r>
    </w:p>
    <w:p>
      <w:pPr>
        <w:spacing w:after="0" w:line="200" w:lineRule="exact"/>
        <w:rPr>
          <w:sz w:val="20"/>
          <w:szCs w:val="20"/>
          <w:color w:val="auto"/>
        </w:rPr>
      </w:pPr>
    </w:p>
    <w:p>
      <w:pPr>
        <w:sectPr>
          <w:pgSz w:w="11900" w:h="16838" w:orient="portrait"/>
          <w:cols w:equalWidth="0" w:num="2">
            <w:col w:w="1820" w:space="260"/>
            <w:col w:w="914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25, 2022</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6"/>
        </w:trPr>
        <w:tc>
          <w:tcPr>
            <w:tcW w:w="6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0"/>
                <w:szCs w:val="10"/>
                <w:color w:val="auto"/>
              </w:rPr>
            </w:pPr>
          </w:p>
        </w:tc>
        <w:tc>
          <w:tcPr>
            <w:tcW w:w="13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Pr>
          <w:p>
            <w:pPr>
              <w:spacing w:after="0"/>
              <w:rPr>
                <w:sz w:val="10"/>
                <w:szCs w:val="10"/>
                <w:color w:val="auto"/>
              </w:rPr>
            </w:pPr>
          </w:p>
        </w:tc>
        <w:tc>
          <w:tcPr>
            <w:tcW w:w="1180" w:type="dxa"/>
            <w:vAlign w:val="bottom"/>
          </w:tcPr>
          <w:p>
            <w:pPr>
              <w:jc w:val="right"/>
              <w:ind w:right="313"/>
              <w:spacing w:after="0" w:line="126"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5"/>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988,479</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503,966</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484,513</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282,017</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50,599</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divestitures and sale of assets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381,162</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103,351</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(benefit) for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87,152</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5"/>
        </w:trPr>
        <w:tc>
          <w:tcPr>
            <w:tcW w:w="6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w:t>
            </w:r>
          </w:p>
        </w:tc>
      </w:tr>
      <w:tr>
        <w:trPr>
          <w:trHeight w:val="231"/>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51,815</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6"/>
        </w:trPr>
        <w:tc>
          <w:tcPr>
            <w:tcW w:w="6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0"/>
                <w:szCs w:val="10"/>
                <w:color w:val="auto"/>
              </w:rPr>
            </w:pPr>
          </w:p>
        </w:tc>
        <w:tc>
          <w:tcPr>
            <w:tcW w:w="13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Pr>
          <w:p>
            <w:pPr>
              <w:spacing w:after="0"/>
              <w:rPr>
                <w:sz w:val="10"/>
                <w:szCs w:val="10"/>
                <w:color w:val="auto"/>
              </w:rPr>
            </w:pPr>
          </w:p>
        </w:tc>
        <w:tc>
          <w:tcPr>
            <w:tcW w:w="1180" w:type="dxa"/>
            <w:vAlign w:val="bottom"/>
          </w:tcPr>
          <w:p>
            <w:pPr>
              <w:jc w:val="right"/>
              <w:ind w:right="316"/>
              <w:spacing w:after="0" w:line="126"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1"/>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65"/>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defined benefit plans, net of tax</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cash flow hedges, net of tax</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into earnings of cash flow hedge losses,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(14,755)</w:t>
            </w: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1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48"/>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259,496</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192,305</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of $2,475 at April 2, 2022 and $2,226 at April 3, 2021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127,555</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322,614</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51,072</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756,031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693,546</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217,559</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$376,552 at April 2, 2022 and $320,640 at April 3, 2021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365,483</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466,444</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70,882</w:t>
            </w:r>
          </w:p>
        </w:tc>
        <w:tc>
          <w:tcPr>
            <w:tcW w:w="0" w:type="dxa"/>
            <w:vAlign w:val="bottom"/>
          </w:tcPr>
          <w:p>
            <w:pPr>
              <w:spacing w:after="0"/>
              <w:rPr>
                <w:sz w:val="1"/>
                <w:szCs w:val="1"/>
                <w:color w:val="auto"/>
              </w:rPr>
            </w:pPr>
          </w:p>
        </w:tc>
      </w:tr>
      <w:tr>
        <w:trPr>
          <w:trHeight w:val="207"/>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50,293</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138,586</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253,495</w:t>
            </w:r>
          </w:p>
        </w:tc>
        <w:tc>
          <w:tcPr>
            <w:tcW w:w="0" w:type="dxa"/>
            <w:vAlign w:val="bottom"/>
          </w:tcPr>
          <w:p>
            <w:pPr>
              <w:spacing w:after="0"/>
              <w:rPr>
                <w:sz w:val="1"/>
                <w:szCs w:val="1"/>
                <w:color w:val="auto"/>
              </w:rPr>
            </w:pPr>
          </w:p>
        </w:tc>
      </w:tr>
      <w:tr>
        <w:trPr>
          <w:trHeight w:val="20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690,592</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43,825</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100,341</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4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51,124,240 shares at April</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 2022 and 50,868,820 shares at April 3, 2021</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602,727</w:t>
            </w:r>
          </w:p>
        </w:tc>
        <w:tc>
          <w:tcPr>
            <w:tcW w:w="0" w:type="dxa"/>
            <w:vAlign w:val="bottom"/>
          </w:tcPr>
          <w:p>
            <w:pPr>
              <w:spacing w:after="0"/>
              <w:rPr>
                <w:sz w:val="1"/>
                <w:szCs w:val="1"/>
                <w:color w:val="auto"/>
              </w:rPr>
            </w:pP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157,981</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(29,547)</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749,424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731,670</w:t>
            </w:r>
          </w:p>
        </w:tc>
        <w:tc>
          <w:tcPr>
            <w:tcW w:w="0" w:type="dxa"/>
            <w:vAlign w:val="bottom"/>
          </w:tcPr>
          <w:p>
            <w:pPr>
              <w:spacing w:after="0"/>
              <w:rPr>
                <w:sz w:val="1"/>
                <w:szCs w:val="1"/>
                <w:color w:val="auto"/>
              </w:rPr>
            </w:pPr>
          </w:p>
        </w:tc>
      </w:tr>
      <w:tr>
        <w:trPr>
          <w:trHeight w:val="232"/>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26" w:right="5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72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3"/>
                <w:szCs w:val="13"/>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9"/>
        </w:trPr>
        <w:tc>
          <w:tcPr>
            <w:tcW w:w="45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0"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0"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40" w:type="dxa"/>
            <w:vAlign w:val="bottom"/>
          </w:tcPr>
          <w:p>
            <w:pPr>
              <w:spacing w:after="0"/>
              <w:rPr>
                <w:sz w:val="5"/>
                <w:szCs w:val="5"/>
                <w:color w:val="auto"/>
              </w:rPr>
            </w:pPr>
          </w:p>
        </w:tc>
        <w:tc>
          <w:tcPr>
            <w:tcW w:w="960" w:type="dxa"/>
            <w:vAlign w:val="bottom"/>
          </w:tcPr>
          <w:p>
            <w:pPr>
              <w:jc w:val="center"/>
              <w:ind w:right="71"/>
              <w:spacing w:after="0" w:line="60"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452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140" w:type="dxa"/>
            <w:vAlign w:val="bottom"/>
          </w:tcPr>
          <w:p>
            <w:pPr>
              <w:spacing w:after="0"/>
              <w:rPr>
                <w:sz w:val="15"/>
                <w:szCs w:val="15"/>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536,320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667,868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repurchased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76,526</w:t>
            </w:r>
          </w:p>
        </w:tc>
        <w:tc>
          <w:tcPr>
            <w:tcW w:w="0" w:type="dxa"/>
            <w:vAlign w:val="bottom"/>
          </w:tcPr>
          <w:p>
            <w:pPr>
              <w:spacing w:after="0"/>
              <w:rPr>
                <w:sz w:val="1"/>
                <w:szCs w:val="1"/>
                <w:color w:val="auto"/>
              </w:rPr>
            </w:pPr>
          </w:p>
        </w:tc>
      </w:tr>
      <w:tr>
        <w:trPr>
          <w:trHeight w:val="192"/>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28,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553,229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25,516</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component of convertible notes, net of issuance costs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(47,400)</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79,469</w:t>
            </w:r>
          </w:p>
        </w:tc>
        <w:tc>
          <w:tcPr>
            <w:tcW w:w="0" w:type="dxa"/>
            <w:vAlign w:val="bottom"/>
          </w:tcPr>
          <w:p>
            <w:pPr>
              <w:spacing w:after="0"/>
              <w:rPr>
                <w:sz w:val="1"/>
                <w:szCs w:val="1"/>
                <w:color w:val="auto"/>
              </w:rPr>
            </w:pPr>
          </w:p>
        </w:tc>
      </w:tr>
      <w:tr>
        <w:trPr>
          <w:trHeight w:val="19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15,588</w:t>
            </w:r>
          </w:p>
        </w:tc>
        <w:tc>
          <w:tcPr>
            <w:tcW w:w="0" w:type="dxa"/>
            <w:vAlign w:val="bottom"/>
          </w:tcPr>
          <w:p>
            <w:pPr>
              <w:spacing w:after="0"/>
              <w:rPr>
                <w:sz w:val="1"/>
                <w:szCs w:val="1"/>
                <w:color w:val="auto"/>
              </w:rPr>
            </w:pPr>
          </w:p>
        </w:tc>
      </w:tr>
      <w:tr>
        <w:trPr>
          <w:trHeight w:val="19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3,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50,869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602,727</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157,981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Cumulative effect of change in accounting standards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w:t>
            </w:r>
          </w:p>
        </w:tc>
        <w:tc>
          <w:tcPr>
            <w:tcW w:w="0" w:type="dxa"/>
            <w:vAlign w:val="bottom"/>
          </w:tcPr>
          <w:p>
            <w:pPr>
              <w:spacing w:after="0"/>
              <w:rPr>
                <w:sz w:val="1"/>
                <w:szCs w:val="1"/>
                <w:color w:val="auto"/>
              </w:rPr>
            </w:pPr>
          </w:p>
        </w:tc>
      </w:tr>
      <w:tr>
        <w:trPr>
          <w:trHeight w:val="19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19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51,124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572,476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202,391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749,424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Pr>
          <w:p>
            <w:pPr>
              <w:spacing w:after="0"/>
              <w:rPr>
                <w:sz w:val="11"/>
                <w:szCs w:val="11"/>
                <w:color w:val="auto"/>
              </w:rPr>
            </w:pPr>
          </w:p>
        </w:tc>
        <w:tc>
          <w:tcPr>
            <w:tcW w:w="1180" w:type="dxa"/>
            <w:vAlign w:val="bottom"/>
          </w:tcPr>
          <w:p>
            <w:pPr>
              <w:jc w:val="right"/>
              <w:ind w:right="321"/>
              <w:spacing w:after="0" w:line="128"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1"/>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43,375</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79,469</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76,526</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110,289</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50,599</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20,454</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divestiture and sale of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(8,083)</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benefit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provision for losses on inventory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accounts receivable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18,863</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inventories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(84,721)</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prepaid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other assets and other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w:t>
            </w:r>
          </w:p>
        </w:tc>
      </w:tr>
      <w:tr>
        <w:trPr>
          <w:trHeight w:val="203"/>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158,217</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(48,758)</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divestiture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16,774</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03"/>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(57,176)</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term loan borrowings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(decrease) increase in short-term loans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capped call related to convertible notes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costs paid in connection with convertible notes issuance</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3"/>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(131,208)</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r>
      <w:tr>
        <w:trPr>
          <w:trHeight w:val="20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(32,040)</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169,351</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259,496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192,305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137,311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12,545</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Transfers from inventory to fixed assets for placement of Haemonetics equipment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14,479</w:t>
            </w:r>
          </w:p>
        </w:tc>
      </w:tr>
      <w:tr>
        <w:trPr>
          <w:trHeight w:val="208"/>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Tenant improvement allowances excluded from capital expenditures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w:t>
            </w: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BASIS OF PRESENTATION</w:t>
      </w:r>
    </w:p>
    <w:p>
      <w:pPr>
        <w:spacing w:after="0" w:line="2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20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Haemonetics manages its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Transfusion Management and Cell Salvage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12"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w:t>
      </w:r>
    </w:p>
    <w:p>
      <w:pPr>
        <w:spacing w:after="0" w:line="204"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4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Haemonetics' fiscal year ends on the Saturday closest to the last day of March. Fiscal 2021 included 53 weeks with each of the first three quarters having 13 weeks and the fourth quarter having 14 weeks. Fiscal 2022 and 2020 included 52 weeks with each quarter having 13 weeks.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8"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accounts including those of its subsidiaries. All significant intercompany accounts and transactions have been eliminated in consolidation.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Revenues</w:t>
      </w:r>
    </w:p>
    <w:p>
      <w:pPr>
        <w:spacing w:after="0" w:line="2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207"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7"/>
          <w:szCs w:val="17"/>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and Other Revenues</w:t>
      </w:r>
    </w:p>
    <w:p>
      <w:pPr>
        <w:spacing w:after="0" w:line="24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24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44"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Practical Expedients</w:t>
      </w:r>
    </w:p>
    <w:p>
      <w:pPr>
        <w:spacing w:after="0" w:line="244"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4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8"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Cash equivalents include various instruments such as money market funds, U.S. government obligations and commercial paper with maturities of three months or less at date of acquisition. Cash and cash equivalents are recorded at cost, which</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approximates fair market value. As of April 2, 2022, cash and cash equivalents consisted primarily of investments in United States Government Agency and institutional money market funds.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Inventories are stated at the lower of cost or market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4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tbl>
      <w:tblPr>
        <w:tblLayout w:type="fixed"/>
        <w:tblInd w:w="0" w:type="dxa"/>
        <w:tblCellMar>
          <w:top w:w="0" w:type="dxa"/>
          <w:left w:w="0" w:type="dxa"/>
          <w:bottom w:w="0" w:type="dxa"/>
          <w:right w:w="0" w:type="dxa"/>
        </w:tblCellMar>
      </w:tblPr>
      <w:tr>
        <w:trPr>
          <w:trHeight w:val="145"/>
        </w:trPr>
        <w:tc>
          <w:tcPr>
            <w:tcW w:w="6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4500" w:type="dxa"/>
            <w:vAlign w:val="bottom"/>
            <w:shd w:val="clear" w:color="auto" w:fill="CCEEFF"/>
          </w:tcPr>
          <w:p>
            <w:pPr>
              <w:jc w:val="center"/>
              <w:ind w:left="3157"/>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1"/>
        </w:trPr>
        <w:tc>
          <w:tcPr>
            <w:tcW w:w="6700" w:type="dxa"/>
            <w:vAlign w:val="bottom"/>
            <w:tcBorders>
              <w:bottom w:val="single" w:sz="8" w:color="auto"/>
            </w:tcBorders>
            <w:vMerge w:val="continue"/>
            <w:shd w:val="clear" w:color="auto" w:fill="CCEEFF"/>
          </w:tcPr>
          <w:p>
            <w:pPr>
              <w:spacing w:after="0"/>
              <w:rPr>
                <w:sz w:val="16"/>
                <w:szCs w:val="16"/>
                <w:color w:val="auto"/>
              </w:rPr>
            </w:pPr>
          </w:p>
        </w:tc>
        <w:tc>
          <w:tcPr>
            <w:tcW w:w="4500" w:type="dxa"/>
            <w:vAlign w:val="bottom"/>
            <w:tcBorders>
              <w:bottom w:val="single" w:sz="8" w:color="auto"/>
            </w:tcBorders>
            <w:shd w:val="clear" w:color="auto" w:fill="CCEEFF"/>
          </w:tcPr>
          <w:p>
            <w:pPr>
              <w:jc w:val="center"/>
              <w:ind w:left="3157"/>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500" w:type="dxa"/>
            <w:vAlign w:val="bottom"/>
          </w:tcPr>
          <w:p>
            <w:pPr>
              <w:jc w:val="center"/>
              <w:ind w:left="3157"/>
              <w:spacing w:after="0"/>
              <w:rPr>
                <w:sz w:val="20"/>
                <w:szCs w:val="20"/>
                <w:color w:val="auto"/>
              </w:rPr>
            </w:pPr>
            <w:r>
              <w:rPr>
                <w:rFonts w:ascii="Times New Roman" w:cs="Times New Roman" w:eastAsia="Times New Roman" w:hAnsi="Times New Roman"/>
                <w:sz w:val="18"/>
                <w:szCs w:val="18"/>
                <w:color w:val="auto"/>
                <w:w w:val="97"/>
              </w:rPr>
              <w:t>30-40 Years</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500" w:type="dxa"/>
            <w:vAlign w:val="bottom"/>
            <w:shd w:val="clear" w:color="auto" w:fill="CCEEFF"/>
          </w:tcPr>
          <w:p>
            <w:pPr>
              <w:jc w:val="center"/>
              <w:ind w:left="3137"/>
              <w:spacing w:after="0"/>
              <w:rPr>
                <w:sz w:val="20"/>
                <w:szCs w:val="20"/>
                <w:color w:val="auto"/>
              </w:rPr>
            </w:pPr>
            <w:r>
              <w:rPr>
                <w:rFonts w:ascii="Times New Roman" w:cs="Times New Roman" w:eastAsia="Times New Roman" w:hAnsi="Times New Roman"/>
                <w:sz w:val="18"/>
                <w:szCs w:val="18"/>
                <w:color w:val="auto"/>
                <w:w w:val="95"/>
              </w:rPr>
              <w:t>5-20 Years</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4500" w:type="dxa"/>
            <w:vAlign w:val="bottom"/>
          </w:tcPr>
          <w:p>
            <w:pPr>
              <w:jc w:val="center"/>
              <w:ind w:left="3137"/>
              <w:spacing w:after="0"/>
              <w:rPr>
                <w:sz w:val="20"/>
                <w:szCs w:val="20"/>
                <w:color w:val="auto"/>
              </w:rPr>
            </w:pPr>
            <w:r>
              <w:rPr>
                <w:rFonts w:ascii="Times New Roman" w:cs="Times New Roman" w:eastAsia="Times New Roman" w:hAnsi="Times New Roman"/>
                <w:sz w:val="18"/>
                <w:szCs w:val="18"/>
                <w:color w:val="auto"/>
                <w:w w:val="95"/>
              </w:rPr>
              <w:t>3-15 Years</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4500" w:type="dxa"/>
            <w:vAlign w:val="bottom"/>
            <w:shd w:val="clear" w:color="auto" w:fill="CCEEFF"/>
          </w:tcPr>
          <w:p>
            <w:pPr>
              <w:jc w:val="center"/>
              <w:ind w:left="3137"/>
              <w:spacing w:after="0"/>
              <w:rPr>
                <w:sz w:val="20"/>
                <w:szCs w:val="20"/>
                <w:color w:val="auto"/>
              </w:rPr>
            </w:pPr>
            <w:r>
              <w:rPr>
                <w:rFonts w:ascii="Times New Roman" w:cs="Times New Roman" w:eastAsia="Times New Roman" w:hAnsi="Times New Roman"/>
                <w:sz w:val="18"/>
                <w:szCs w:val="18"/>
                <w:color w:val="auto"/>
                <w:w w:val="95"/>
              </w:rPr>
              <w:t>3-10 Years</w:t>
            </w:r>
          </w:p>
        </w:tc>
        <w:tc>
          <w:tcPr>
            <w:tcW w:w="0" w:type="dxa"/>
            <w:vAlign w:val="bottom"/>
          </w:tcPr>
          <w:p>
            <w:pPr>
              <w:spacing w:after="0"/>
              <w:rPr>
                <w:sz w:val="1"/>
                <w:szCs w:val="1"/>
                <w:color w:val="auto"/>
              </w:rPr>
            </w:pPr>
          </w:p>
        </w:tc>
      </w:tr>
      <w:tr>
        <w:trPr>
          <w:trHeight w:val="23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4500" w:type="dxa"/>
            <w:vAlign w:val="bottom"/>
          </w:tcPr>
          <w:p>
            <w:pPr>
              <w:jc w:val="center"/>
              <w:ind w:left="3137"/>
              <w:spacing w:after="0"/>
              <w:rPr>
                <w:sz w:val="20"/>
                <w:szCs w:val="20"/>
                <w:color w:val="auto"/>
              </w:rPr>
            </w:pPr>
            <w:r>
              <w:rPr>
                <w:rFonts w:ascii="Times New Roman" w:cs="Times New Roman" w:eastAsia="Times New Roman" w:hAnsi="Times New Roman"/>
                <w:sz w:val="18"/>
                <w:szCs w:val="18"/>
                <w:color w:val="auto"/>
                <w:w w:val="96"/>
              </w:rPr>
              <w:t>3-7 Years</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color w:val="auto"/>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spacing w:after="0" w:line="185" w:lineRule="exact"/>
        <w:rPr>
          <w:sz w:val="20"/>
          <w:szCs w:val="20"/>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consumption of a certain level of disposable products</w:t>
      </w:r>
    </w:p>
    <w:p>
      <w:pPr>
        <w:spacing w:after="0" w:line="2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monthly rental fees</w:t>
      </w:r>
    </w:p>
    <w:p>
      <w:pPr>
        <w:spacing w:after="0" w:line="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utilization performance metric, such as performing a minimum level of procedures per month per device</w:t>
      </w:r>
    </w:p>
    <w:p>
      <w:pPr>
        <w:spacing w:after="0" w:line="22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with these devices, from which it generates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20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Under ASC Update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The Company's reportable and operating segments are as follows: Plasma, Blood Center, and Hospital.</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When allocating goodwill from business combinations to its reporting units, the Company assigns goodwill to the reporting units that it expects to benefit from the respective business combination at the time of acquisition. In addition, for purposes of performing its goodwill impairment tests, assets and liabilities, including corporate assets, which relate to a reporting unit’s operations and would be considered in determining its fair value, are allocated to the individual reporting units. The Company allocates assets and liabilities not directly related to a specific reporting unit, but from which the reporting unit benefits, based primarily on the respective revenue contribution of each reporting unit.</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corroborated the valuations that arose from the discounted cash flow approach by performing both a market multiple valuation and by reconciling the aggregate fair value of its reporting units to its market capitalization at the time of the test.</w:t>
      </w:r>
    </w:p>
    <w:p>
      <w:pPr>
        <w:spacing w:after="0" w:line="2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During the fourth quarter of fiscal 2022, 2021 and 2020, the Company performed its annual goodwill impairment test. The results of the goodwill impairment test performed indicated that the estimated fair value of all of its reporting units exceeded their respective carrying values. There were no reporting units at risk of impairment as of the fiscal 2022, 2021 and 2020 annual test date.</w:t>
      </w:r>
    </w:p>
    <w:p>
      <w:pPr>
        <w:spacing w:after="0" w:line="2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reviews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spacing w:after="0" w:line="20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If the Company determines the estimate of an intangible asset's remaining useful life should be reduced based on its expected use of the asset, the remaining carrying amount of the asset is amortized prospectively over the revised estimated useful life. During fiscal 2022 the Company recognized impairment charges of intangible assets of $0.6 million. In 2021 and 2020 the Company did not incur any intangible asset impairments.</w:t>
      </w:r>
    </w:p>
    <w:p>
      <w:pPr>
        <w:spacing w:after="0" w:line="2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has in-process research and development (“IPR&amp;D”) intangible assets with indefinite lives. IPR&amp;D assets are not amortized. The Company reviews these assets for impairment at least annually, or on an interim basis between annual tests when events or circumstances indicate that it is more likely than not that the fair value of the asset is less than its carrying value. The Company performs its annual impairment test on the first day of the fiscal fourth quarter for its IPR&amp;D assets. The Company makes assumptions about future cash flows, terminal value growth, costs for completion and appropriate discount rates. The Company elected a qualitative assessment in fiscal year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Costs of Computer Software to be Sold, Leased, or Otherwise Marketed</w:t>
      </w:r>
    </w:p>
    <w:p>
      <w:pPr>
        <w:spacing w:after="0" w:line="24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21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The Company reviews the net realizable value of capitalized assets periodically to assess the recoverability of amounts capitalized. There were no impairment charges recorded during fiscal 2022, 2021 and 2020. In the future, the net realizable value may be adversely affected by the loss of a significant customer or a significant change in the market place, which could result in an impairment being recorded.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liabilities represent items payable or expected to settle within the next twelve months. The items included in the fiscal year end balances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1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 liabilities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contracts and interest rate swaps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Acquisition related liability</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121,207</w:t>
            </w:r>
          </w:p>
        </w:tc>
        <w:tc>
          <w:tcPr>
            <w:tcW w:w="12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6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right="120"/>
        <w:spacing w:after="0" w:line="210"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Related to equity and employee compensation payments associated with the acquisition of Cardiva Medical Inc. that were funded to a third party agent at the transaction closing date but were not yet paid to certain selling shareholders and/or employees as of April 2, 2022 and April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-193675</wp:posOffset>
            </wp:positionV>
            <wp:extent cx="1884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represent items that are not payable or expected to settle within the next twelve months.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research and development costs are expensed as incurred.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advertising costs are expensed as incurred and are included in selling, general and administrative expenses in the consolidated statements of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$4.4 million, $2.7 million and $4.3 million in fiscal 2022, 2021 and 2020,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included in selling, general and administrative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information and discussion of the Company's income tax provision and balances.</w:t>
      </w:r>
    </w:p>
    <w:p>
      <w:pPr>
        <w:spacing w:after="0" w:line="2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Prior to April 4, 2021, the Company accounted for convertible senior notes as separate liability and equity components, determining the fair value of the respective liability components based on an estimate of the fair value of a similar liability without a conversion option and assigning the residual value to the equity component.</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Effective April 4, 2021, the Company accounted for convertible senior notes as a single liability measured at its amortized cost. See </w:t>
      </w:r>
      <w:r>
        <w:rPr>
          <w:rFonts w:ascii="Times New Roman" w:cs="Times New Roman" w:eastAsia="Times New Roman" w:hAnsi="Times New Roman"/>
          <w:sz w:val="18"/>
          <w:szCs w:val="18"/>
          <w:i w:val="1"/>
          <w:iCs w:val="1"/>
          <w:color w:val="auto"/>
        </w:rPr>
        <w:t>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Pronouncements </w:t>
      </w:r>
      <w:r>
        <w:rPr>
          <w:rFonts w:ascii="Times New Roman" w:cs="Times New Roman" w:eastAsia="Times New Roman" w:hAnsi="Times New Roman"/>
          <w:sz w:val="18"/>
          <w:szCs w:val="18"/>
          <w:color w:val="auto"/>
        </w:rPr>
        <w:t>below. At issuance, the carrying amount is calculated as the proceeds, net of initial debt issuance costs. The difference between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and carrying value is amortized to interest expense over the term of the convertible senior notes using the effective interest rate method.</w:t>
      </w:r>
    </w:p>
    <w:p>
      <w:pPr>
        <w:spacing w:after="0" w:line="201"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A detailed analysis of the terms of the convertible senior notes transactions is required to determine existence of any derivatives that may require separate mark-to-market accounting under applicable accounting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 xml:space="preserve">The Company accounts for its derivative financial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losses of $1.5 million, $0.7 million and $2.9 million in fiscal 2022, 2021 and 2020, respectively.</w:t>
      </w:r>
    </w:p>
    <w:p>
      <w:pPr>
        <w:spacing w:after="0" w:line="21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Exit Activities</w:t>
      </w:r>
    </w:p>
    <w:p>
      <w:pPr>
        <w:spacing w:after="0" w:line="24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records employee termination costs in accordance with ASC Topic 712</w:t>
      </w:r>
      <w:r>
        <w:rPr>
          <w:rFonts w:ascii="Times New Roman" w:cs="Times New Roman" w:eastAsia="Times New Roman" w:hAnsi="Times New Roman"/>
          <w:sz w:val="18"/>
          <w:szCs w:val="18"/>
          <w:i w:val="1"/>
          <w:iCs w:val="1"/>
          <w:color w:val="auto"/>
        </w:rPr>
        <w:t>, Compensation - Nonretirement and Postemployment Benefits</w:t>
      </w:r>
      <w:r>
        <w:rPr>
          <w:rFonts w:ascii="Times New Roman" w:cs="Times New Roman" w:eastAsia="Times New Roman" w:hAnsi="Times New Roman"/>
          <w:sz w:val="18"/>
          <w:szCs w:val="18"/>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Times New Roman" w:cs="Times New Roman" w:eastAsia="Times New Roman" w:hAnsi="Times New Roman"/>
          <w:sz w:val="18"/>
          <w:szCs w:val="18"/>
          <w:i w:val="1"/>
          <w:iCs w:val="1"/>
          <w:color w:val="auto"/>
        </w:rPr>
        <w:t>, Exit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Obligation</w:t>
      </w:r>
      <w:r>
        <w:rPr>
          <w:rFonts w:ascii="Times New Roman" w:cs="Times New Roman" w:eastAsia="Times New Roman" w:hAnsi="Times New Roman"/>
          <w:sz w:val="18"/>
          <w:szCs w:val="18"/>
          <w:color w:val="auto"/>
        </w:rPr>
        <w:t>s. It records such costs into expense over the employee’s future service period, if any.</w:t>
      </w:r>
    </w:p>
    <w:p>
      <w:pPr>
        <w:spacing w:after="0" w:line="21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Times New Roman" w:cs="Times New Roman" w:eastAsia="Times New Roman" w:hAnsi="Times New Roman"/>
          <w:sz w:val="18"/>
          <w:szCs w:val="18"/>
          <w:i w:val="1"/>
          <w:iCs w:val="1"/>
          <w:color w:val="auto"/>
        </w:rPr>
        <w:t>,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are included primarily in selling, general and administrative costs in its consolidated statement of income. Additionally, costs directly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Refer to Note 3, </w:t>
      </w: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for further information and discussion of its restructuring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Acquisitions</w:t>
      </w:r>
    </w:p>
    <w:p>
      <w:pPr>
        <w:spacing w:after="0" w:line="2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existing customer attrition.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248"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equivalents and accounts receivable. In fiscal 2022, 2021 and 2020, the Company's ten largest customers accounted for approximately 45%, 49% and 54% of net revenues, respectively. In fiscal 2022, one Plasma customer, CSL Limited (together with its affiliates, “CSL”) was greater than 10% of both total net revenue and accounts receivable and in total accounted for approximately 12% of net revenues and 14% of accounts receivable. In addition to CSL, two customers also accounted for greater than 10% of the Plasma segment's net revenues and one customer also accounted for greater than 10% of the Blood Center segment's net revenues, but did not exceed 10% of total net revenues, in fiscal 2022.</w:t>
      </w:r>
    </w:p>
    <w:p>
      <w:pPr>
        <w:spacing w:after="0" w:line="21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Certain other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Implemented</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Codification (“ASC”) Update No. 2016-13, Financial Instruments - Credit Losses (Topic 326). ASC Update No. 2016-13 is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consolidated financial statements.</w:t>
      </w:r>
    </w:p>
    <w:p>
      <w:pPr>
        <w:spacing w:after="0" w:line="21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ASC Update No. 2018-15, Intangibles, Goodwill and Other - Internal-Use Software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consolidated financial statements.</w:t>
      </w:r>
    </w:p>
    <w:p>
      <w:pPr>
        <w:spacing w:after="0" w:line="207"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In May 2020, the Securities and Exchange Commission (“SEC”) issued a final rule that amends the financial statement requirements for acquisitions and dispositions of businesses. The amendments primarily relate to disclosures required by Rule 3-05 and Article 11 of Regulation S-X and modifies the tests provided in Rule 1-02(w) of Regulation S-X used to determine whether a subsidiary or an acquired or disposed business is significant and modifies the number of years of audited financial statements required for acquisitions with significance levels greater than specified percentages. The Company early adopted these amendments during the fourth quarter of fiscal 2021.</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0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In August 2020, the FASB issued ASC ASU Update No. 2020-06 Debt - Debt with Conversion and Other Options (Subtopic 470-20) and Derivatives and Hedging - Contracts in Entity's Own Equity (Subtopic 815-40). The amendments simplify the complexity associated with applying U.S. GAAP for certain financial instruments with characteristics of liabilities and equity. Update No. 2020-06 is effective for fiscal years beginning after December 15, 2021, including interim periods within those fiscal years. The Company early adopted ASC Update No. 2020-06 effective April 4, 2021 using the modified retrospective method, which resulted in a decrease of $61.2 million to additional paid-in capital, a decrease to non-current deferred tax liabilities of</w:t>
      </w:r>
    </w:p>
    <w:p>
      <w:pPr>
        <w:ind w:right="40"/>
        <w:spacing w:after="0" w:line="270" w:lineRule="auto"/>
        <w:rPr>
          <w:sz w:val="20"/>
          <w:szCs w:val="20"/>
          <w:color w:val="auto"/>
        </w:rPr>
      </w:pPr>
      <w:r>
        <w:rPr>
          <w:rFonts w:ascii="Times New Roman" w:cs="Times New Roman" w:eastAsia="Times New Roman" w:hAnsi="Times New Roman"/>
          <w:sz w:val="17"/>
          <w:szCs w:val="17"/>
          <w:color w:val="auto"/>
        </w:rPr>
        <w:t>$20.0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24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the first quarter of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The majority of charges will result in cash outlays, including severance and other employee costs, and will be incurred as the specific actions required to execute these initiatives are identified and approved. During fiscal 2022, 2021 and 2020 the Company incurred $28.7 million, $15.1 million and $11.9 million of restructuring and restructuring related costs under this program, respectively. Total cumulative charges under this program are $55.7 million as of April 2,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for restructuring reserves related to the 2020 Program and prior programs for the fiscal years ended April 2,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2021 and March 28, 2020, substantially all of which relates to employee severance and other employee costs: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Prior Programs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28,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April 3, 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presents the restructuring costs by line item during fiscal 2022, 2021 and 2020 within our accompanying consolidated statements of income and comprehensive income:</w:t>
      </w:r>
    </w:p>
    <w:tbl>
      <w:tblPr>
        <w:tblLayout w:type="fixed"/>
        <w:tblInd w:w="40" w:type="dxa"/>
        <w:tblCellMar>
          <w:top w:w="0" w:type="dxa"/>
          <w:left w:w="0" w:type="dxa"/>
          <w:bottom w:w="0" w:type="dxa"/>
          <w:right w:w="0" w:type="dxa"/>
        </w:tblCellMar>
      </w:tblPr>
      <w:tr>
        <w:trPr>
          <w:trHeight w:val="1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2, 2022, the Company had a restructuring liability of $2.8 million, of which approximately $2.5 million is payable within the next twelve months.</w:t>
      </w:r>
    </w:p>
    <w:p>
      <w:pPr>
        <w:spacing w:after="0" w:line="25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of $24.6 million, $14.2 million and $16.3 million in fiscal 2022, 2021 and 2020, respectively,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following presents the restructuring related costs by line item during fiscal 2022, 2021 and 2020 within our accompanying consolidated statements of income and comprehensive income:</w:t>
      </w: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The tables below present restructuring and restructuring related costs by reportable segment:</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tcPr>
          <w:p>
            <w:pPr>
              <w:spacing w:after="0"/>
              <w:rPr>
                <w:sz w:val="21"/>
                <w:szCs w:val="21"/>
                <w:color w:val="auto"/>
              </w:rPr>
            </w:pPr>
          </w:p>
        </w:tc>
        <w:tc>
          <w:tcPr>
            <w:tcW w:w="66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340" w:type="dxa"/>
            <w:vAlign w:val="bottom"/>
            <w:tcBorders>
              <w:bottom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ACQUISITIONS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Cardiva Medical, Inc.</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The contingent consideration, which could total a maximum of $35.0 million is payable over the next two years based on sales growth. The Company financed the acquisition through a combination of cash, borrowings under its revolving credit facility and an additional $150.0 million term loan under its existing credit facility.</w:t>
      </w:r>
    </w:p>
    <w:p>
      <w:pPr>
        <w:spacing w:after="0" w:line="19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Cardiva’s portfolio includes two catheter-based vascular access site closure devices. The VASCADE® vascular closure system is designed for “small-bore” femoral arterial and venous closure, generally used in interventional cardiology and peripheral vascular procedures. The VASCADE MVP®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of Cardiva as a business combination, and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w:t>
      </w:r>
      <w:r>
        <w:rPr>
          <w:rFonts w:ascii="Times New Roman" w:cs="Times New Roman" w:eastAsia="Times New Roman" w:hAnsi="Times New Roman"/>
          <w:sz w:val="18"/>
          <w:szCs w:val="18"/>
          <w:color w:val="auto"/>
        </w:rPr>
        <w:t>), recorded the assets acquired and liabilities assumed at their respective fair values as of the acquisition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represent the fair value of the identifiable assets acquired and liabilities assumed for Cardiva: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1, 2021</w:t>
            </w:r>
          </w:p>
        </w:tc>
      </w:tr>
      <w:tr>
        <w:trPr>
          <w:trHeight w:val="21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250,560</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253,707</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534,240</w:t>
            </w:r>
          </w:p>
        </w:tc>
      </w:tr>
      <w:tr>
        <w:trPr>
          <w:trHeight w:val="21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58,211</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26,793</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8"/>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91,971</w:t>
            </w:r>
          </w:p>
        </w:tc>
      </w:tr>
      <w:tr>
        <w:trPr>
          <w:trHeight w:val="243"/>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442,269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Company determined the identifiable intangible assets were completed technology, customer relationships, trademarks and in-process research and development (“IPR&amp;D”). The fair values of intangible assets were based on valuation techniques with estimates and assumptions developed by the Company. Completed technology and IPR&amp;D were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196"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Cardiva, the Company recognized goodwill of $253.7 million, which is attributable to the revenue and cash flow projections associated with completed technologies and the development of future technology that does not exist in the current IPR&amp;D pipeline. The goodwill is not deductible for tax purposes and relates entirely to the Hospital reportable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3"/>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213,290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250,560</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 recorded a long-term deferred tax liability, net, of $26.8 million primarily related to acquired intangible assets which cannot be deducted for tax purposes, partially offset by deferred tax assets primarily related to net operating losses acquired.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4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The amount of acquisition-related costs incurred associated with the acquisition was $9.6 million for the fiscal year ending April 3, 2021. The Company incurred acquisition costs related to legal and other professional fees in the amount of $6.6 million and an additional $3.0 million of debt financing costs and lender fees which were recognized in selling, general and administrative and as interest expense on the consolidated statements of income,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Cardiva contributed revenues of $7.7 million to net revenues and losses of $7.6 million to net income for the period post acquisition through April 3, 2021.</w:t>
      </w:r>
    </w:p>
    <w:p>
      <w:pPr>
        <w:spacing w:after="0" w:line="24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unaudited estimated pro forma results presented below include the effects of the acquisition of Cardiva as if it was consummated on March 31, 2019. In fiscal 2021, the Company incurred nonrecurring charges attributed to the acquisition of Cardiva, which are presented in the consolidated statements of income for this period. These charges include acquisition-related costs, retention bonuses and severance payments, adjusted for the related tax effects. These nonrecurring charges are reflected as adjustments to the pro forma earnings presented below for fiscal 2021 and fiscal 2020.</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Additionally, these pro forma amounts have been calculated, net of tax, after adjusting the results of Cardiva to reflect the additional costs associated with fair value adjustments relating to inventories, leases and intangible assets as if the acquisition had occurred on March 31, 2019 and adjusting interest amounts related to long-term debt assumptions. There was no significant impact to the pro forma amounts after applying the Company’s accounting policies.</w:t>
      </w:r>
    </w:p>
    <w:p>
      <w:pPr>
        <w:spacing w:after="0" w:line="18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supplemental pro forma information presented below is for informational purposes only and should be read in conjunction with our historical financial statements. The pro forma results do not include any anticipated synergies or other expected benefits of the acquisition. Accordingly, the unaudited estimated pro forma financial information below is not necessarily indicative of what the actual results of operations of the combined companies would have been had the acquisition of Cardiva occurred as of March 31, 2019, nor are they indicative of future results of operations. The pro forma assumptions and adjustments are reasonable and appropriate under the circumstances and are factually supported based on information currently available.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360" w:type="dxa"/>
            <w:vAlign w:val="bottom"/>
          </w:tcPr>
          <w:p>
            <w:pPr>
              <w:spacing w:after="0"/>
              <w:rPr>
                <w:sz w:val="16"/>
                <w:szCs w:val="16"/>
                <w:color w:val="auto"/>
              </w:rPr>
            </w:pPr>
          </w:p>
        </w:tc>
        <w:tc>
          <w:tcPr>
            <w:tcW w:w="12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916,601</w:t>
            </w:r>
          </w:p>
        </w:tc>
        <w:tc>
          <w:tcPr>
            <w:tcW w:w="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1,024,235</w:t>
            </w:r>
          </w:p>
        </w:tc>
      </w:tr>
      <w:tr>
        <w:trPr>
          <w:trHeight w:val="23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53,884</w:t>
            </w: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19,191</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Intellectual Property</w:t>
      </w:r>
    </w:p>
    <w:p>
      <w:pPr>
        <w:spacing w:after="0" w:line="2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 $15.0 million to HemoAssay in contingent consideration based on certain developmental and manufacturing based milestones. In fiscal 2022, the Company made $2.5 million of milestone payments which were recorded within intangible assets on the consolidated balance sheets. These products augment the Company’s portfolio of hemostasis analyzers within the Hospital business unit.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enicor GmbH</w:t>
      </w:r>
    </w:p>
    <w:p>
      <w:pPr>
        <w:spacing w:after="0" w:line="24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On April 1, 2020, the Company acquired all of the outstanding equity of enicor GmbH (“enicor”), the manufacturer of ClotPro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of enicor as a business combination, and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805</w:t>
      </w:r>
      <w:r>
        <w:rPr>
          <w:rFonts w:ascii="Times New Roman" w:cs="Times New Roman" w:eastAsia="Times New Roman" w:hAnsi="Times New Roman"/>
          <w:sz w:val="18"/>
          <w:szCs w:val="18"/>
          <w:color w:val="auto"/>
        </w:rPr>
        <w:t>), recorded the assets acquired and liabilities assumed at their respective fair values as of the acquisition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represent the fair value of the identifiable assets acquired and liabilities assumed for enicor completed during fiscal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April 1, 2020</w:t>
            </w:r>
          </w:p>
        </w:tc>
      </w:tr>
      <w:tr>
        <w:trPr>
          <w:trHeight w:val="218"/>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r>
      <w:tr>
        <w:trPr>
          <w:trHeight w:val="218"/>
        </w:trPr>
        <w:tc>
          <w:tcPr>
            <w:tcW w:w="9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23,851</w:t>
            </w:r>
          </w:p>
        </w:tc>
      </w:tr>
      <w:tr>
        <w:trPr>
          <w:trHeight w:val="21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19"/>
        </w:trPr>
        <w:tc>
          <w:tcPr>
            <w:tcW w:w="9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r>
      <w:tr>
        <w:trPr>
          <w:trHeight w:val="219"/>
        </w:trPr>
        <w:tc>
          <w:tcPr>
            <w:tcW w:w="9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20,526</w:t>
            </w:r>
          </w:p>
        </w:tc>
      </w:tr>
      <w:tr>
        <w:trPr>
          <w:trHeight w:val="20"/>
        </w:trPr>
        <w:tc>
          <w:tcPr>
            <w:tcW w:w="9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3"/>
        </w:trPr>
        <w:tc>
          <w:tcPr>
            <w:tcW w:w="65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24"/>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10 Years</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5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2021, the Company incurred $0.2 million of acquisition-related costs associated with the acquisition.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enicor had an immaterial impact to the Company's net revenues and net income for fiscal 2021. The unaudited estimated pro forma impact of the results of the acquisition of enicor as if it was consummated on April 1, 2019 are immaterial.</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DIVESTITURES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Fajardo, Puerto Rico Manufacturing Operations</w:t>
      </w:r>
    </w:p>
    <w:p>
      <w:pPr>
        <w:spacing w:after="0" w:line="2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w:t>
      </w:r>
    </w:p>
    <w:p>
      <w:pPr>
        <w:spacing w:after="0" w:line="2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Blood Donor Management Software</w:t>
      </w:r>
    </w:p>
    <w:p>
      <w:pPr>
        <w:spacing w:after="0" w:line="2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In fiscal year 2022, the Company recognized an additional gain of $9.6 million for contingent consideration earned.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Inlog Holdings France</w:t>
      </w:r>
    </w:p>
    <w:p>
      <w:pPr>
        <w:spacing w:after="0" w:line="24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September 18, 2020, the Company sold its wholly-owned subsidiary Inlog Holdings France SAS to Abénex Capital (“Abénex”), a private equity firm based in France for $30.5 million ($24.5 million, net of cash transferred). Inlog Holdings France SAS, through its subsidiary In Log SAS, develops and sells blood bank and hospital software solutions used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predominantly in France and in several other countries outside of the U.S. The disposal group included $2.2 million of intangible assets, $2.2 million of accounts receivable, $0.3 million of other assets, $3.3 million of liabilities and $3.3 million of goodwill allocated based on the fair value of the business which impacted both the Blood Center and Hospital business units. The Company recognized a gain of $20.0 million associated with the transaction in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Transfer to CSL</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May 21, 2019, the Company transferred to CSL substantially all of its tangible assets held relating to the manufacture of anti-coagulant and saline (together, “Liquids”) at its Union, South Carolina facility (“Union”), which consisted primarily of property, plant and equipment and inventory, and CSL assumed certain related liabilities (the “Asset Transfer”) pursuant to the terms of a settlement, release and asset transfer agreement between the parties dated May 13, 2019. The Asset Transfer excluded all other assets related to Union, including accounts receivable, customer contracts and the Company's U.S. Food and Drug Administration (“FDA”) product approvals for manufacturing Liquids.</w:t>
      </w: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permitted CSL to manufacture Liquids under the Company's FDA product approvals, exclusively for Haemonetics and CSL, until CSL obtains independent product approvals from the FDA to manufacture the Liquids.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and CSL's entry into the May 13, 2019 agreement for the Asset Transfer, the Company recognized a pre-tax impairment charge of $48.7 million in the first quarter of fiscal 2020, primarily related to the carrying balances of the property, plant and equipment exceeding the consideration received under the terms of the Agreement. The charge did not result in any future cash expenditures. Goodwill associated with the disposal was immaterial.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and foreign income (loss) before (benefit) provision for income tax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w:t>
            </w: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(benefit) provision from continuing operations contains the following components: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7"/>
                <w:szCs w:val="17"/>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1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effected, significant temporary differences comprising the net deferred tax liability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reserves and other deferred tax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38,827</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94,167</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goodwill and intangibles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(68,802)</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Unremitted earnings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discount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(120,902)</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the worldwide net deferred tax liability is primarily due to the adoption of ASU 2020-06, for which the reduction in the deferred tax liability</w:t>
      </w:r>
    </w:p>
    <w:p>
      <w:pPr>
        <w:spacing w:after="0" w:line="4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related to convertible debt was recorded through equity. Other changes in the worldwide net deferred tax liability were the result of current year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allowance increase of $3.0 million during fiscal 2022 is primarily due to additional valuation allowances recorded on US state net operating loss</w:t>
      </w:r>
    </w:p>
    <w:p>
      <w:pPr>
        <w:spacing w:after="0" w:line="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and tax credit carryforwards.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future taxable income can be considered a source of income to realize a benefit for deferred tax assets in certain jurisdictions. In addition, the Company has concluded that it cannot rely on future taxable income in certain risk bearing principal jurisdictions due to uncertainty surrounding future taxable income including the effects of Covid-19, the announcement of CSL intent not to renew its supply agreement and the general uncertainty surrounding the global economy. The Company believes it is able to support the deferred tax assets recognized as of the end of the year based on all of the available evidence. The worldwide net deferred tax liability as of April 2, 2022 includes deferred tax liabilities related to amortizable tax basis in goodwill and other indefinite lived assets, which can only be used as a source of income to benefit other indefinite lived assets.</w:t>
      </w:r>
    </w:p>
    <w:p>
      <w:pPr>
        <w:spacing w:after="0" w:line="215"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As of April 2, 2022, the Company maintains a valuation allowance against certain U.S. state deferred tax assets that are not more-likely-than-not realizable and maintains a full valuation allowance against the net deferred tax assets of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In connection with the March 2021 acquisition of Cardiva, the Company acquired federal and state net operating loss carryforwards of $150.9 million and $93.3 million, respectively. The Company also acquired federal and state tax research credit carryforwards of $0.2 million and $0.4 million, respectively. These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of inception (July 2002) through March 1, 2021. The study concluded that ownership changes occurred during that period which limit the amount of the Company’s net operating losses and tax credit carryforwards that can be utilized before expiring. The carryforwards disclosed represent the amount of attributes that can be utilized based on the results of the study.</w:t>
      </w:r>
    </w:p>
    <w:p>
      <w:pPr>
        <w:spacing w:after="0" w:line="20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April 2, 2022, the Company has U.S. federal net operating loss carryforwards of $99.2 million of which $8.2 million will begin to expire in fiscal 2024 and $91.0 million can be carried forward indefinitely. The Company has U.S. state net operating losses of $107.2 million of which $85.7 million will begin to expire in fiscal 2023 and $21.5 million can be carried forward indefinitely. The Company has federal and state tax credits of $1.3 million and $6.2 million, respectively, which will begin to expire in fiscal 2029 and fiscal 2025, respectively.</w:t>
      </w:r>
    </w:p>
    <w:p>
      <w:pPr>
        <w:spacing w:after="0" w:line="20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As of April 2, 2022, the Company has foreign net operating losses of approximately $12.1 million that are available to reduce future income of which $6.9 million will begin to expire in fiscal 2034 and $5.2 million can be carried forward indefinitely.</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April 2, 2022, substantially all of the unremitted earnings of the Company have been taxed in the U.S. The Company has provided $1.3 million of U.S. income and foreign withholding taxes on approximately $150.5 million of unremitted earnings that are not indefinitely reinvested. The Company has not provided U.S. deferred income taxes or foreign withholding taxes on unremitted earnings of foreign subsidiaries of approximately $125.2 million as such amounts are considered to be indefinitely reinvested in the business. The accumulated earnings in the foreign subsidiaries are primarily utilized to fund working capital requirements as its subsidiaries continue to expand their operations, to service existing debt obligations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spacing w:after="0" w:line="21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 income tax (benefit) provision from continuing operations differs from the tax provision (benefit) computed at the U.S. federal statutory income tax rate due to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U.S. and foreign tax</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Unremitted earnings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statutory rate changes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benefits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sale of intellectual property</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provision</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expense of $20.3 million, representing an effective tax rate of 31.8%. The effective tax rate is higher than the U.S. statutory rate of 21.0%, primarily due to the impact of GILTI, non-deductible executive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contingent consideration from the Cardiva acquisition, and state taxes partially offset by the jurisdictional mix of earnings, research credits generated, and reductions to uncertain tax positions. The Company has recorded an immaterial tax expense related to unremitted foreign earnings that are not considered permanently reinvested.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4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Unrecognized tax benefits represent uncertain tax positions for which reserves have been established. As of April 2, 2022, the Company had $3.9 million of unrecognized tax benefits, of which $3.1 million would impact the effective tax rate, if recognized. As of April 3, 2021, the Company had $6.1 million of unrecognized tax benefits, of which $5.3 million would impact the effective tax rate, if recognized. At March 28, 2020, the Company had $4.6 million of unrecognized tax benefits, of which $4.0 million would impact the effective tax rate, if recognized.</w:t>
      </w:r>
    </w:p>
    <w:p>
      <w:pPr>
        <w:spacing w:after="0" w:line="20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activity related to its gross unrecognized tax benefits for the fiscal years ended April 2, 2022, April 3, 2021 and March 28,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Pr>
          <w:p>
            <w:pPr>
              <w:spacing w:after="0"/>
              <w:rPr>
                <w:sz w:val="13"/>
                <w:szCs w:val="13"/>
                <w:color w:val="auto"/>
              </w:rPr>
            </w:pPr>
          </w:p>
        </w:tc>
        <w:tc>
          <w:tcPr>
            <w:tcW w:w="11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of tax positions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of tax positions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of statute of limitations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As of April 2, 2022, the Company anticipates that the liability for unrecognized tax benefits for uncertain tax positions could change by up to $0.2 million in the next twelve months, as a result of closure of various statutes of limitations.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historical practice has been and continues to be to recognize interest and penalties related to federal, state and foreign income tax matters in income tax expense. Approximately $0.1 million and $1.4 million of gross interest and penalties were accrued at April 2, 2022 and April 3, 2021, respectively, and are not included in the amounts above. Additionally, $0.1 million, $0.9 million and $0.3 million of accrued interest and penalties was included in income tax provision (benefit) for the years ended April 2, 2022, April 3, 2021and March 28, 2020, respectively.</w:t>
      </w:r>
    </w:p>
    <w:p>
      <w:pPr>
        <w:spacing w:after="0" w:line="20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2018 and foreign income tax examinations for years before fiscal 2017.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43,375</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79,469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51,047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w:t>
            </w:r>
          </w:p>
        </w:tc>
      </w:tr>
      <w:tr>
        <w:trPr>
          <w:trHeight w:val="21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43,375</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79,469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76,526</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51,047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w:t>
            </w:r>
          </w:p>
        </w:tc>
      </w:tr>
      <w:tr>
        <w:trPr>
          <w:trHeight w:val="225"/>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51,353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r>
      <w:tr>
        <w:trPr>
          <w:trHeight w:val="21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0"/>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fiscal 2022, 2021 and 2020, weighted average shares outstanding, assuming dilution, excludes the impact of 0.9 million, 0.5 million and 0.2 million anti-dilutive shares,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248"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In May 2019, the Company's Board of Directors authorized the repurchase of up to $500 million of Haemonetics common shares over the two year period ending May 2021. During fiscal 2022, the Company did not make any additional repurchases under this program, which expired in May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2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The Company's revenue recognition policy is to recognize revenues from product sales, software and services in accordance with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Revenue is recognized when obligations under the terms of a contract with a customer are satisfied; this occurs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of April 2, 2022, the Company had $16.9 million of transaction price allocated to remaining performance obligations related to executed contracts with an original duration of one year or more. The Company expects to recognize approximately 73% of this amount as revenue within the next twelve months and the remaining balance thereafter.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4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between billing and revenue recognition primarily occurs in software licensing arrangements, resulting in contract assets and contract liabilities.</w:t>
      </w:r>
    </w:p>
    <w:p>
      <w:pPr>
        <w:spacing w:after="0" w:line="244"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8"/>
          <w:szCs w:val="18"/>
          <w:color w:val="auto"/>
        </w:rPr>
        <w:t>As of April 2, 2022 and April 3, 2021, the Company had contract assets of $5.5 million and $4.8 million, respectively. The change is primarily due to the delay in billings compared to the revenue recognized. Contract assets are classified as other current assets and other long-term assets on the consolidated balance sheet.</w:t>
      </w:r>
    </w:p>
    <w:p>
      <w:pPr>
        <w:spacing w:after="0" w:line="2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of April 2, 2022 and April 3, 2021, the Company had contract liabilities of $26.8 million and $20.9 million, respectively. During fiscal 2022, the Company recognized $19.0 million of revenue that was included in the above April 3, 2021 contract liability balance. Contract liabilities are classified as other current liabilities and other long-term liabilities on the consolidated balance sheet.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INVENTORIES</w:t>
      </w:r>
    </w:p>
    <w:p>
      <w:pPr>
        <w:spacing w:after="0" w:line="24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tbl>
      <w:tblPr>
        <w:tblLayout w:type="fixed"/>
        <w:tblInd w:w="0" w:type="dxa"/>
        <w:tblCellMar>
          <w:top w:w="0" w:type="dxa"/>
          <w:left w:w="0" w:type="dxa"/>
          <w:bottom w:w="0" w:type="dxa"/>
          <w:right w:w="0" w:type="dxa"/>
        </w:tblCellMar>
      </w:tblPr>
      <w:tr>
        <w:trPr>
          <w:trHeight w:val="18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0" w:type="dxa"/>
            <w:vAlign w:val="bottom"/>
          </w:tcPr>
          <w:p>
            <w:pPr>
              <w:spacing w:after="0"/>
              <w:rPr>
                <w:sz w:val="1"/>
                <w:szCs w:val="1"/>
                <w:color w:val="auto"/>
              </w:rPr>
            </w:pPr>
          </w:p>
        </w:tc>
      </w:tr>
      <w:tr>
        <w:trPr>
          <w:trHeight w:val="24"/>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224,593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322,614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PROPERTY, PLANT AND EQUIPMENT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82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0" w:type="dxa"/>
            <w:vAlign w:val="bottom"/>
          </w:tcPr>
          <w:p>
            <w:pPr>
              <w:spacing w:after="0"/>
              <w:rPr>
                <w:sz w:val="1"/>
                <w:szCs w:val="1"/>
                <w:color w:val="auto"/>
              </w:rPr>
            </w:pPr>
          </w:p>
        </w:tc>
      </w:tr>
      <w:tr>
        <w:trPr>
          <w:trHeight w:val="24"/>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$44.4 million, $43.1 million and $76.6 million in fiscal 2022, 2021 and 2020, respectively.</w:t>
      </w:r>
    </w:p>
    <w:p>
      <w:pPr>
        <w:spacing w:after="0" w:line="24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 xml:space="preserve">During fiscal 2022, the Company incurred $2.8 million of accelerated depreciation costs relating to disposables manufacturing equipment that is no longer in use as a result of the CSL contract expiration discussed below. The Company also incurred an impairment of property, plant and equipment of $5.2 million in connection with the 2020 Program. Refer to Note 3 -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details on the 2020 Program. These impairment charges were included in cost of goods sold on the consolidated statements of income and impacted the Plasma reporting segment as of April 2, 2022.</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early April 2021, the Company was informed by CSL of its intent not to renew its supply agreement for the use of PCS2 plasma collection system devices and the purchase of disposable plasmapheresis kits in the U.S. following the expiration of the current term in June 2022. As a result, the Company incurred a one-time impairment in fiscal 2021 of $20.9 million related to disposables manufacturing equipment previously recorded in construction in process which will not be placed into service as a result of the supply agreement expiration. The impairment charge was included in cost of goods sold on the consolidated statements of income and impacted the Plasma reporting segment as of April 3, 2021.</w:t>
      </w:r>
    </w:p>
    <w:p>
      <w:pPr>
        <w:spacing w:after="0" w:line="21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During fiscal 2020, the Company recognized a pre-tax impairment charge of $48.7 million relating to the asset transfer between the Company and CSL on May 13, 2019. This impairment is related to the carrying balances of the property, plant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equipment exceeding the consideration received under the terms of the agreement. The charge will not result in any future cash expenditures. For additional information regarding the transaction, refer to Note 5 -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The Company also impaired an additional $1.9 million of property, plant and equipment as a result of the Company's corporate headquarter move and a review of underperforming assets, resulting in total impairment charges of $50.6 million during fiscal 2020. Substantially all of these impairments were included within selling, general and administrative costs on the consolidated statements of income and primarily impacted the Plasma reporting segment.</w:t>
      </w: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fiscal 2020, the Company sold $7.8 million of real estate and other assets associated with the Braintree corporate headquarters for net cash proceeds of $15.0 million and non-cash consideration of $0.9 million which resulted in a net gain of $8.1 million. Additionally, in connection with the lease for office space in Boston, MA which serves as the new corporate headquarters, the Company received a lease incentive in the form of property, plant and equipment totaling $5.6 million which was recorded during fiscal 2020.</w:t>
      </w:r>
    </w:p>
    <w:p>
      <w:pPr>
        <w:spacing w:after="0" w:line="2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During fiscal 2020, the Company incurred $18.1 million of accelerated depreciation expense related to the change in estimate of useful lives of PCS</w:t>
      </w:r>
      <w:r>
        <w:rPr>
          <w:rFonts w:ascii="Arial" w:cs="Arial" w:eastAsia="Arial" w:hAnsi="Arial"/>
          <w:sz w:val="22"/>
          <w:szCs w:val="22"/>
          <w:color w:val="auto"/>
          <w:vertAlign w:val="superscript"/>
        </w:rPr>
        <w:t>®</w:t>
      </w:r>
      <w:r>
        <w:rPr>
          <w:rFonts w:ascii="Times New Roman" w:cs="Times New Roman" w:eastAsia="Times New Roman" w:hAnsi="Times New Roman"/>
          <w:sz w:val="18"/>
          <w:szCs w:val="18"/>
          <w:color w:val="auto"/>
        </w:rPr>
        <w:t>2 devices included within Haemonetics Equipment, as these will be replaced by NexSys PCS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2022 and 2021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0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28, 2020</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210,652</w:t>
            </w: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259,788</w:t>
            </w:r>
          </w:p>
        </w:tc>
      </w:tr>
      <w:tr>
        <w:trPr>
          <w:trHeight w:val="225"/>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April 3, 2021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466,444</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April 2, 2022</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404,078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467,287</w:t>
            </w: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results of the Company's goodwill impairment test performed in the fourth quarter of fiscal 2022, 2021 and 2020 indicated that the estimated fair value of all reporting units exceeded their respective carrying values. There were no reporting units at risk of impairment as of the fiscal 2022, 2021 and 2020 annual test 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April 2, 2022 and April 3, 2021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April 2, 2022</w:t>
            </w:r>
          </w:p>
        </w:tc>
        <w:tc>
          <w:tcPr>
            <w:tcW w:w="2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developed technology</w:t>
            </w: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667,603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2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In-process patents</w:t>
            </w:r>
          </w:p>
        </w:tc>
        <w:tc>
          <w:tcPr>
            <w:tcW w:w="2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892"/>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April 3, 2021</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developed technology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285,648</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356,800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patents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additional information regarding acquisitions.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include the value assigned to license rights and other developed technology, patents, customer contracts and relationships and trade names.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of these intangible assets are approximately 5 to 15 years.</w:t>
      </w:r>
    </w:p>
    <w:p>
      <w:pPr>
        <w:spacing w:after="0" w:line="22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Aggregate amortization expense for amortized intangible assets for fiscal 2022, 2021, and 2020 was $56.6 million, $41.2 million and $34.2 million, respectively. Intangible asset impairments of $0.6 million were included in operating expenses on the consolidated statements of income during fiscal 2022. There were no intangible asset impairments during fiscal 2021 or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amortization expense on intangible assets is estimated to be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9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39,124</w:t>
            </w:r>
          </w:p>
        </w:tc>
      </w:tr>
      <w:tr>
        <w:trPr>
          <w:trHeight w:val="225"/>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w:t>
            </w:r>
          </w:p>
        </w:tc>
      </w:tr>
      <w:tr>
        <w:trPr>
          <w:trHeight w:val="225"/>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27,215</w:t>
            </w:r>
          </w:p>
        </w:tc>
      </w:tr>
      <w:tr>
        <w:trPr>
          <w:trHeight w:val="225"/>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21,787</w:t>
            </w:r>
          </w:p>
        </w:tc>
      </w:tr>
      <w:tr>
        <w:trPr>
          <w:trHeight w:val="225"/>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r>
    </w:tbl>
    <w:p>
      <w:pPr>
        <w:spacing w:after="0" w:line="3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For costs incurred related to the development of software to be sold, leased, or otherwise marketed, the Company applies the provisions of 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which specifies that costs incurred internally in researching and developing a computer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$3.4 million and $4.2 million in software development costs for ongoing initiatives during fiscal 2022 and 2021, respectively. At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2022 and April 3, 2021, the Company had a total of $79.0 million and $75.6 million of software costs capitalized, of which $5.0 million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are related to in process software development initiatives, respectively, and the remaining balance represents in-service assets that are being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over their useful lives. Amortization expense for capitalized software was $8.4 million, $7.8 million, and $8.2 million for the fiscal years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2022 , April 3, 2021 and March 28,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Activity</w:t>
      </w:r>
    </w:p>
    <w:p>
      <w:pPr>
        <w:spacing w:after="0" w:line="24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 lease liabilities and right-of-use assets using the incremental borrowing rate as of March 31, 2019. Certain adjustments to the right-of-use asset may be required for items such as initial direct costs paid or incentives received.</w:t>
      </w:r>
    </w:p>
    <w:p>
      <w:pPr>
        <w:spacing w:after="0" w:line="21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During fiscal 2021, the Company entered into a lease for manufacturing space in Clinton, PA. The Company's current manufacturing operations in Leetsdale, PA will be relocated to the Clinton, PA facility. The lease term associated with the new manufacturing facility is 15 years and 7 months and includes two five year renewal options followed by one four year renewal option. During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fiscal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the Company's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3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80" w:type="dxa"/>
            <w:vAlign w:val="bottom"/>
          </w:tcPr>
          <w:p>
            <w:pPr>
              <w:spacing w:after="0"/>
              <w:rPr>
                <w:sz w:val="16"/>
                <w:szCs w:val="16"/>
                <w:color w:val="auto"/>
              </w:rPr>
            </w:pPr>
          </w:p>
        </w:tc>
        <w:tc>
          <w:tcPr>
            <w:tcW w:w="13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4"/>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right-of-use assets in </w:t>
            </w:r>
            <w:r>
              <w:rPr>
                <w:rFonts w:ascii="Times New Roman" w:cs="Times New Roman" w:eastAsia="Times New Roman" w:hAnsi="Times New Roman"/>
                <w:sz w:val="18"/>
                <w:szCs w:val="18"/>
                <w:i w:val="1"/>
                <w:iCs w:val="1"/>
                <w:color w:val="auto"/>
              </w:rPr>
              <w:t>Other long-term assets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52,749</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59,856</w:t>
            </w:r>
          </w:p>
        </w:tc>
      </w:tr>
      <w:tr>
        <w:trPr>
          <w:trHeight w:val="22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Other current liabilities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r>
      <w:tr>
        <w:trPr>
          <w:trHeight w:val="22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Other long-term liabilities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 information related to our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4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4"/>
        </w:trPr>
        <w:tc>
          <w:tcPr>
            <w:tcW w:w="7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10.0 years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years</w:t>
            </w:r>
          </w:p>
        </w:tc>
      </w:tr>
      <w:tr>
        <w:trPr>
          <w:trHeight w:val="231"/>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4.58 %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 costs were $11.0 million, $11.7 million and $8.3 million during fiscal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our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40" w:type="dxa"/>
            <w:vAlign w:val="bottom"/>
          </w:tcPr>
          <w:p>
            <w:pPr>
              <w:spacing w:after="0"/>
              <w:rPr>
                <w:sz w:val="16"/>
                <w:szCs w:val="16"/>
                <w:color w:val="auto"/>
              </w:rPr>
            </w:pPr>
          </w:p>
        </w:tc>
        <w:tc>
          <w:tcPr>
            <w:tcW w:w="9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2020</w:t>
            </w:r>
          </w:p>
        </w:tc>
      </w:tr>
      <w:tr>
        <w:trPr>
          <w:trHeight w:val="24"/>
        </w:trPr>
        <w:tc>
          <w:tcPr>
            <w:tcW w:w="60" w:type="dxa"/>
            <w:vAlign w:val="bottom"/>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3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25"/>
        </w:trPr>
        <w:tc>
          <w:tcPr>
            <w:tcW w:w="60" w:type="dxa"/>
            <w:vAlign w:val="bottom"/>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3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37,330</w:t>
            </w:r>
          </w:p>
        </w:tc>
      </w:tr>
      <w:tr>
        <w:trPr>
          <w:trHeight w:val="54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maturities of our operating lease liabilities as of April 2, 2022: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7"/>
        </w:trPr>
        <w:tc>
          <w:tcPr>
            <w:tcW w:w="60" w:type="dxa"/>
            <w:vAlign w:val="bottom"/>
          </w:tcPr>
          <w:p>
            <w:pPr>
              <w:spacing w:after="0"/>
              <w:rPr>
                <w:sz w:val="24"/>
                <w:szCs w:val="24"/>
                <w:color w:val="auto"/>
              </w:rPr>
            </w:pPr>
          </w:p>
        </w:tc>
        <w:tc>
          <w:tcPr>
            <w:tcW w:w="7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r>
      <w:tr>
        <w:trPr>
          <w:trHeight w:val="225"/>
        </w:trPr>
        <w:tc>
          <w:tcPr>
            <w:tcW w:w="6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r>
      <w:tr>
        <w:trPr>
          <w:trHeight w:val="225"/>
        </w:trPr>
        <w:tc>
          <w:tcPr>
            <w:tcW w:w="6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25"/>
        </w:trPr>
        <w:tc>
          <w:tcPr>
            <w:tcW w:w="6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39,789</w:t>
            </w:r>
          </w:p>
        </w:tc>
      </w:tr>
      <w:tr>
        <w:trPr>
          <w:trHeight w:val="219"/>
        </w:trPr>
        <w:tc>
          <w:tcPr>
            <w:tcW w:w="6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operating lease payments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79,489</w:t>
            </w:r>
          </w:p>
        </w:tc>
      </w:tr>
      <w:tr>
        <w:trPr>
          <w:trHeight w:val="225"/>
        </w:trPr>
        <w:tc>
          <w:tcPr>
            <w:tcW w:w="6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r>
      <w:tr>
        <w:trPr>
          <w:trHeight w:val="243"/>
        </w:trPr>
        <w:tc>
          <w:tcPr>
            <w:tcW w:w="60" w:type="dxa"/>
            <w:vAlign w:val="bottom"/>
          </w:tcPr>
          <w:p>
            <w:pPr>
              <w:spacing w:after="0"/>
              <w:rPr>
                <w:sz w:val="20"/>
                <w:szCs w:val="20"/>
                <w:color w:val="auto"/>
              </w:rPr>
            </w:pPr>
          </w:p>
        </w:tc>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62,900</w:t>
            </w:r>
          </w:p>
        </w:tc>
      </w:tr>
      <w:tr>
        <w:trPr>
          <w:trHeight w:val="20"/>
        </w:trPr>
        <w:tc>
          <w:tcPr>
            <w:tcW w:w="6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4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NOTES PAYABLE AND LONG-TERM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20" w:type="dxa"/>
            <w:vAlign w:val="bottom"/>
          </w:tcPr>
          <w:p>
            <w:pPr>
              <w:spacing w:after="0"/>
              <w:rPr>
                <w:sz w:val="16"/>
                <w:szCs w:val="16"/>
                <w:color w:val="auto"/>
              </w:rPr>
            </w:pPr>
          </w:p>
        </w:tc>
        <w:tc>
          <w:tcPr>
            <w:tcW w:w="15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4"/>
        </w:trPr>
        <w:tc>
          <w:tcPr>
            <w:tcW w:w="7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301,019</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406,461</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w:t>
            </w: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559,441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690,592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September 1, 2025 only under the following circumstances:</w:t>
      </w:r>
    </w:p>
    <w:p>
      <w:pPr>
        <w:spacing w:after="0" w:line="190" w:lineRule="exact"/>
        <w:rPr>
          <w:sz w:val="20"/>
          <w:szCs w:val="20"/>
          <w:color w:val="auto"/>
        </w:rPr>
      </w:pPr>
    </w:p>
    <w:p>
      <w:pPr>
        <w:ind w:left="640" w:right="2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06" w:lineRule="exact"/>
        <w:rPr>
          <w:rFonts w:ascii="Times New Roman" w:cs="Times New Roman" w:eastAsia="Times New Roman" w:hAnsi="Times New Roman"/>
          <w:sz w:val="18"/>
          <w:szCs w:val="18"/>
          <w:color w:val="auto"/>
        </w:rPr>
      </w:pPr>
    </w:p>
    <w:p>
      <w:pPr>
        <w:jc w:val="both"/>
        <w:ind w:left="640" w:right="20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spacing w:after="0" w:line="204" w:lineRule="exact"/>
        <w:rPr>
          <w:rFonts w:ascii="Times New Roman" w:cs="Times New Roman" w:eastAsia="Times New Roman" w:hAnsi="Times New Roman"/>
          <w:sz w:val="18"/>
          <w:szCs w:val="18"/>
          <w:color w:val="auto"/>
        </w:rPr>
      </w:pPr>
    </w:p>
    <w:p>
      <w:pPr>
        <w:jc w:val="both"/>
        <w:ind w:left="640" w:right="40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2026 Notes; or</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2026 Notes for redemption</w:t>
      </w:r>
    </w:p>
    <w:p>
      <w:pPr>
        <w:spacing w:after="0" w:line="24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spacing w:after="0" w:line="21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During fiscal 2022, the conditions allowing holders of the 2026 Notes to convert have not been met. The 2026 Notes were therefore not convertible as of April 2, 2022 and were classified as long-term debt on the Company’s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Notes will be redeemable, in whole or in part, at the Company’s option at any time, and from time to time, on or after March 5, 2024 and on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before the 40th scheduled trading day immediately before the maturity date, if the last reported sale price per share of the Company’s common stock exceeds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 of the conversion price then in effect for at least 20 trading days (whether or not consecutive), including the trading day immediately preceding the date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which the Company provides notice of redemption, during any 30 consecutive trading day period ending on, and including, the trading day immediately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date the Company sends the related redemption notice at a redemption price equal to 100% of the principal amount of the 2026 Notes to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plus accrued and unpaid interest to, but excluding the redemption date. Upon the occurrence of certain fundamental changes involving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holders of the 2026 Notes may require the Company to repurchase for cash all or part of their 2026 Notes at a repurchase price equal to 100%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2026 Notes to be repurchased, plus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w:t>
      </w:r>
    </w:p>
    <w:p>
      <w:pPr>
        <w:spacing w:after="0" w:line="224"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spacing w:after="0" w:line="21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As of April 2, 2022, the $500.0 million principal balance was netted down by the $10.5 million of remaining debt issuance costs, resulting in a net convertible note payable of $489.5 million. Interest expense related to the 2026 Notes was $2.7 million,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entirely attributable to the amortization of the debt issuance costs. The debt issuance costs are amortized at an effective interest rate of 0.5%.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connection with the issuance of the 2026 Notes, the Company entered into capped call transactions with certain counterparties (“Capped Calls”). The Capped Calls each have an initial strike price of approximately $175.34 per share, subject to certain adjustments, which corresponds to the initial conversion price of the 2026 Notes. The Capped Calls have initial cap prices of $250.48 per share, subject to certain adjustments. The Capped Calls are expected to partially offset the potential dilution to the Company’s common stock upon any conversion of the 2026 Notes, with such offset subject to a cap based on the cap price. The Capped Calls cover, subject to anti-dilution adjustments, approximately 2.85 million shares of the Company’s common stock. For accounting purposes, the Capped Calls are separate transactions, and not part of the 2026 Notes. As these transactions meet certain accounting criteria, the Capped Calls are recorded in stockholders' equity and are not accounted for as derivatives. The cost of $47.4 million incurred to purchase the Capped Calls was recorded as a reduction to additional paid-in capital and will not be remeasured.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At April 2, 2022, $284.4 million was outstanding under the Term Loan with an effective interest rate of 2.3%. At April 2, 2022, no borrowings were outstanding on the Revolving Credit Facility. The Company also had $23.0 million of uncommitted operating lines of credit to fund its global operations under which there were no outstanding borrowings as of April 2, 2022.</w:t>
      </w:r>
    </w:p>
    <w:p>
      <w:pPr>
        <w:spacing w:after="0" w:line="21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Under the Credit Facilities, the Company is required to maintain a consolidated leverage ratio not to exceed 3.5:1.0 and a consolidated interest coverage ratio not to be less than 4.0:1.0 during periods when the Credit Facilities are outstanding.</w:t>
      </w:r>
    </w:p>
    <w:p>
      <w:pPr>
        <w:ind w:right="120"/>
        <w:spacing w:after="0" w:line="248" w:lineRule="auto"/>
        <w:rPr>
          <w:sz w:val="20"/>
          <w:szCs w:val="20"/>
          <w:color w:val="auto"/>
        </w:rPr>
      </w:pPr>
      <w:r>
        <w:rPr>
          <w:rFonts w:ascii="Times New Roman" w:cs="Times New Roman" w:eastAsia="Times New Roman" w:hAnsi="Times New Roman"/>
          <w:sz w:val="18"/>
          <w:szCs w:val="18"/>
          <w:color w:val="auto"/>
        </w:rPr>
        <w:t>In connection with the Cardiva acquisition, the Company and its lenders also agreed to increase the maximum consolidated leverage ratio the Company was required to maintain for the four consecutive quarters immediately following the closing of the Cardiva acquisition to 4.25:1.0 through the third quarter of fiscal 2022, after which the maximum consolidated leverage ratio the Company is required to maintain reverted to 3.5:1.0.</w:t>
      </w:r>
    </w:p>
    <w:p>
      <w:pPr>
        <w:spacing w:after="0" w:line="21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leverage ratio is calculated as consolidated total debt divided by consolidated EBITDA. Consolidated EBITDA includes EBITDA adjusted by non-recurring and unusual transactions specifically as defined in the Credit Facilities.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dissolutions or liquidation, asset sales, affiliate transactions, change of its business, capital expenditures, share repurchase and other restricted payments. These covenants are subject to exceptions and qualifications set forth in the credit agreement.</w:t>
      </w:r>
    </w:p>
    <w:p>
      <w:pPr>
        <w:spacing w:after="0" w:line="20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failure to comply with the financial and operating covenants of the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April 2, 2022, the Company was in compliance with the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Fee</w:t>
      </w:r>
    </w:p>
    <w:p>
      <w:pPr>
        <w:spacing w:after="0" w:line="24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Pursuant to the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0.150% to 0.275%. The current commitment fee on the undrawn portion of the Revolving Credit Facility is 0.275%.</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Interest</w:t>
      </w:r>
    </w:p>
    <w:p>
      <w:pPr>
        <w:spacing w:after="0" w:line="2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Expenses associated with the issuance of the Term Loan were capitalized and are amortized to interest expense over the life of the term loan using the effective interest method. As of April 2, 2022, the $284.4 million term loan balance was netted down by the $0.3 million of remaining debt discount, resulting in a net note payable of $284.1 million.</w:t>
      </w:r>
    </w:p>
    <w:p>
      <w:pPr>
        <w:spacing w:after="0" w:line="2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Interest expense was $5.8 million, $9.4 million and $13.5 million for fiscal 2022, 2021 and 2020, respectively. Accrued interest associated with the outstanding debt is included as a component of other current liabilities in the accompanying consolidated balance sheets. As of both April 2, 2022 and April 3, 2021, the Company had an insignificant amount of accrued interest associated with the outstanding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debt maturing during the next five fiscal years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Fiscal year </w:t>
            </w:r>
            <w:r>
              <w:rPr>
                <w:rFonts w:ascii="Times New Roman" w:cs="Times New Roman" w:eastAsia="Times New Roman" w:hAnsi="Times New Roman"/>
                <w:sz w:val="14"/>
                <w:szCs w:val="14"/>
                <w:i w:val="1"/>
                <w:iCs w:val="1"/>
                <w:color w:val="auto"/>
              </w:rPr>
              <w:t>(In thousands)</w:t>
            </w:r>
          </w:p>
        </w:tc>
        <w:tc>
          <w:tcPr>
            <w:tcW w:w="4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58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214,375</w:t>
            </w:r>
          </w:p>
        </w:tc>
      </w:tr>
      <w:tr>
        <w:trPr>
          <w:trHeight w:val="22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FINANCIAL INSTRUMENTS AND FAIR VALUE MEASUREMENTS</w:t>
      </w:r>
    </w:p>
    <w:p>
      <w:pPr>
        <w:spacing w:after="0" w:line="246" w:lineRule="exact"/>
        <w:rPr>
          <w:sz w:val="20"/>
          <w:szCs w:val="20"/>
          <w:color w:val="auto"/>
        </w:rPr>
      </w:pPr>
    </w:p>
    <w:p>
      <w:pPr>
        <w:jc w:val="both"/>
        <w:ind w:right="260"/>
        <w:spacing w:after="0" w:line="304" w:lineRule="auto"/>
        <w:rPr>
          <w:sz w:val="20"/>
          <w:szCs w:val="20"/>
          <w:color w:val="auto"/>
        </w:rPr>
      </w:pPr>
      <w:r>
        <w:rPr>
          <w:rFonts w:ascii="Times New Roman" w:cs="Times New Roman" w:eastAsia="Times New Roman" w:hAnsi="Times New Roman"/>
          <w:sz w:val="17"/>
          <w:szCs w:val="17"/>
          <w:color w:val="auto"/>
        </w:rPr>
        <w:t>The Company manufactures, markets and sells its products globally. For the fiscal year ended April 2, 2022, 35.6% of the Company's sales were generated outside the U.S. in local currencies. The Company also incurs certain manufacturing, marketing and selling costs in international markets in local currency.</w:t>
      </w:r>
    </w:p>
    <w:p>
      <w:pPr>
        <w:spacing w:after="0" w:line="1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Chinese Yuan,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Foreign Currency Hedge Contracts</w:t>
      </w:r>
    </w:p>
    <w:p>
      <w:pPr>
        <w:spacing w:after="0" w:line="24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April 2, 2022 and April 3, 2021 were cash flow hedges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 contracts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$67.3 million as of April 2, 2022 and $56.0 million as of April 3, 2021. At April 2, 2022, a gain of $2.8 million, net of tax, will be reclassified to earnings within the next twelve months. Substantially all currency cash flow hedges outstanding as of April 2, 2022 mature within twelve months.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Foreign Currency Contracts</w:t>
      </w:r>
    </w:p>
    <w:p>
      <w:pPr>
        <w:spacing w:after="0" w:line="24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$39.5 million as of April 2, 2022 and $95.6 million as of April 3,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4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On June 15, 2018, the Company entered into Credit Facilities which provided for a $350 million Term Loan and a $350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As of April 2, 2022, the notional value was $199.1 million. The Company designated the Swaps as cash flow hedges of variable interest rate risk associated with $345.6 million of indebtedness. For fiscal 2022, the Company recorded a gain of $7.5 million, net of tax, in accumulated other comprehensive loss to recognize the effective portion of the fair value of the Swaps that qualify as cash flow hedges.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ordinary course of business, the Company grants trade credit to its customers on normal credit terms. In an effort to reduce its credit risk, the Company</w:t>
      </w:r>
    </w:p>
    <w:p>
      <w:pPr>
        <w:spacing w:after="0" w:line="36" w:lineRule="exact"/>
        <w:rPr>
          <w:sz w:val="20"/>
          <w:szCs w:val="20"/>
          <w:color w:val="auto"/>
        </w:rPr>
      </w:pPr>
    </w:p>
    <w:p>
      <w:pPr>
        <w:ind w:right="80" w:firstLine="6"/>
        <w:spacing w:after="0" w:line="251" w:lineRule="auto"/>
        <w:tabs>
          <w:tab w:leader="none" w:pos="2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10"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rollforward of the allowance for credit losses: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60" w:type="dxa"/>
            <w:vAlign w:val="bottom"/>
          </w:tcPr>
          <w:p>
            <w:pPr>
              <w:spacing w:after="0"/>
              <w:rPr>
                <w:sz w:val="16"/>
                <w:szCs w:val="16"/>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360" w:type="dxa"/>
            <w:vAlign w:val="bottom"/>
          </w:tcPr>
          <w:p>
            <w:pPr>
              <w:spacing w:after="0"/>
              <w:rPr>
                <w:sz w:val="16"/>
                <w:szCs w:val="16"/>
                <w:color w:val="auto"/>
              </w:rPr>
            </w:pPr>
          </w:p>
        </w:tc>
        <w:tc>
          <w:tcPr>
            <w:tcW w:w="18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w:t>
            </w:r>
          </w:p>
        </w:tc>
        <w:tc>
          <w:tcPr>
            <w:tcW w:w="0" w:type="dxa"/>
            <w:vAlign w:val="bottom"/>
          </w:tcPr>
          <w:p>
            <w:pPr>
              <w:spacing w:after="0"/>
              <w:rPr>
                <w:sz w:val="1"/>
                <w:szCs w:val="1"/>
                <w:color w:val="auto"/>
              </w:rPr>
            </w:pPr>
          </w:p>
        </w:tc>
      </w:tr>
      <w:tr>
        <w:trPr>
          <w:trHeight w:val="225"/>
        </w:trPr>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Credit (gain) loss</w:t>
            </w: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248"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consolidated statements of income and comprehensive income for the fiscal year ended April 2,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 Reclassified</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in Consolidated</w:t>
            </w: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760" w:type="dxa"/>
            <w:vAlign w:val="bottom"/>
            <w:gridSpan w:val="2"/>
            <w:vMerge w:val="continue"/>
          </w:tcPr>
          <w:p>
            <w:pPr>
              <w:spacing w:after="0"/>
              <w:rPr>
                <w:sz w:val="12"/>
                <w:szCs w:val="12"/>
                <w:color w:val="auto"/>
              </w:rPr>
            </w:pPr>
          </w:p>
        </w:tc>
        <w:tc>
          <w:tcPr>
            <w:tcW w:w="14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Gain Excluded from</w:t>
            </w:r>
          </w:p>
        </w:tc>
        <w:tc>
          <w:tcPr>
            <w:tcW w:w="13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Statements of Income</w:t>
            </w:r>
          </w:p>
        </w:tc>
        <w:tc>
          <w:tcPr>
            <w:tcW w:w="0" w:type="dxa"/>
            <w:vAlign w:val="bottom"/>
          </w:tcPr>
          <w:p>
            <w:pPr>
              <w:spacing w:after="0"/>
              <w:rPr>
                <w:sz w:val="1"/>
                <w:szCs w:val="1"/>
                <w:color w:val="auto"/>
              </w:rPr>
            </w:pPr>
          </w:p>
        </w:tc>
      </w:tr>
      <w:tr>
        <w:trPr>
          <w:trHeight w:val="146"/>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4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Comprehensive</w:t>
            </w:r>
          </w:p>
        </w:tc>
        <w:tc>
          <w:tcPr>
            <w:tcW w:w="0" w:type="dxa"/>
            <w:vAlign w:val="bottom"/>
          </w:tcPr>
          <w:p>
            <w:pPr>
              <w:spacing w:after="0"/>
              <w:rPr>
                <w:sz w:val="1"/>
                <w:szCs w:val="1"/>
                <w:color w:val="auto"/>
              </w:rPr>
            </w:pPr>
          </w:p>
        </w:tc>
      </w:tr>
      <w:tr>
        <w:trPr>
          <w:trHeight w:val="192"/>
        </w:trPr>
        <w:tc>
          <w:tcPr>
            <w:tcW w:w="3680" w:type="dxa"/>
            <w:vAlign w:val="bottom"/>
            <w:gridSpan w:val="2"/>
            <w:vMerge w:val="continue"/>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into Earnings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3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Designated foreign currency hedge contracts, net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Net revenues, COGS</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SG&amp;A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April 2, 2022 or April 3, 2021. As of April 2, 2022, no material deferred taxes were recognized for designated foreign currency hedges.</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2, 2022,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the fair value of the Company's derivative instruments as they appear in its consolidated balance sheets as of April 2, 2022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Location in</w:t>
            </w: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2, 2022</w:t>
            </w:r>
          </w:p>
        </w:tc>
        <w:tc>
          <w:tcPr>
            <w:tcW w:w="120" w:type="dxa"/>
            <w:vAlign w:val="bottom"/>
          </w:tcPr>
          <w:p>
            <w:pPr>
              <w:spacing w:after="0"/>
              <w:rPr>
                <w:sz w:val="13"/>
                <w:szCs w:val="13"/>
                <w:color w:val="auto"/>
              </w:rPr>
            </w:pPr>
          </w:p>
        </w:tc>
        <w:tc>
          <w:tcPr>
            <w:tcW w:w="13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April 3, 2021</w:t>
            </w:r>
          </w:p>
        </w:tc>
        <w:tc>
          <w:tcPr>
            <w:tcW w:w="0" w:type="dxa"/>
            <w:vAlign w:val="bottom"/>
          </w:tcPr>
          <w:p>
            <w:pPr>
              <w:spacing w:after="0"/>
              <w:rPr>
                <w:sz w:val="1"/>
                <w:szCs w:val="1"/>
                <w:color w:val="auto"/>
              </w:rPr>
            </w:pPr>
          </w:p>
        </w:tc>
      </w:tr>
      <w:tr>
        <w:trPr>
          <w:trHeight w:val="189"/>
        </w:trPr>
        <w:tc>
          <w:tcPr>
            <w:tcW w:w="5360" w:type="dxa"/>
            <w:vAlign w:val="bottom"/>
            <w:vMerge w:val="continue"/>
          </w:tcPr>
          <w:p>
            <w:pPr>
              <w:spacing w:after="0"/>
              <w:rPr>
                <w:sz w:val="16"/>
                <w:szCs w:val="16"/>
                <w:color w:val="auto"/>
              </w:rPr>
            </w:pPr>
          </w:p>
        </w:tc>
        <w:tc>
          <w:tcPr>
            <w:tcW w:w="28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Measurements</w:t>
      </w:r>
    </w:p>
    <w:p>
      <w:pPr>
        <w:spacing w:after="0" w:line="248" w:lineRule="exact"/>
        <w:rPr>
          <w:sz w:val="20"/>
          <w:szCs w:val="20"/>
          <w:color w:val="auto"/>
        </w:rPr>
      </w:pPr>
    </w:p>
    <w:p>
      <w:pPr>
        <w:jc w:val="both"/>
        <w:ind w:right="80"/>
        <w:spacing w:after="0" w:line="304"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40" w:hanging="63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4" w:lineRule="exact"/>
        <w:rPr>
          <w:rFonts w:ascii="Times New Roman" w:cs="Times New Roman" w:eastAsia="Times New Roman" w:hAnsi="Times New Roman"/>
          <w:sz w:val="18"/>
          <w:szCs w:val="18"/>
          <w:color w:val="auto"/>
        </w:rPr>
      </w:pPr>
    </w:p>
    <w:p>
      <w:pPr>
        <w:ind w:right="540" w:firstLine="6"/>
        <w:spacing w:after="0" w:line="245" w:lineRule="auto"/>
        <w:tabs>
          <w:tab w:leader="none" w:pos="6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 w:lineRule="exact"/>
        <w:rPr>
          <w:rFonts w:ascii="Times New Roman" w:cs="Times New Roman" w:eastAsia="Times New Roman" w:hAnsi="Times New Roman"/>
          <w:sz w:val="18"/>
          <w:szCs w:val="18"/>
          <w:color w:val="auto"/>
        </w:rPr>
      </w:pPr>
    </w:p>
    <w:p>
      <w:pPr>
        <w:ind w:right="240" w:firstLine="6"/>
        <w:spacing w:after="0" w:line="251" w:lineRule="auto"/>
        <w:tabs>
          <w:tab w:leader="none" w:pos="6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Measured on a Recurring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April 2, 2022 and April 3,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April 2,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6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100,657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0" w:type="dxa"/>
            <w:vAlign w:val="bottom"/>
          </w:tcPr>
          <w:p>
            <w:pPr>
              <w:spacing w:after="0"/>
              <w:rPr>
                <w:sz w:val="1"/>
                <w:szCs w:val="1"/>
                <w:color w:val="auto"/>
              </w:rPr>
            </w:pPr>
          </w:p>
        </w:tc>
      </w:tr>
      <w:tr>
        <w:trPr>
          <w:trHeight w:val="243"/>
        </w:trPr>
        <w:tc>
          <w:tcPr>
            <w:tcW w:w="6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April 3, 2021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62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51,864</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0" w:type="dxa"/>
            <w:vAlign w:val="bottom"/>
          </w:tcPr>
          <w:p>
            <w:pPr>
              <w:spacing w:after="0"/>
              <w:rPr>
                <w:sz w:val="1"/>
                <w:szCs w:val="1"/>
                <w:color w:val="auto"/>
              </w:rPr>
            </w:pPr>
          </w:p>
        </w:tc>
      </w:tr>
      <w:tr>
        <w:trPr>
          <w:trHeight w:val="22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00" w:type="dxa"/>
            <w:vAlign w:val="bottom"/>
          </w:tcPr>
          <w:p>
            <w:pPr>
              <w:spacing w:after="0"/>
              <w:rPr>
                <w:sz w:val="23"/>
                <w:szCs w:val="23"/>
                <w:color w:val="auto"/>
              </w:rPr>
            </w:pP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0" w:type="dxa"/>
            <w:vAlign w:val="bottom"/>
          </w:tcPr>
          <w:p>
            <w:pPr>
              <w:spacing w:after="0"/>
              <w:rPr>
                <w:sz w:val="1"/>
                <w:szCs w:val="1"/>
                <w:color w:val="auto"/>
              </w:rPr>
            </w:pPr>
          </w:p>
        </w:tc>
      </w:tr>
      <w:tr>
        <w:trPr>
          <w:trHeight w:val="187"/>
        </w:trPr>
        <w:tc>
          <w:tcPr>
            <w:tcW w:w="264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20" w:type="dxa"/>
            <w:vAlign w:val="bottom"/>
            <w:vMerge w:val="restart"/>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8"/>
        </w:trPr>
        <w:tc>
          <w:tcPr>
            <w:tcW w:w="2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8.5%</w:t>
            </w:r>
          </w:p>
        </w:tc>
        <w:tc>
          <w:tcPr>
            <w:tcW w:w="0" w:type="dxa"/>
            <w:vAlign w:val="bottom"/>
          </w:tcPr>
          <w:p>
            <w:pPr>
              <w:spacing w:after="0"/>
              <w:rPr>
                <w:sz w:val="1"/>
                <w:szCs w:val="1"/>
                <w:color w:val="auto"/>
              </w:rPr>
            </w:pPr>
          </w:p>
        </w:tc>
      </w:tr>
      <w:tr>
        <w:trPr>
          <w:trHeight w:val="200"/>
        </w:trPr>
        <w:tc>
          <w:tcPr>
            <w:tcW w:w="26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20" w:type="dxa"/>
            <w:vAlign w:val="bottom"/>
            <w:vMerge w:val="restart"/>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2023 - 2024</w:t>
            </w:r>
          </w:p>
        </w:tc>
        <w:tc>
          <w:tcPr>
            <w:tcW w:w="0" w:type="dxa"/>
            <w:vAlign w:val="bottom"/>
          </w:tcPr>
          <w:p>
            <w:pPr>
              <w:spacing w:after="0"/>
              <w:rPr>
                <w:sz w:val="1"/>
                <w:szCs w:val="1"/>
                <w:color w:val="auto"/>
              </w:rPr>
            </w:pPr>
          </w:p>
        </w:tc>
      </w:tr>
      <w:tr>
        <w:trPr>
          <w:trHeight w:val="224"/>
        </w:trPr>
        <w:tc>
          <w:tcPr>
            <w:tcW w:w="2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4.9%</w:t>
            </w:r>
          </w:p>
        </w:tc>
        <w:tc>
          <w:tcPr>
            <w:tcW w:w="0" w:type="dxa"/>
            <w:vAlign w:val="bottom"/>
          </w:tcPr>
          <w:p>
            <w:pPr>
              <w:spacing w:after="0"/>
              <w:rPr>
                <w:sz w:val="1"/>
                <w:szCs w:val="1"/>
                <w:color w:val="auto"/>
              </w:rPr>
            </w:pPr>
          </w:p>
        </w:tc>
      </w:tr>
      <w:tr>
        <w:trPr>
          <w:trHeight w:val="265"/>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Regulatory-based payment</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3"/>
                <w:szCs w:val="23"/>
                <w:color w:val="auto"/>
              </w:rPr>
            </w:pP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Discounted cash flow</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Probability of payment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- 100%</w:t>
            </w:r>
          </w:p>
        </w:tc>
        <w:tc>
          <w:tcPr>
            <w:tcW w:w="0" w:type="dxa"/>
            <w:vAlign w:val="bottom"/>
          </w:tcPr>
          <w:p>
            <w:pPr>
              <w:spacing w:after="0"/>
              <w:rPr>
                <w:sz w:val="1"/>
                <w:szCs w:val="1"/>
                <w:color w:val="auto"/>
              </w:rPr>
            </w:pPr>
          </w:p>
        </w:tc>
      </w:tr>
      <w:tr>
        <w:trPr>
          <w:trHeight w:val="67"/>
        </w:trPr>
        <w:tc>
          <w:tcPr>
            <w:tcW w:w="264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2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20" w:type="dxa"/>
            <w:vAlign w:val="bottom"/>
            <w:vMerge w:val="restart"/>
            <w:shd w:val="clear" w:color="auto" w:fill="CCEEFF"/>
          </w:tcPr>
          <w:p>
            <w:pPr>
              <w:spacing w:after="0"/>
              <w:rPr>
                <w:sz w:val="5"/>
                <w:szCs w:val="5"/>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357"/>
        </w:trPr>
        <w:tc>
          <w:tcPr>
            <w:tcW w:w="2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96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During the fiscal year ended April 2, 2022, the Company increased the fair value of the contingent consideration related to the acquisition of Cardiva by $10.7 million, which was recorded as selling, general and administrative expenses its consolidated statement of income. The fair value of contingent consideration associated with acquisitions was $33.7 million at April 2, 2022. As of April 2, 2022, $31.2 million was included in other liabilities and $2.5 million was included in other long-term liabilities on the consolidated balance sheet.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fair value of contingent consideration is included in the following table: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 2021</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r>
      <w:tr>
        <w:trPr>
          <w:trHeight w:val="225"/>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r>
      <w:tr>
        <w:trPr>
          <w:trHeight w:val="22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r>
      <w:tr>
        <w:trPr>
          <w:trHeight w:val="225"/>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4"/>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fair value of the 2026 Notes as of April 2, 2022 was $420.6 million, which was determined based on the quoted price for the 2026 Notes in an inactive market on the last trading day of the reporting period and is considered as level 2 in the fair value hierarchy. In estimating the risk adjusted yield, the Company utilized both an income and market approach. For the income approach, the Company used a convertible bond pricing model, which included several assumptions including volatility and the risk-free rate. For the market approach, the Company performed an evaluation of issuances of debt securities issued by other comparable companies and broader market indices.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(which is carried at amortized cost), accounts receivable and accounts payable approximate fair value.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48"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color w:val="auto"/>
        </w:rPr>
        <w:t>The Company has a Savings Plus Plan (the “401k Plan”) that is a 401(k) plan that allows its U.S. employees to accumulate savings on a pre-tax basis. In addition, matching contributions are made to the 401k Plan based upon pre-established rates. The Company's matching contributions amounted to approximately $6.3 million, $4.9 million and $4.7 million in fiscal 2022, 2021 and 2020, respectively. Upon the Company's Board of Directors' approval, additional discretionary contributions can also be made. No discretionary contributions were made for the 401k Plan in fiscal 2022, 2021, or 2020.</w:t>
      </w:r>
    </w:p>
    <w:p>
      <w:pPr>
        <w:spacing w:after="0" w:line="19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Some of the Company's subsidiaries also have defined contribution plans, to which both the employee and the employer make contributions. The employer contributions to these plans totaled $0.6 million, $0.7 million and $0.6 million in fiscal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24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ASC Topic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w:t>
      </w: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204"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prior service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under those defined benefit plans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0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(31,891)</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 of year</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(31,891)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contributions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gain on plan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line="239" w:lineRule="exact"/>
              <w:rPr>
                <w:sz w:val="20"/>
                <w:szCs w:val="20"/>
                <w:color w:val="auto"/>
              </w:rPr>
            </w:pPr>
            <w:r>
              <w:rPr>
                <w:rFonts w:ascii="Times New Roman" w:cs="Times New Roman" w:eastAsia="Times New Roman" w:hAnsi="Times New Roman"/>
                <w:sz w:val="18"/>
                <w:szCs w:val="18"/>
                <w:color w:val="auto"/>
              </w:rPr>
              <w:t>Funded Status</w:t>
            </w:r>
            <w:r>
              <w:rPr>
                <w:rFonts w:ascii="Times New Roman" w:cs="Times New Roman" w:eastAsia="Times New Roman" w:hAnsi="Times New Roman"/>
                <w:sz w:val="22"/>
                <w:szCs w:val="22"/>
                <w:color w:val="auto"/>
                <w:vertAlign w:val="superscript"/>
              </w:rPr>
              <w: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40" w:type="dxa"/>
            <w:vAlign w:val="bottom"/>
            <w:vMerge w:val="continue"/>
          </w:tcPr>
          <w:p>
            <w:pPr>
              <w:spacing w:after="0"/>
              <w:rPr>
                <w:sz w:val="17"/>
                <w:szCs w:val="17"/>
                <w:color w:val="auto"/>
              </w:rPr>
            </w:pPr>
          </w:p>
        </w:tc>
        <w:tc>
          <w:tcPr>
            <w:tcW w:w="30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(12,963)</w:t>
            </w:r>
          </w:p>
        </w:tc>
        <w:tc>
          <w:tcPr>
            <w:tcW w:w="100" w:type="dxa"/>
            <w:vAlign w:val="bottom"/>
          </w:tcPr>
          <w:p>
            <w:pPr>
              <w:spacing w:after="0"/>
              <w:rPr>
                <w:sz w:val="17"/>
                <w:szCs w:val="17"/>
                <w:color w:val="auto"/>
              </w:rPr>
            </w:pPr>
          </w:p>
        </w:tc>
        <w:tc>
          <w:tcPr>
            <w:tcW w:w="30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(15,749)</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actuarial (gain) loss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Substantially all of the unfunded status is non-current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$6.8 million and $7.0 million at April 2, 2022 and April 3, 2021, respectively. The total liability for this plan, which is included in the table above, was $9.6 million and $11.1 million as of April 2, 2022 and April 3, 2021, respectively.</w:t>
      </w:r>
    </w:p>
    <w:p>
      <w:pPr>
        <w:spacing w:after="0" w:line="20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The accumulated benefit obligation for all plans was $28.4 million and $30.6 million for fiscal 2022 and 2021, respectively. There were no plans where the plan assets were greater than the accumulated benefit obligation as of April 2, 2022 and April 3,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components of the change recorded in the Company's accumulated other comprehensive loss related to its defined benefit plans, net of tax,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30, 2019</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2020</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 2021</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 2022</w:t>
            </w: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amortize $0.3 million from accumulated other comprehensive loss to net periodic benefit cost during fiscal 2023.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rates used to determine the net periodic benefit costs and projected benefit obligations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0.82 %</w:t>
            </w:r>
          </w:p>
        </w:tc>
      </w:tr>
      <w:tr>
        <w:trPr>
          <w:trHeight w:val="225"/>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increased salary levels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5"/>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material obligation for post-retirement or post-employment benefits.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policy for pension plans is to balance risk and return through a diversified portfolio to reduce interest rate and market risk.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are managed so that sufficient liquidity exists to meet immediate and future benefit payment requirements.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provides guidance for reporting and measuring the plan assets of the Company's defined benefit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at fair value as of April 2, 2022. Using the same three-level valuation hierarchy for disclosure of fair value measurements as described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Note 14,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all of the assets of the Company’s plan are classified within Level 2 of the fair value hierarchy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the plan assets are primarily insurance contracts.</w:t>
      </w:r>
    </w:p>
    <w:p>
      <w:pPr>
        <w:spacing w:after="0" w:line="22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color w:val="auto"/>
        </w:rPr>
        <w:t>Expected benefit payments for both plans are estimated using the same assumptions used in determining the Company’s benefit obligation at April 2, 2022. Benefit payments will depend on future employment and compensation levels, average years employed and average life spans, among other factors, and changes in any of these factors could significantly affect these estimated future benefit payments. Estimated future benefit payments are as follows: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53"/>
        </w:trPr>
        <w:tc>
          <w:tcPr>
            <w:tcW w:w="1200" w:type="dxa"/>
            <w:vAlign w:val="bottom"/>
            <w:tcBorders>
              <w:top w:val="single" w:sz="8" w:color="0000FF"/>
            </w:tcBorders>
          </w:tcPr>
          <w:p>
            <w:pPr>
              <w:spacing w:after="0"/>
              <w:rPr>
                <w:sz w:val="22"/>
                <w:szCs w:val="22"/>
                <w:color w:val="auto"/>
              </w:rPr>
            </w:pPr>
          </w:p>
        </w:tc>
        <w:tc>
          <w:tcPr>
            <w:tcW w:w="780" w:type="dxa"/>
            <w:vAlign w:val="bottom"/>
          </w:tcPr>
          <w:p>
            <w:pPr>
              <w:spacing w:after="0"/>
              <w:rPr>
                <w:sz w:val="22"/>
                <w:szCs w:val="22"/>
                <w:color w:val="auto"/>
              </w:rPr>
            </w:pPr>
          </w:p>
        </w:tc>
        <w:tc>
          <w:tcPr>
            <w:tcW w:w="8340" w:type="dxa"/>
            <w:vAlign w:val="bottom"/>
          </w:tcPr>
          <w:p>
            <w:pPr>
              <w:jc w:val="center"/>
              <w:ind w:right="972"/>
              <w:spacing w:after="0"/>
              <w:rPr>
                <w:sz w:val="20"/>
                <w:szCs w:val="20"/>
                <w:color w:val="auto"/>
              </w:rPr>
            </w:pPr>
            <w:r>
              <w:rPr>
                <w:rFonts w:ascii="Times New Roman" w:cs="Times New Roman" w:eastAsia="Times New Roman" w:hAnsi="Times New Roman"/>
                <w:sz w:val="18"/>
                <w:szCs w:val="18"/>
                <w:b w:val="1"/>
                <w:bCs w:val="1"/>
                <w:color w:val="auto"/>
                <w:w w:val="97"/>
              </w:rPr>
              <w:t>HAEMONETICS CORPORATION AND SUBSIDIARIES</w:t>
            </w:r>
          </w:p>
        </w:tc>
        <w:tc>
          <w:tcPr>
            <w:tcW w:w="900" w:type="dxa"/>
            <w:vAlign w:val="bottom"/>
          </w:tcPr>
          <w:p>
            <w:pPr>
              <w:spacing w:after="0"/>
              <w:rPr>
                <w:sz w:val="22"/>
                <w:szCs w:val="22"/>
                <w:color w:val="auto"/>
              </w:rPr>
            </w:pPr>
          </w:p>
        </w:tc>
      </w:tr>
      <w:tr>
        <w:trPr>
          <w:trHeight w:val="311"/>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40" w:type="dxa"/>
            <w:vAlign w:val="bottom"/>
          </w:tcPr>
          <w:p>
            <w:pPr>
              <w:jc w:val="center"/>
              <w:ind w:right="972"/>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 — (Continued)</w:t>
            </w:r>
          </w:p>
        </w:tc>
        <w:tc>
          <w:tcPr>
            <w:tcW w:w="900" w:type="dxa"/>
            <w:vAlign w:val="bottom"/>
          </w:tcPr>
          <w:p>
            <w:pPr>
              <w:spacing w:after="0"/>
              <w:rPr>
                <w:sz w:val="24"/>
                <w:szCs w:val="24"/>
                <w:color w:val="auto"/>
              </w:rPr>
            </w:pPr>
          </w:p>
        </w:tc>
      </w:tr>
      <w:tr>
        <w:trPr>
          <w:trHeight w:val="59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1980" w:type="dxa"/>
            <w:vAlign w:val="bottom"/>
            <w:gridSpan w:val="2"/>
          </w:tcPr>
          <w:p>
            <w:pPr>
              <w:spacing w:after="0"/>
              <w:rPr>
                <w:sz w:val="2"/>
                <w:szCs w:val="2"/>
                <w:color w:val="auto"/>
              </w:rPr>
            </w:pPr>
          </w:p>
        </w:tc>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83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5"/>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8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8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5"/>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8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8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3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2028-2032</w:t>
            </w:r>
          </w:p>
        </w:tc>
        <w:tc>
          <w:tcPr>
            <w:tcW w:w="8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contributions for fiscal 2023 are expected to be consistent with the current year.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20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19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 xml:space="preserve">In the fourth quarter of fiscal 2021, a putative class action complaint was filed against the Company in the Circuit Court of Cook County, Illinois by Mary Crumpton, on behalf of herself and similarly situated individuals.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late March 2022, the court denied the Company’s motion to dismiss for lack of personal jurisdiction but did not address the merits of the Company’s other positions. The Company believes the allegations in this lawsuit are without merit and will defend vigorously against them. The case is still in an early stage and the Company cannot reasonably estimate a range of potential loss and expense at this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CAPITAL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4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July 25, 2019 (the “Effective Date”), the Haemonetics Corporation 2019 Long-Term Incentive Compensation Plan (the “2019 Equity Plan”) was approved and became effective.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three independent members of the Company's Board of Directors, and is the successor to the Haemonetics Corporation 2005 Long-Term Incentive Compensation Plan, as amended (the “2005 Equity Plan”).</w:t>
      </w:r>
    </w:p>
    <w:p>
      <w:pPr>
        <w:spacing w:after="0" w:line="2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Upon the Effective Date, no further awards were granted under the 2005 Equity Plan; however, each outstanding award under the 2005 Equity Plan will remain outstanding under that plan and continue to be governed under its terms and any applicable award agreement. The maximum number of shares available for award under 2019 Equity Plan is 5,759,433, which consists of 2,700,000 shares of common stock authorized for issuance under the 2019 Equity Plan plus 3,059,433 shares of common stock reserved for issuance under the 2005 Equity Plan that remained available for grant under the 2005 Plan as of the Effective Date.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Under the 2019 Equity Plan,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as of April 2, 2022 were 3,928,160.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Compensation cost related to share-based transactions is recognized in the consolidated financial statements based on fair value. The total amount of share-based compensation expense, which is recorded on a straight line basis,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6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w:t>
            </w: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18"/>
        </w:trPr>
        <w:tc>
          <w:tcPr>
            <w:tcW w:w="66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w:t>
            </w:r>
          </w:p>
        </w:tc>
      </w:tr>
      <w:tr>
        <w:trPr>
          <w:trHeight w:val="20"/>
        </w:trPr>
        <w:tc>
          <w:tcPr>
            <w:tcW w:w="6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fiscal year ended April 2,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14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5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tcPr>
          <w:p>
            <w:pPr>
              <w:jc w:val="center"/>
              <w:ind w:right="181"/>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18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6"/>
                <w:szCs w:val="16"/>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2,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1,056,638</w:t>
            </w:r>
          </w:p>
        </w:tc>
        <w:tc>
          <w:tcPr>
            <w:tcW w:w="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April 2,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561,114</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April 2,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970,200</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$1.7 million, $8.2 million and $18.1 million during fiscal 2022, 2021 and 2020, respectively.</w:t>
      </w:r>
    </w:p>
    <w:p>
      <w:pPr>
        <w:spacing w:after="0" w:line="2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April 2, 2022, there was $8.5 million of total unrecognized compensation cost related to non-vested stock options. This cost is expected to be recognized over a weighted average period of 2.5 years.</w:t>
      </w:r>
    </w:p>
    <w:p>
      <w:pPr>
        <w:spacing w:after="0" w:line="19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for option grants during the periods presented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Option</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28.25</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fiscal year ended April 2, 2022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4"/>
        </w:trPr>
        <w:tc>
          <w:tcPr>
            <w:tcW w:w="8360" w:type="dxa"/>
            <w:vAlign w:val="bottom"/>
          </w:tcPr>
          <w:p>
            <w:pPr>
              <w:spacing w:after="0"/>
              <w:rPr>
                <w:sz w:val="11"/>
                <w:szCs w:val="11"/>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8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
        </w:trPr>
        <w:tc>
          <w:tcPr>
            <w:tcW w:w="8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2,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and total fair value of RSUs vested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RSU</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3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RSUs vested</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w:t>
            </w:r>
          </w:p>
        </w:tc>
      </w:tr>
    </w:tbl>
    <w:p>
      <w:pPr>
        <w:spacing w:after="0" w:line="30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As of April 2, 2022, there was $17.6 million of total unrecognized compensation cost related to non-vested restricted stock units. This cost is expected to be recognized over a weighted average period of 2.2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4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The PSUs comparison group consists of the Standard and Poor's (“S&amp;P”) MidCap 400 Index.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565,892 shares related to outstanding performance based awards.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fiscal year ended April 2,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360" w:type="dxa"/>
            <w:vAlign w:val="bottom"/>
          </w:tcPr>
          <w:p>
            <w:pPr>
              <w:spacing w:after="0"/>
              <w:rPr>
                <w:sz w:val="12"/>
                <w:szCs w:val="12"/>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April 2,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282,946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17715" cy="168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ind w:left="160" w:hanging="136"/>
        <w:spacing w:after="0" w:line="217" w:lineRule="auto"/>
        <w:tabs>
          <w:tab w:leader="none" w:pos="16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adjustment of 70,672 shares for awards granted in fiscal 2019, based on actual relative total shareholder return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-101600</wp:posOffset>
            </wp:positionV>
            <wp:extent cx="698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31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tbl>
      <w:tblPr>
        <w:tblLayout w:type="fixed"/>
        <w:tblInd w:w="0" w:type="dxa"/>
        <w:tblCellMar>
          <w:top w:w="0" w:type="dxa"/>
          <w:left w:w="0" w:type="dxa"/>
          <w:bottom w:w="0" w:type="dxa"/>
          <w:right w:w="0" w:type="dxa"/>
        </w:tblCellMar>
      </w:tblPr>
      <w:tr>
        <w:trPr>
          <w:trHeight w:val="186"/>
        </w:trPr>
        <w:tc>
          <w:tcPr>
            <w:tcW w:w="7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49.23 %</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36.79 %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28.64 %</w:t>
            </w: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Peer group stock price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45.75 %</w:t>
            </w:r>
          </w:p>
        </w:tc>
        <w:tc>
          <w:tcPr>
            <w:tcW w:w="120" w:type="dxa"/>
            <w:vAlign w:val="bottom"/>
          </w:tcPr>
          <w:p>
            <w:pPr>
              <w:spacing w:after="0"/>
              <w:rPr>
                <w:sz w:val="19"/>
                <w:szCs w:val="19"/>
                <w:color w:val="auto"/>
              </w:rPr>
            </w:pPr>
          </w:p>
        </w:tc>
        <w:tc>
          <w:tcPr>
            <w:tcW w:w="19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42.31 %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29.77 %</w:t>
            </w:r>
          </w:p>
        </w:tc>
      </w:t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65.06 %</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65.12 %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50.30 %</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PSUs granted and total fair value of PSUs vested are as follows: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
        </w:trPr>
        <w:tc>
          <w:tcPr>
            <w:tcW w:w="6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PSU</w:t>
            </w:r>
          </w:p>
        </w:tc>
        <w:tc>
          <w:tcPr>
            <w:tcW w:w="90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w:t>
            </w:r>
          </w:p>
        </w:tc>
      </w:tr>
      <w:tr>
        <w:trPr>
          <w:trHeight w:val="231"/>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PSUs vested</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r>
    </w:tbl>
    <w:p>
      <w:pPr>
        <w:spacing w:after="0" w:line="307"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As of April 2, 2022, there was $14.0 million of total unrecognized compensation cost related to non-vested performance share units. This cost is expected to be recognized over a weighted average period of 1.6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20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21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fair values of shares purchased under the Employee Stock Purchase Plan are estimated using the Black-Scholes single option-pricing model with the following weighted average assumptions:</w:t>
      </w: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ind w:left="70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25"/>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1"/>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30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weighted average grant date fair value of the six-month option inherent in the Purchase Plan was approximately $20.77, $30.77 and $27.11 during fiscal 2022, 2021 and 2020,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AND ENTERPRISE-WIDE INFORMATION</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24"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2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deal amortization, restructuring and restructuring related costs,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6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351,945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460,637</w:t>
            </w: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325,661</w:t>
            </w:r>
          </w:p>
        </w:tc>
      </w:tr>
      <w:tr>
        <w:trPr>
          <w:trHeight w:val="225"/>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194,604</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980,902</w:t>
            </w:r>
          </w:p>
        </w:tc>
      </w:tr>
      <w:tr>
        <w:trPr>
          <w:trHeight w:val="225"/>
        </w:trPr>
        <w:tc>
          <w:tcPr>
            <w:tcW w:w="6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870,463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988,479</w:t>
            </w:r>
          </w:p>
        </w:tc>
      </w:tr>
    </w:tbl>
    <w:p>
      <w:pPr>
        <w:ind w:left="180" w:hanging="156"/>
        <w:spacing w:after="0" w:line="229" w:lineRule="auto"/>
        <w:tabs>
          <w:tab w:leader="none" w:pos="18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-121920</wp:posOffset>
            </wp:positionV>
            <wp:extent cx="28606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5"/>
        </w:trPr>
        <w:tc>
          <w:tcPr>
            <w:tcW w:w="6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225,351</w:t>
            </w:r>
          </w:p>
        </w:tc>
      </w:tr>
      <w:tr>
        <w:trPr>
          <w:trHeight w:val="22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159,802</w:t>
            </w:r>
          </w:p>
        </w:tc>
      </w:tr>
      <w:tr>
        <w:trPr>
          <w:trHeight w:val="225"/>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80,669</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465,822</w:t>
            </w:r>
          </w:p>
        </w:tc>
      </w:tr>
      <w:tr>
        <w:trPr>
          <w:trHeight w:val="225"/>
        </w:trPr>
        <w:tc>
          <w:tcPr>
            <w:tcW w:w="69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(255,727)</w:t>
            </w:r>
          </w:p>
        </w:tc>
      </w:tr>
      <w:tr>
        <w:trPr>
          <w:trHeight w:val="225"/>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 and PCS2 related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(75,750)</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restructuring related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MDR and IVDR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divestitures and sale of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80,750</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89,747</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151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right="420" w:firstLine="4"/>
        <w:spacing w:after="0"/>
        <w:tabs>
          <w:tab w:leader="none" w:pos="162"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shared service expenses including quality and regulatory, customer and field service, research and development, manufacturing and supply chain, as well as other corporate support functions.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
        </w:trPr>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63,347</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(excluding impairment charges)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110,289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40" w:type="dxa"/>
            <w:vAlign w:val="bottom"/>
          </w:tcPr>
          <w:p>
            <w:pPr>
              <w:spacing w:after="0"/>
              <w:rPr>
                <w:sz w:val="24"/>
                <w:szCs w:val="24"/>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Long-lived assets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142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Blood Center</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p>
      <w:pPr>
        <w:spacing w:after="0" w:line="137" w:lineRule="exact"/>
        <w:rPr>
          <w:sz w:val="20"/>
          <w:szCs w:val="20"/>
          <w:color w:val="auto"/>
        </w:rPr>
      </w:pPr>
    </w:p>
    <w:p>
      <w:pPr>
        <w:ind w:left="160" w:hanging="136"/>
        <w:spacing w:after="0"/>
        <w:tabs>
          <w:tab w:leader="none" w:pos="16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Long-lived assets are comprised of property, plant and equipment.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Selected information by operating regions is presented below:</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105,599</w:t>
            </w:r>
          </w:p>
        </w:tc>
      </w:tr>
      <w:tr>
        <w:trPr>
          <w:trHeight w:val="225"/>
        </w:trPr>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83,225</w:t>
            </w:r>
          </w:p>
        </w:tc>
      </w:tr>
      <w:tr>
        <w:trPr>
          <w:trHeight w:val="230"/>
        </w:trPr>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46,527</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w:t>
            </w:r>
          </w:p>
        </w:tc>
      </w:tr>
      <w:tr>
        <w:trPr>
          <w:trHeight w:val="218"/>
        </w:trPr>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258,482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217,559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April 2,</w:t>
      </w:r>
      <w:r>
        <w:rPr>
          <w:sz w:val="20"/>
          <w:szCs w:val="20"/>
          <w:color w:val="auto"/>
        </w:rPr>
        <w:tab/>
      </w:r>
      <w:r>
        <w:rPr>
          <w:rFonts w:ascii="Times New Roman" w:cs="Times New Roman" w:eastAsia="Times New Roman" w:hAnsi="Times New Roman"/>
          <w:sz w:val="14"/>
          <w:szCs w:val="14"/>
          <w:b w:val="1"/>
          <w:bCs w:val="1"/>
          <w:color w:val="auto"/>
        </w:rPr>
        <w:t>April 3,</w:t>
      </w:r>
    </w:p>
    <w:p>
      <w:pPr>
        <w:spacing w:after="0" w:line="3" w:lineRule="exact"/>
        <w:rPr>
          <w:sz w:val="20"/>
          <w:szCs w:val="20"/>
          <w:color w:val="auto"/>
        </w:rPr>
      </w:pPr>
    </w:p>
    <w:p>
      <w:pPr>
        <w:ind w:left="74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7" w:lineRule="exact"/>
        <w:rPr>
          <w:sz w:val="20"/>
          <w:szCs w:val="20"/>
          <w:color w:val="auto"/>
        </w:rPr>
      </w:pPr>
    </w:p>
    <w:p>
      <w:pPr>
        <w:sectPr>
          <w:pgSz w:w="11900" w:h="16838" w:orient="portrait"/>
          <w:cols w:equalWidth="0" w:num="2">
            <w:col w:w="7560" w:space="720"/>
            <w:col w:w="296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520" w:type="dxa"/>
            <w:vAlign w:val="bottom"/>
            <w:tcBorders>
              <w:top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Long-lived assets</w:t>
            </w:r>
            <w:r>
              <w:rPr>
                <w:rFonts w:ascii="Times New Roman" w:cs="Times New Roman" w:eastAsia="Times New Roman" w:hAnsi="Times New Roman"/>
                <w:sz w:val="22"/>
                <w:szCs w:val="22"/>
                <w:color w:val="auto"/>
                <w:vertAlign w:val="superscript"/>
              </w:rPr>
              <w:t>(1)</w:t>
            </w: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200,927</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159,749</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217,559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160" w:hanging="136"/>
        <w:spacing w:after="0"/>
        <w:tabs>
          <w:tab w:leader="none" w:pos="1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Long-lived assets are comprised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646,204</w:t>
            </w:r>
          </w:p>
        </w:tc>
      </w:tr>
      <w:tr>
        <w:trPr>
          <w:trHeight w:val="225"/>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72,218</w:t>
            </w: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153,347</w:t>
            </w:r>
          </w:p>
        </w:tc>
      </w:tr>
      <w:tr>
        <w:trPr>
          <w:trHeight w:val="225"/>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109,295</w:t>
            </w: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r>
      <w:tr>
        <w:trPr>
          <w:trHeight w:val="21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870,463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988,479</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 products and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537,231</w:t>
            </w:r>
          </w:p>
        </w:tc>
      </w:tr>
      <w:tr>
        <w:trPr>
          <w:trHeight w:val="22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 products and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252,829</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 products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198,419</w:t>
            </w:r>
          </w:p>
        </w:tc>
      </w:tr>
      <w:tr>
        <w:trPr>
          <w:trHeight w:val="21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870,463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988,479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roll-forward of the components of accumulated other comprehensive loss, net of tax, for the years ended April 2, 2022 and April 3,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28, 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gain</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19"/>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3, 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0" w:type="dxa"/>
            <w:vAlign w:val="bottom"/>
          </w:tcPr>
          <w:p>
            <w:pPr>
              <w:spacing w:after="0"/>
              <w:rPr>
                <w:sz w:val="1"/>
                <w:szCs w:val="1"/>
                <w:color w:val="auto"/>
              </w:rPr>
            </w:pPr>
          </w:p>
        </w:tc>
      </w:tr>
      <w:tr>
        <w:trPr>
          <w:trHeight w:val="218"/>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gain</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8"/>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2,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(27,919)</w:t>
            </w:r>
          </w:p>
        </w:tc>
        <w:tc>
          <w:tcPr>
            <w:tcW w:w="10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2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-14605</wp:posOffset>
            </wp:positionV>
            <wp:extent cx="3702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ind w:left="160" w:hanging="136"/>
        <w:spacing w:after="0" w:line="217" w:lineRule="auto"/>
        <w:tabs>
          <w:tab w:leader="none" w:pos="16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-101600</wp:posOffset>
            </wp:positionV>
            <wp:extent cx="3702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on Internal Control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Annual Report on Internal Control over Financial Reporting</w:t>
      </w:r>
    </w:p>
    <w:p>
      <w:pPr>
        <w:spacing w:after="0" w:line="2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spacing w:after="0" w:line="2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assessed the effectiveness of its internal control over financial reporting as of April 2, 2022.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April 2, 2022.</w:t>
      </w:r>
    </w:p>
    <w:p>
      <w:pPr>
        <w:spacing w:after="0" w:line="207"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4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April 2, 2022 that have materially affected, or are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Haemonetics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Haemonetics Corporation and subsidiaries’ internal control over financial reporting as of April 2, 2022,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April 2, 2022, based on the COSO criteria.</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2022 consolidated financial statements of the Company and our report dated May 25, 2022 expressed an unqualified opinion thereon.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25,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Chief Financial Officer and senior financial officers. The Code of Ethics is incorporated into the Company’s Code of Conduct located on the Company’s website </w:t>
      </w:r>
      <w:r>
        <w:rPr>
          <w:rFonts w:ascii="Times New Roman" w:cs="Times New Roman" w:eastAsia="Times New Roman" w:hAnsi="Times New Roman"/>
          <w:sz w:val="18"/>
          <w:szCs w:val="18"/>
          <w:i w:val="1"/>
          <w:iCs w:val="1"/>
          <w:color w:val="auto"/>
        </w:rPr>
        <w:t>www.haemonetics.com</w:t>
      </w:r>
      <w:r>
        <w:rPr>
          <w:rFonts w:ascii="Times New Roman" w:cs="Times New Roman" w:eastAsia="Times New Roman" w:hAnsi="Times New Roman"/>
          <w:sz w:val="18"/>
          <w:szCs w:val="18"/>
          <w:color w:val="auto"/>
        </w:rPr>
        <w:t>, under the “Investor Relations Home”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21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205" w:lineRule="exact"/>
        <w:rPr>
          <w:sz w:val="20"/>
          <w:szCs w:val="20"/>
          <w:color w:val="auto"/>
        </w:rPr>
      </w:pPr>
    </w:p>
    <w:p>
      <w:pPr>
        <w:ind w:right="720"/>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36" w:lineRule="exact"/>
        <w:rPr>
          <w:sz w:val="20"/>
          <w:szCs w:val="20"/>
          <w:color w:val="auto"/>
        </w:rPr>
      </w:pPr>
    </w:p>
    <w:p>
      <w:pPr>
        <w:ind w:left="620" w:hanging="614"/>
        <w:spacing w:after="0"/>
        <w:tabs>
          <w:tab w:leader="none" w:pos="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are included in Part II of this report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Statements required by Item 8 of this Form</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u w:val="single" w:color="auto"/>
          <w:color w:val="0000FF"/>
        </w:rPr>
        <w:t>)</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not required.</w:t>
      </w:r>
    </w:p>
    <w:p>
      <w:pPr>
        <w:spacing w:after="0" w:line="242" w:lineRule="exact"/>
        <w:rPr>
          <w:sz w:val="20"/>
          <w:szCs w:val="20"/>
          <w:color w:val="auto"/>
        </w:rPr>
      </w:pPr>
    </w:p>
    <w:p>
      <w:pPr>
        <w:ind w:firstLine="6"/>
        <w:spacing w:after="0" w:line="276" w:lineRule="auto"/>
        <w:tabs>
          <w:tab w:leader="none" w:pos="62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S-K are listed in the Exhibit Index beginning at page 109, which is incorporated herein by reference.</w:t>
      </w: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40"/>
          </w:cols>
          <w:pgMar w:left="320" w:top="126" w:right="8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EXHIBITS FILED WITH SECURITIES AND EXCHANGE COMMISSION</w:t>
            </w:r>
          </w:p>
        </w:tc>
      </w:tr>
      <w:tr>
        <w:trPr>
          <w:trHeight w:val="345"/>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Number and Description of Exhibit</w:t>
            </w:r>
          </w:p>
        </w:tc>
      </w:tr>
      <w:tr>
        <w:trPr>
          <w:trHeight w:val="325"/>
        </w:trPr>
        <w:tc>
          <w:tcPr>
            <w:tcW w:w="1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 Articles of Organization</w:t>
            </w:r>
          </w:p>
        </w:tc>
      </w:tr>
      <w:tr>
        <w:trPr>
          <w:trHeight w:val="191"/>
        </w:trPr>
        <w:tc>
          <w:tcPr>
            <w:tcW w:w="620" w:type="dxa"/>
            <w:vAlign w:val="bottom"/>
            <w:gridSpan w:val="3"/>
          </w:tcPr>
          <w:p>
            <w:pPr>
              <w:spacing w:after="0" w:line="191"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3A</w:t>
              </w:r>
            </w:hyperlink>
          </w:p>
        </w:tc>
        <w:tc>
          <w:tcPr>
            <w:tcW w:w="105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Restated Articles of Organization of Haemonetics Corporation, reflecting Articles of Amendment dated August 23, 1993, August 21, 2006,</w:t>
            </w:r>
          </w:p>
        </w:tc>
      </w:tr>
      <w:tr>
        <w:trPr>
          <w:trHeight w:val="200"/>
        </w:trPr>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July 26, 2018 and July 25, 2019 (filed as Exhibit 3.1 to the Company's Form 8-K dated July 29, 2019 and incorporated herein by reference).</w:t>
            </w:r>
          </w:p>
        </w:tc>
      </w:tr>
      <w:tr>
        <w:trPr>
          <w:trHeight w:val="191"/>
        </w:trPr>
        <w:tc>
          <w:tcPr>
            <w:tcW w:w="620" w:type="dxa"/>
            <w:vAlign w:val="bottom"/>
            <w:gridSpan w:val="3"/>
          </w:tcPr>
          <w:p>
            <w:pPr>
              <w:spacing w:after="0" w:line="191"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3B</w:t>
              </w:r>
            </w:hyperlink>
          </w:p>
        </w:tc>
        <w:tc>
          <w:tcPr>
            <w:tcW w:w="105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By-Laws of the Company, as amended through June 29, 2020 (filed as Exhibit 3.1 to the Company's Form 8-K dated June 30, 2020 and</w:t>
            </w:r>
          </w:p>
        </w:tc>
      </w:tr>
      <w:tr>
        <w:trPr>
          <w:trHeight w:val="211"/>
        </w:trPr>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66"/>
        </w:trPr>
        <w:tc>
          <w:tcPr>
            <w:tcW w:w="1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 Instruments Defining the Rights of Security Holders</w:t>
            </w:r>
          </w:p>
        </w:tc>
      </w:tr>
      <w:tr>
        <w:trPr>
          <w:trHeight w:val="186"/>
        </w:trPr>
        <w:tc>
          <w:tcPr>
            <w:tcW w:w="6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4A</w:t>
            </w:r>
          </w:p>
        </w:tc>
        <w:tc>
          <w:tcPr>
            <w:tcW w:w="10540" w:type="dxa"/>
            <w:vAlign w:val="bottom"/>
          </w:tcPr>
          <w:p>
            <w:pPr>
              <w:ind w:left="400"/>
              <w:spacing w:after="0" w:line="186" w:lineRule="exact"/>
              <w:rPr>
                <w:sz w:val="20"/>
                <w:szCs w:val="20"/>
                <w:color w:val="auto"/>
              </w:rPr>
            </w:pPr>
            <w:r>
              <w:rPr>
                <w:rFonts w:ascii="Times New Roman" w:cs="Times New Roman" w:eastAsia="Times New Roman" w:hAnsi="Times New Roman"/>
                <w:sz w:val="18"/>
                <w:szCs w:val="18"/>
                <w:color w:val="auto"/>
              </w:rPr>
              <w:t>Specimen certificate for shares of common stock (filed as Exhibit 4B to the Company's Amendment No. 1 to Form S-1 No. 33-39490 and</w:t>
            </w:r>
          </w:p>
        </w:tc>
      </w:tr>
      <w:tr>
        <w:trPr>
          <w:trHeight w:val="225"/>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1"/>
        </w:trPr>
        <w:tc>
          <w:tcPr>
            <w:tcW w:w="620" w:type="dxa"/>
            <w:vAlign w:val="bottom"/>
            <w:gridSpan w:val="3"/>
          </w:tcPr>
          <w:p>
            <w:pPr>
              <w:spacing w:after="0" w:line="191"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4B</w:t>
              </w:r>
            </w:hyperlink>
          </w:p>
        </w:tc>
        <w:tc>
          <w:tcPr>
            <w:tcW w:w="105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Description of Common Stock (filed as Exhibit 4B to the Company's Form 10-K for the fiscal year ended March 28, 2020 and incorporated</w:t>
            </w:r>
          </w:p>
        </w:tc>
      </w:tr>
      <w:tr>
        <w:trPr>
          <w:trHeight w:val="200"/>
        </w:trPr>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herein by reference).</w:t>
            </w:r>
          </w:p>
        </w:tc>
      </w:tr>
      <w:tr>
        <w:trPr>
          <w:trHeight w:val="191"/>
        </w:trPr>
        <w:tc>
          <w:tcPr>
            <w:tcW w:w="620" w:type="dxa"/>
            <w:vAlign w:val="bottom"/>
            <w:gridSpan w:val="3"/>
          </w:tcPr>
          <w:p>
            <w:pPr>
              <w:spacing w:after="0" w:line="191"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4C</w:t>
              </w:r>
            </w:hyperlink>
          </w:p>
        </w:tc>
        <w:tc>
          <w:tcPr>
            <w:tcW w:w="105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w w:val="97"/>
              </w:rPr>
              <w:t>Indenture, dated as of March 5, 2021, between Haemonetics Corporation and U.S. Bank National Association, as trustee (filed as Exhibit 4.1 to</w:t>
            </w:r>
          </w:p>
        </w:tc>
      </w:tr>
      <w:tr>
        <w:trPr>
          <w:trHeight w:val="200"/>
        </w:trPr>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the Company's Form 8-K dated March 5, 2021 and incorporated herein by reference).</w:t>
            </w:r>
          </w:p>
        </w:tc>
      </w:tr>
      <w:tr>
        <w:trPr>
          <w:trHeight w:val="191"/>
        </w:trPr>
        <w:tc>
          <w:tcPr>
            <w:tcW w:w="620" w:type="dxa"/>
            <w:vAlign w:val="bottom"/>
            <w:gridSpan w:val="3"/>
          </w:tcPr>
          <w:p>
            <w:pPr>
              <w:spacing w:after="0" w:line="191"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4D</w:t>
              </w:r>
            </w:hyperlink>
          </w:p>
        </w:tc>
        <w:tc>
          <w:tcPr>
            <w:tcW w:w="105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w w:val="98"/>
              </w:rPr>
              <w:t>Form of certificate representing the 0.00% Convertible Senior Notes due 2026 (included as Exhibit A to Exhibit 4D) (filed as Exhibit 4.2 to the</w:t>
            </w:r>
          </w:p>
        </w:tc>
      </w:tr>
      <w:tr>
        <w:trPr>
          <w:trHeight w:val="211"/>
        </w:trPr>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Form 8-K dated March 5, 2021 and incorporated herein by reference).</w:t>
            </w:r>
          </w:p>
        </w:tc>
      </w:tr>
    </w:tbl>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 Material Contracts</w:t>
      </w:r>
    </w:p>
    <w:p>
      <w:pPr>
        <w:spacing w:after="0" w:line="26"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7"/>
          <w:szCs w:val="17"/>
          <w:u w:val="single" w:color="auto"/>
          <w:color w:val="0000FF"/>
        </w:rPr>
        <w:t>10A</w:t>
      </w:r>
      <w:r>
        <w:rPr>
          <w:sz w:val="20"/>
          <w:szCs w:val="20"/>
          <w:color w:val="auto"/>
        </w:rPr>
        <w:tab/>
      </w:r>
      <w:r>
        <w:rPr>
          <w:rFonts w:ascii="Times New Roman" w:cs="Times New Roman" w:eastAsia="Times New Roman" w:hAnsi="Times New Roman"/>
          <w:sz w:val="17"/>
          <w:szCs w:val="17"/>
          <w:color w:val="auto"/>
        </w:rPr>
        <w:t>Haemonetics Corporation 2005 Long-Term Incentive Compensation Plan, reflecting amendments dated July 31, 2008, July 29, 2009, July 21,</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2011, November 30, 2012, July 24, 2013, January 21, 2014, and July 23, 2014 (filed as Exhibit 10.1 to the Company's Form 8-K dated July 25,</w:t>
      </w:r>
    </w:p>
    <w:p>
      <w:pPr>
        <w:ind w:left="1040"/>
        <w:spacing w:after="0"/>
        <w:rPr>
          <w:sz w:val="20"/>
          <w:szCs w:val="20"/>
          <w:color w:val="auto"/>
        </w:rPr>
      </w:pPr>
      <w:r>
        <w:rPr>
          <w:rFonts w:ascii="Times New Roman" w:cs="Times New Roman" w:eastAsia="Times New Roman" w:hAnsi="Times New Roman"/>
          <w:sz w:val="18"/>
          <w:szCs w:val="18"/>
          <w:color w:val="auto"/>
        </w:rPr>
        <w:t>2014 and incorporated herein by reference) (1).</w:t>
      </w: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60" w:type="dxa"/>
            <w:vAlign w:val="bottom"/>
            <w:gridSpan w:val="4"/>
          </w:tcPr>
          <w:p>
            <w:pPr>
              <w:spacing w:after="0" w:line="20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10B</w:t>
              </w:r>
            </w:hyperlink>
          </w:p>
        </w:tc>
        <w:tc>
          <w:tcPr>
            <w:tcW w:w="10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w w:val="98"/>
              </w:rPr>
              <w:t>Haemonetics Corporation 2019 Long-Term Incentive Compensation Plan (filed as Exhibit 10.1 to the Company's Form 8-K dated July 29, 2019</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10C</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2005 Long Term-Incentive Compensation Plan for Non-employee Directors</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as Exhibit 10.1 to the Company's Form 10-Q for the quarter ended October 1, 2005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10D</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Form of Non-Qualified Stock Option Award Agreement under 2005 Long-Term Incentive Compensation Plan for Employees (filed as Exhibit</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10S to the Company's Form 10-K for the fiscal year ended March 30, 2010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10E</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2005 Long-Term Incentive Compensation Plan for Employees (adopted fiscal</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 (filed as Exhibit 10.2 to the Company's Form 10-Q for the quarter ended June 30, 2018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10F</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2019 Long-Term Incentive Compensation Plan (adopted fiscal 2020) (filed as</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10.4 to the Company's Form 10-Q for the quarter ended September 28, 2019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10G</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Form of Restricted Stock Unit Award Agreement with Non-Employee Directors under 2019 Long-Term Incentive Compensation Plan (fiscal</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2020) (filed as Exhibit 10.2 to the Company's Form 10-Q for the quarter ended September 28, 2019 and incorporated herein by reference) (1).</w:t>
            </w:r>
          </w:p>
        </w:tc>
      </w:tr>
      <w:tr>
        <w:trPr>
          <w:trHeight w:val="224"/>
        </w:trPr>
        <w:tc>
          <w:tcPr>
            <w:tcW w:w="20" w:type="dxa"/>
            <w:vAlign w:val="bottom"/>
          </w:tcPr>
          <w:p>
            <w:pPr>
              <w:spacing w:after="0"/>
              <w:rPr>
                <w:sz w:val="19"/>
                <w:szCs w:val="19"/>
                <w:color w:val="auto"/>
              </w:rPr>
            </w:pPr>
          </w:p>
        </w:tc>
        <w:tc>
          <w:tcPr>
            <w:tcW w:w="660" w:type="dxa"/>
            <w:vAlign w:val="bottom"/>
            <w:gridSpan w:val="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10H</w:t>
              </w:r>
            </w:hyperlink>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2005 Long-Term Incentive Compensation Plan (filed as Exhibit 10U</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the Company's Form 10-K for the year ended April 3, 2010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10I</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2005 Long-Term Incentive Compensation Plan (adopted fiscal 2019)</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as Exhibit 10.4 to the Company's Form 10-Q for the quarter ended June 30, 2018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10J</w:t>
              </w:r>
            </w:hyperlink>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2019 Long-Term Incentive Compensation Plan (adopted fiscal 2020)</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as Exhibit 10.3 to the Company's Form 10-Q for the quarter ended September 28, 2019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0000FF"/>
              </w:rPr>
              <w:t>10K</w:t>
            </w:r>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8"/>
              </w:rPr>
              <w:t>Form of Performance Share Unit Award Agreement Under 2005 Long-Term Incentive Compensation Plan (rTSR Metrics, adopted fiscal 2019)</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as Exhibit 10.3 to the Company's Form 10-Q for the quarter ended June 30, 2018 and incorporated herein by reference) (1).</w:t>
            </w:r>
          </w:p>
        </w:tc>
      </w:tr>
      <w:tr>
        <w:trPr>
          <w:trHeight w:val="198"/>
        </w:trPr>
        <w:tc>
          <w:tcPr>
            <w:tcW w:w="20" w:type="dxa"/>
            <w:vAlign w:val="bottom"/>
          </w:tcPr>
          <w:p>
            <w:pPr>
              <w:spacing w:after="0"/>
              <w:rPr>
                <w:sz w:val="17"/>
                <w:szCs w:val="17"/>
                <w:color w:val="auto"/>
              </w:rPr>
            </w:pPr>
          </w:p>
        </w:tc>
        <w:tc>
          <w:tcPr>
            <w:tcW w:w="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0000FF"/>
              </w:rPr>
              <w:t>10L</w:t>
            </w:r>
          </w:p>
        </w:tc>
        <w:tc>
          <w:tcPr>
            <w:tcW w:w="10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8"/>
              </w:rPr>
              <w:t>Form of Performance Share Unit Award Agreement Under 2005 Long-Term Incentive Compensation Plan (rTSR Metrics, adopted fiscal 2020)</w:t>
            </w:r>
          </w:p>
        </w:tc>
      </w:tr>
      <w:tr>
        <w:trPr>
          <w:trHeight w:val="220"/>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herewith as Exhibit 10AV to the Company's Form 10-K for the year ended March 30, 2019 and incorporated herein by reference) (1).</w:t>
            </w:r>
          </w:p>
        </w:tc>
      </w:tr>
      <w:tr>
        <w:trPr>
          <w:trHeight w:val="90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6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101</w:t>
            </w:r>
          </w:p>
        </w:tc>
      </w:tr>
      <w:tr>
        <w:trPr>
          <w:trHeight w:val="112"/>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10M</w:t>
            </w: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Form of Performance Share Unit Award Agreement Under 2019 Long-Term Incentive Compensation Plan (rTSR Metrics, adopted fiscal 2020)</w:t>
            </w:r>
          </w:p>
        </w:tc>
      </w:tr>
      <w:tr>
        <w:trPr>
          <w:trHeight w:val="160"/>
        </w:trPr>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780" w:type="dxa"/>
            <w:vAlign w:val="bottom"/>
          </w:tcPr>
          <w:p>
            <w:pPr>
              <w:ind w:left="580"/>
              <w:spacing w:after="0" w:line="160" w:lineRule="exact"/>
              <w:rPr>
                <w:sz w:val="20"/>
                <w:szCs w:val="20"/>
                <w:color w:val="auto"/>
              </w:rPr>
            </w:pPr>
            <w:r>
              <w:rPr>
                <w:rFonts w:ascii="Times New Roman" w:cs="Times New Roman" w:eastAsia="Times New Roman" w:hAnsi="Times New Roman"/>
                <w:sz w:val="18"/>
                <w:szCs w:val="18"/>
                <w:color w:val="auto"/>
              </w:rPr>
              <w:t>(filed herewith as Exhibit 10.5 to the Company's Form 10-Q for the quarter ended September 28, 2019 and incorporated herein by reference)</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20" w:type="dxa"/>
            <w:vAlign w:val="bottom"/>
          </w:tcPr>
          <w:p>
            <w:pPr>
              <w:spacing w:after="0"/>
              <w:rPr>
                <w:sz w:val="18"/>
                <w:szCs w:val="18"/>
                <w:color w:val="auto"/>
              </w:rPr>
            </w:pPr>
          </w:p>
        </w:tc>
        <w:tc>
          <w:tcPr>
            <w:tcW w:w="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10N</w:t>
            </w: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2007 Employee Stock Purchase Plan (as amended and restated on July 21, 2016 incorporated as Exhibit 10.2 to the</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Form 10-Q, for the quarter ended July 2, 2016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10O</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w w:val="98"/>
              </w:rPr>
              <w:t>Employment Agreement effective as of May 16, 2016 between the Company and Christopher A. Simon (filed as Exhibit 10.1 to the Company’s</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Form 8-K dated May 10, 2016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10P</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rPr>
              <w:t>Executive Severance Agreement between the Company and Christopher A. Simon dated as of November 7, 2017 (filed as Exhibit 10.4 to the</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10Q</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rPr>
              <w:t>Change in Control Agreement between the Company and Christopher A. Simon dated as of November 7, 2017 (filed as Exhibit 10.5 to the</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10R</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w w:val="99"/>
              </w:rPr>
              <w:t>Form of Executive Severance Agreement between the Company and executive officers other than Christopher A. Simon (filed as Exhibit 10.2</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the Company’s Form 10-Q for the quarter ended September 30, 2017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10S</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w w:val="99"/>
              </w:rPr>
              <w:t>Form of Change in Control Agreement between the Company and executive officers other than Christopher A. Simon (filed as Exhibit 10.3 to</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Company’s Form 10-Q for the quarter ended September 30, 2017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10T</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rPr>
              <w:t>Haemonetics Corporation Worldwide Employee Bonus Plan (as amended and restated effective April 23, 2019) (filed as Exhibit 10.1 to the</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Form 8-K dated April 29, 2019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10U</w:t>
            </w:r>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w w:val="98"/>
              </w:rPr>
              <w:t>CFO Retention and Transition Agreement, dated as of November 8, 2021, by and between the Company and William P. Burke (filed as Exhibit</w:t>
            </w:r>
          </w:p>
        </w:tc>
      </w:tr>
      <w:tr>
        <w:trPr>
          <w:trHeight w:val="211"/>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10.2 to the Company’s Form 10-Q for the quarter ended January 1, 2022 and incorporated herein by reference) (1).</w:t>
            </w:r>
          </w:p>
        </w:tc>
      </w:tr>
      <w:tr>
        <w:trPr>
          <w:trHeight w:val="206"/>
        </w:trPr>
        <w:tc>
          <w:tcPr>
            <w:tcW w:w="20" w:type="dxa"/>
            <w:vAlign w:val="bottom"/>
          </w:tcPr>
          <w:p>
            <w:pPr>
              <w:spacing w:after="0"/>
              <w:rPr>
                <w:sz w:val="17"/>
                <w:szCs w:val="17"/>
                <w:color w:val="auto"/>
              </w:rPr>
            </w:pPr>
          </w:p>
        </w:tc>
        <w:tc>
          <w:tcPr>
            <w:tcW w:w="440" w:type="dxa"/>
            <w:vAlign w:val="bottom"/>
            <w:gridSpan w:val="6"/>
          </w:tcPr>
          <w:p>
            <w:pPr>
              <w:spacing w:after="0" w:line="20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10V</w:t>
              </w:r>
            </w:hyperlink>
          </w:p>
        </w:tc>
        <w:tc>
          <w:tcPr>
            <w:tcW w:w="10780" w:type="dxa"/>
            <w:vAlign w:val="bottom"/>
          </w:tcPr>
          <w:p>
            <w:pPr>
              <w:ind w:left="580"/>
              <w:spacing w:after="0" w:line="206" w:lineRule="exact"/>
              <w:rPr>
                <w:sz w:val="20"/>
                <w:szCs w:val="20"/>
                <w:color w:val="auto"/>
              </w:rPr>
            </w:pPr>
            <w:r>
              <w:rPr>
                <w:rFonts w:ascii="Times New Roman" w:cs="Times New Roman" w:eastAsia="Times New Roman" w:hAnsi="Times New Roman"/>
                <w:sz w:val="18"/>
                <w:szCs w:val="18"/>
                <w:color w:val="auto"/>
              </w:rPr>
              <w:t>Form of Indemnification Agreement (as executed with each director and executive officer of the Company) (filed as Exhibit 10.1 to the</w:t>
            </w:r>
          </w:p>
        </w:tc>
      </w:tr>
      <w:tr>
        <w:trPr>
          <w:trHeight w:val="200"/>
        </w:trPr>
        <w:tc>
          <w:tcPr>
            <w:tcW w:w="2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8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Company's Form 10-Q for the quarter ended September 29, 2018 and incorporated herein by reference).</w:t>
            </w:r>
          </w:p>
        </w:tc>
      </w:tr>
      <w:tr>
        <w:trPr>
          <w:trHeight w:val="191"/>
        </w:trPr>
        <w:tc>
          <w:tcPr>
            <w:tcW w:w="20" w:type="dxa"/>
            <w:vAlign w:val="bottom"/>
          </w:tcPr>
          <w:p>
            <w:pPr>
              <w:spacing w:after="0"/>
              <w:rPr>
                <w:sz w:val="16"/>
                <w:szCs w:val="16"/>
                <w:color w:val="auto"/>
              </w:rPr>
            </w:pPr>
          </w:p>
        </w:tc>
        <w:tc>
          <w:tcPr>
            <w:tcW w:w="440" w:type="dxa"/>
            <w:vAlign w:val="bottom"/>
            <w:gridSpan w:val="6"/>
          </w:tcPr>
          <w:p>
            <w:pPr>
              <w:spacing w:after="0" w:line="191"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w:t>
              </w:r>
            </w:hyperlink>
          </w:p>
        </w:tc>
        <w:tc>
          <w:tcPr>
            <w:tcW w:w="1078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Office Lease Agreement, dated as of December 18, 2018, by and between OPG 125 Summer Owner (DE) LLC and the Company (filed as</w:t>
            </w:r>
          </w:p>
        </w:tc>
      </w:tr>
      <w:tr>
        <w:trPr>
          <w:trHeight w:val="200"/>
        </w:trPr>
        <w:tc>
          <w:tcPr>
            <w:tcW w:w="2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78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Exhibit 10.1 to the Company's Form 10-Q for the quarter ended December 29, 2018 and incorporated herein by reference) (2).</w:t>
            </w:r>
          </w:p>
        </w:tc>
      </w:tr>
      <w:tr>
        <w:trPr>
          <w:trHeight w:val="177"/>
        </w:trPr>
        <w:tc>
          <w:tcPr>
            <w:tcW w:w="20" w:type="dxa"/>
            <w:vAlign w:val="bottom"/>
          </w:tcPr>
          <w:p>
            <w:pPr>
              <w:spacing w:after="0"/>
              <w:rPr>
                <w:sz w:val="15"/>
                <w:szCs w:val="15"/>
                <w:color w:val="auto"/>
              </w:rPr>
            </w:pPr>
          </w:p>
        </w:tc>
        <w:tc>
          <w:tcPr>
            <w:tcW w:w="440" w:type="dxa"/>
            <w:vAlign w:val="bottom"/>
            <w:gridSpan w:val="6"/>
          </w:tcPr>
          <w:p>
            <w:pPr>
              <w:spacing w:after="0" w:line="177" w:lineRule="exact"/>
              <w:rPr>
                <w:sz w:val="20"/>
                <w:szCs w:val="20"/>
                <w:color w:val="auto"/>
              </w:rPr>
            </w:pPr>
            <w:r>
              <w:rPr>
                <w:rFonts w:ascii="Times New Roman" w:cs="Times New Roman" w:eastAsia="Times New Roman" w:hAnsi="Times New Roman"/>
                <w:sz w:val="18"/>
                <w:szCs w:val="18"/>
                <w:color w:val="auto"/>
              </w:rPr>
              <w:t>10X</w:t>
            </w:r>
          </w:p>
        </w:tc>
        <w:tc>
          <w:tcPr>
            <w:tcW w:w="10780" w:type="dxa"/>
            <w:vAlign w:val="bottom"/>
          </w:tcPr>
          <w:p>
            <w:pPr>
              <w:ind w:left="580"/>
              <w:spacing w:after="0" w:line="177" w:lineRule="exact"/>
              <w:rPr>
                <w:sz w:val="20"/>
                <w:szCs w:val="20"/>
                <w:color w:val="auto"/>
              </w:rPr>
            </w:pPr>
            <w:r>
              <w:rPr>
                <w:rFonts w:ascii="Times New Roman" w:cs="Times New Roman" w:eastAsia="Times New Roman" w:hAnsi="Times New Roman"/>
                <w:sz w:val="18"/>
                <w:szCs w:val="18"/>
                <w:color w:val="auto"/>
              </w:rPr>
              <w:t>Lease dated July 17, 1990 between the Buncher Company and the Company of property in Leetsdale, Pennsylvania (filed as Exhibit 10-K to</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Company's Form S-1 No. 33-39490 and incorporated herein by reference).</w:t>
            </w:r>
          </w:p>
        </w:tc>
      </w:tr>
      <w:tr>
        <w:trPr>
          <w:trHeight w:val="188"/>
        </w:trPr>
        <w:tc>
          <w:tcPr>
            <w:tcW w:w="20" w:type="dxa"/>
            <w:vAlign w:val="bottom"/>
          </w:tcPr>
          <w:p>
            <w:pPr>
              <w:spacing w:after="0"/>
              <w:rPr>
                <w:sz w:val="16"/>
                <w:szCs w:val="16"/>
                <w:color w:val="auto"/>
              </w:rPr>
            </w:pPr>
          </w:p>
        </w:tc>
        <w:tc>
          <w:tcPr>
            <w:tcW w:w="4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10Y</w:t>
            </w:r>
          </w:p>
        </w:tc>
        <w:tc>
          <w:tcPr>
            <w:tcW w:w="10780" w:type="dxa"/>
            <w:vAlign w:val="bottom"/>
          </w:tcPr>
          <w:p>
            <w:pPr>
              <w:ind w:left="580"/>
              <w:spacing w:after="0" w:line="188" w:lineRule="exact"/>
              <w:rPr>
                <w:sz w:val="20"/>
                <w:szCs w:val="20"/>
                <w:color w:val="auto"/>
              </w:rPr>
            </w:pPr>
            <w:r>
              <w:rPr>
                <w:rFonts w:ascii="Times New Roman" w:cs="Times New Roman" w:eastAsia="Times New Roman" w:hAnsi="Times New Roman"/>
                <w:sz w:val="18"/>
                <w:szCs w:val="18"/>
                <w:color w:val="auto"/>
              </w:rPr>
              <w:t>First Amendment to lease dated July 17, 1990, made as of April 30, 1991 between Buncher Company and the Company of property in</w:t>
            </w: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780" w:type="dxa"/>
            <w:vAlign w:val="bottom"/>
          </w:tcPr>
          <w:p>
            <w:pPr>
              <w:ind w:left="580"/>
              <w:spacing w:after="0" w:line="186" w:lineRule="exact"/>
              <w:rPr>
                <w:sz w:val="20"/>
                <w:szCs w:val="20"/>
                <w:color w:val="auto"/>
              </w:rPr>
            </w:pPr>
            <w:r>
              <w:rPr>
                <w:rFonts w:ascii="Times New Roman" w:cs="Times New Roman" w:eastAsia="Times New Roman" w:hAnsi="Times New Roman"/>
                <w:sz w:val="18"/>
                <w:szCs w:val="18"/>
                <w:color w:val="auto"/>
                <w:w w:val="99"/>
              </w:rPr>
              <w:t>Leetsdale, Pennsylvania (filed as Exhibit 10AI to the Company's Form 10-Q for the quarter ended December 28, 1996 and incorporated herein</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 reference).</w:t>
            </w:r>
          </w:p>
        </w:tc>
      </w:tr>
      <w:tr>
        <w:trPr>
          <w:trHeight w:val="211"/>
        </w:trPr>
        <w:tc>
          <w:tcPr>
            <w:tcW w:w="20" w:type="dxa"/>
            <w:vAlign w:val="bottom"/>
          </w:tcPr>
          <w:p>
            <w:pPr>
              <w:spacing w:after="0"/>
              <w:rPr>
                <w:sz w:val="18"/>
                <w:szCs w:val="18"/>
                <w:color w:val="auto"/>
              </w:rPr>
            </w:pPr>
          </w:p>
        </w:tc>
        <w:tc>
          <w:tcPr>
            <w:tcW w:w="440" w:type="dxa"/>
            <w:vAlign w:val="bottom"/>
            <w:gridSpan w:val="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10Z</w:t>
              </w:r>
            </w:hyperlink>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Second Amendment to lease dated July 17, 1990, made as of October 18, 2000 between Buncher Company and the Company for the property</w:t>
            </w:r>
          </w:p>
        </w:tc>
      </w:tr>
      <w:tr>
        <w:trPr>
          <w:trHeight w:val="139"/>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in Leetsdale, Pennsylvania (filed as Exhibit 10AG to the Company's Form 10-K for the year ended March 29, 2003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tcBorders>
              <w:bottom w:val="single" w:sz="8" w:color="0000FF"/>
            </w:tcBorders>
            <w:gridSpan w:val="6"/>
          </w:tcPr>
          <w:p>
            <w:pPr>
              <w:spacing w:after="0" w:line="193" w:lineRule="exact"/>
              <w:rPr>
                <w:rFonts w:ascii="Times New Roman" w:cs="Times New Roman" w:eastAsia="Times New Roman" w:hAnsi="Times New Roman"/>
                <w:sz w:val="18"/>
                <w:szCs w:val="18"/>
                <w:color w:val="0000FF"/>
                <w:w w:val="95"/>
              </w:rPr>
            </w:pPr>
            <w:hyperlink r:id="rId144">
              <w:r>
                <w:rPr>
                  <w:rFonts w:ascii="Times New Roman" w:cs="Times New Roman" w:eastAsia="Times New Roman" w:hAnsi="Times New Roman"/>
                  <w:sz w:val="18"/>
                  <w:szCs w:val="18"/>
                  <w:color w:val="0000FF"/>
                  <w:w w:val="95"/>
                </w:rPr>
                <w:t>10AA</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rPr>
              <w:t>Third Amendment to lease dated July 17, 1990, made as of March 23, 2004 between Buncher Company and the Company for the property in</w:t>
            </w: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Leetsdale, Pennsylvania (filed as Exhibit 10D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gridSpan w:val="6"/>
          </w:tcPr>
          <w:p>
            <w:pPr>
              <w:spacing w:after="0" w:line="193"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10AB</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w w:val="99"/>
              </w:rPr>
              <w:t>Fourth Amendment to lease dated July 17, 1990, made as of March 12, 2008 between Buncher Company and the Company for the property in</w:t>
            </w:r>
          </w:p>
        </w:tc>
      </w:tr>
      <w:tr>
        <w:trPr>
          <w:trHeight w:val="139"/>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Leetsdale, Pennsylvania (filed as Exhibit 10E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gridSpan w:val="6"/>
          </w:tcPr>
          <w:p>
            <w:pPr>
              <w:spacing w:after="0" w:line="193"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10AC</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rPr>
              <w:t>Fifth Amendment to lease dated July 17, 1990, made as of October 1, 2008 between Buncher Company and the Company for the property in</w:t>
            </w:r>
          </w:p>
        </w:tc>
      </w:tr>
      <w:tr>
        <w:trPr>
          <w:trHeight w:val="139"/>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Leetsdale, Pennsylvania (filed as Exhibit 10F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tcBorders>
              <w:bottom w:val="single" w:sz="8" w:color="0000FF"/>
            </w:tcBorders>
            <w:gridSpan w:val="6"/>
          </w:tcPr>
          <w:p>
            <w:pPr>
              <w:spacing w:after="0" w:line="193" w:lineRule="exact"/>
              <w:rPr>
                <w:rFonts w:ascii="Times New Roman" w:cs="Times New Roman" w:eastAsia="Times New Roman" w:hAnsi="Times New Roman"/>
                <w:sz w:val="18"/>
                <w:szCs w:val="18"/>
                <w:color w:val="0000FF"/>
                <w:w w:val="95"/>
              </w:rPr>
            </w:pPr>
            <w:hyperlink r:id="rId147">
              <w:r>
                <w:rPr>
                  <w:rFonts w:ascii="Times New Roman" w:cs="Times New Roman" w:eastAsia="Times New Roman" w:hAnsi="Times New Roman"/>
                  <w:sz w:val="18"/>
                  <w:szCs w:val="18"/>
                  <w:color w:val="0000FF"/>
                  <w:w w:val="95"/>
                </w:rPr>
                <w:t>10AD</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rPr>
              <w:t>Sixth Amendment to lease dated July 17, 1990 made as of January 8, 2010 between Buncher Company and the Company for the property in</w:t>
            </w: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Leetsdale, Pennsylvania (filed as Exhibit 10G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gridSpan w:val="6"/>
          </w:tcPr>
          <w:p>
            <w:pPr>
              <w:spacing w:after="0" w:line="193"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10AE</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w w:val="98"/>
              </w:rPr>
              <w:t>Seventh Amendment to lease dated July 17, 1990, made as of March 31, 2011 between Buncher Company and the Company for the property in</w:t>
            </w:r>
          </w:p>
        </w:tc>
      </w:tr>
      <w:tr>
        <w:trPr>
          <w:trHeight w:val="139"/>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Leetsdale, Pennsylvania (filed as Exhibit 10H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193"/>
        </w:trPr>
        <w:tc>
          <w:tcPr>
            <w:tcW w:w="20" w:type="dxa"/>
            <w:vAlign w:val="bottom"/>
          </w:tcPr>
          <w:p>
            <w:pPr>
              <w:spacing w:after="0"/>
              <w:rPr>
                <w:sz w:val="16"/>
                <w:szCs w:val="16"/>
                <w:color w:val="auto"/>
              </w:rPr>
            </w:pPr>
          </w:p>
        </w:tc>
        <w:tc>
          <w:tcPr>
            <w:tcW w:w="440" w:type="dxa"/>
            <w:vAlign w:val="bottom"/>
            <w:gridSpan w:val="6"/>
          </w:tcPr>
          <w:p>
            <w:pPr>
              <w:spacing w:after="0" w:line="193"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10AF</w:t>
              </w:r>
            </w:hyperlink>
          </w:p>
        </w:tc>
        <w:tc>
          <w:tcPr>
            <w:tcW w:w="10780" w:type="dxa"/>
            <w:vAlign w:val="bottom"/>
          </w:tcPr>
          <w:p>
            <w:pPr>
              <w:ind w:left="580"/>
              <w:spacing w:after="0" w:line="193" w:lineRule="exact"/>
              <w:rPr>
                <w:sz w:val="20"/>
                <w:szCs w:val="20"/>
                <w:color w:val="auto"/>
              </w:rPr>
            </w:pPr>
            <w:r>
              <w:rPr>
                <w:rFonts w:ascii="Times New Roman" w:cs="Times New Roman" w:eastAsia="Times New Roman" w:hAnsi="Times New Roman"/>
                <w:sz w:val="18"/>
                <w:szCs w:val="18"/>
                <w:color w:val="auto"/>
                <w:w w:val="99"/>
              </w:rPr>
              <w:t>Eighth Amendment to lease dated July 17, 1990, made as of February 26, 2013 between Buncher Company and the Company for the property</w:t>
            </w:r>
          </w:p>
        </w:tc>
      </w:tr>
      <w:tr>
        <w:trPr>
          <w:trHeight w:val="139"/>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780" w:type="dxa"/>
            <w:vAlign w:val="bottom"/>
          </w:tcPr>
          <w:p>
            <w:pPr>
              <w:ind w:left="580"/>
              <w:spacing w:after="0" w:line="139" w:lineRule="exact"/>
              <w:rPr>
                <w:sz w:val="20"/>
                <w:szCs w:val="20"/>
                <w:color w:val="auto"/>
              </w:rPr>
            </w:pPr>
            <w:r>
              <w:rPr>
                <w:rFonts w:ascii="Times New Roman" w:cs="Times New Roman" w:eastAsia="Times New Roman" w:hAnsi="Times New Roman"/>
                <w:sz w:val="15"/>
                <w:szCs w:val="15"/>
                <w:color w:val="auto"/>
              </w:rPr>
              <w:t>in Leetsdale, Pennsylvania (filed as Exhibit 10I to the Company's Form 10-K for the year ended March 30, 2013 and incorporated herein by</w:t>
            </w:r>
          </w:p>
        </w:tc>
      </w:tr>
      <w:tr>
        <w:trPr>
          <w:trHeight w:val="23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88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78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102</w:t>
            </w:r>
          </w:p>
        </w:tc>
      </w:tr>
      <w:tr>
        <w:trPr>
          <w:trHeight w:val="112"/>
        </w:trPr>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10AG</w:t>
        </w:r>
      </w:hyperlink>
    </w:p>
    <w:p>
      <w:pPr>
        <w:spacing w:after="0" w:line="200" w:lineRule="exact"/>
        <w:rPr>
          <w:sz w:val="20"/>
          <w:szCs w:val="20"/>
          <w:color w:val="auto"/>
        </w:rPr>
      </w:pPr>
    </w:p>
    <w:p>
      <w:pPr>
        <w:spacing w:after="0" w:line="24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10AH</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Ninth Amendment to lease dated July 17, 1990, made as of March 12, 2014 between Buncher Company and the Company for the property in</w:t>
      </w:r>
    </w:p>
    <w:p>
      <w:pPr>
        <w:spacing w:after="0" w:line="10" w:lineRule="exact"/>
        <w:rPr>
          <w:sz w:val="20"/>
          <w:szCs w:val="20"/>
          <w:color w:val="auto"/>
        </w:rPr>
      </w:pPr>
    </w:p>
    <w:p>
      <w:pPr>
        <w:ind w:right="460"/>
        <w:spacing w:after="0" w:line="222" w:lineRule="auto"/>
        <w:rPr>
          <w:sz w:val="20"/>
          <w:szCs w:val="20"/>
          <w:color w:val="auto"/>
        </w:rPr>
      </w:pPr>
      <w:r>
        <w:rPr>
          <w:rFonts w:ascii="Times New Roman" w:cs="Times New Roman" w:eastAsia="Times New Roman" w:hAnsi="Times New Roman"/>
          <w:sz w:val="18"/>
          <w:szCs w:val="18"/>
          <w:color w:val="auto"/>
        </w:rPr>
        <w:t>Leetsdale, Pennsylvania (filed as Exhibit 10J to the Company's Form 10-K for the year ended March 31, 2018 and incorporated herein by reference).</w:t>
      </w:r>
    </w:p>
    <w:p>
      <w:pPr>
        <w:spacing w:after="0" w:line="34" w:lineRule="exact"/>
        <w:rPr>
          <w:sz w:val="20"/>
          <w:szCs w:val="20"/>
          <w:color w:val="auto"/>
        </w:rPr>
      </w:pPr>
    </w:p>
    <w:p>
      <w:pPr>
        <w:jc w:val="both"/>
        <w:ind w:right="340"/>
        <w:spacing w:after="0" w:line="222" w:lineRule="auto"/>
        <w:rPr>
          <w:sz w:val="20"/>
          <w:szCs w:val="20"/>
          <w:color w:val="auto"/>
        </w:rPr>
      </w:pPr>
      <w:r>
        <w:rPr>
          <w:rFonts w:ascii="Times New Roman" w:cs="Times New Roman" w:eastAsia="Times New Roman" w:hAnsi="Times New Roman"/>
          <w:sz w:val="18"/>
          <w:szCs w:val="18"/>
          <w:color w:val="auto"/>
        </w:rPr>
        <w:t>Tenth Amendment to lease dated July 17, 1990, made as of May 31, 2017 between Buncher Company and the Company for the property in Leetsdale, Pennsylvania (filed as Exhibit 10K to the Company's Form 10-K for the year ended March 31, 2018 and incorporated herein by reference).</w:t>
      </w:r>
    </w:p>
    <w:p>
      <w:pPr>
        <w:spacing w:after="0" w:line="1" w:lineRule="exact"/>
        <w:rPr>
          <w:sz w:val="20"/>
          <w:szCs w:val="20"/>
          <w:color w:val="auto"/>
        </w:rPr>
      </w:pPr>
    </w:p>
    <w:p>
      <w:pPr>
        <w:sectPr>
          <w:pgSz w:w="11900" w:h="16838" w:orient="portrait"/>
          <w:cols w:equalWidth="0" w:num="2">
            <w:col w:w="460" w:space="580"/>
            <w:col w:w="10180"/>
          </w:cols>
          <w:pgMar w:left="320" w:top="126" w:right="359" w:bottom="1440" w:gutter="0" w:footer="0" w:header="0"/>
          <w:type w:val="continuous"/>
        </w:sectPr>
      </w:pPr>
    </w:p>
    <w:tbl>
      <w:tblPr>
        <w:tblLayout w:type="fixed"/>
        <w:tblInd w:w="20" w:type="dxa"/>
        <w:tblCellMar>
          <w:top w:w="0" w:type="dxa"/>
          <w:left w:w="0" w:type="dxa"/>
          <w:bottom w:w="0" w:type="dxa"/>
          <w:right w:w="0" w:type="dxa"/>
        </w:tblCellMar>
      </w:tblPr>
      <w:tr>
        <w:trPr>
          <w:trHeight w:val="199"/>
        </w:trPr>
        <w:tc>
          <w:tcPr>
            <w:tcW w:w="360" w:type="dxa"/>
            <w:vAlign w:val="bottom"/>
            <w:tcBorders>
              <w:bottom w:val="single" w:sz="8" w:color="0000FF"/>
            </w:tcBorders>
          </w:tcPr>
          <w:p>
            <w:pPr>
              <w:spacing w:after="0" w:line="179" w:lineRule="exact"/>
              <w:rPr>
                <w:rFonts w:ascii="Times New Roman" w:cs="Times New Roman" w:eastAsia="Times New Roman" w:hAnsi="Times New Roman"/>
                <w:sz w:val="18"/>
                <w:szCs w:val="18"/>
                <w:color w:val="0000FF"/>
                <w:w w:val="91"/>
              </w:rPr>
            </w:pPr>
            <w:hyperlink r:id="rId154">
              <w:r>
                <w:rPr>
                  <w:rFonts w:ascii="Times New Roman" w:cs="Times New Roman" w:eastAsia="Times New Roman" w:hAnsi="Times New Roman"/>
                  <w:sz w:val="18"/>
                  <w:szCs w:val="18"/>
                  <w:color w:val="0000FF"/>
                  <w:w w:val="91"/>
                </w:rPr>
                <w:t>10AI</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80"/>
              <w:spacing w:after="0" w:line="193" w:lineRule="exact"/>
              <w:rPr>
                <w:sz w:val="20"/>
                <w:szCs w:val="20"/>
                <w:color w:val="auto"/>
              </w:rPr>
            </w:pPr>
            <w:r>
              <w:rPr>
                <w:rFonts w:ascii="Times New Roman" w:cs="Times New Roman" w:eastAsia="Times New Roman" w:hAnsi="Times New Roman"/>
                <w:sz w:val="18"/>
                <w:szCs w:val="18"/>
                <w:color w:val="auto"/>
                <w:w w:val="98"/>
              </w:rPr>
              <w:t>Eleventh Amendment to lease dated July 17, 1990, made as of March 2, 2018 between Buncher Company and the Company for the property in</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rPr>
              <w:t>Leetsdale, Pennsylvania (filed as Exhibit 10L to the Company's Form 10-K for the year ended March 31, 2018 and incorporated herein by</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19"/>
        </w:trPr>
        <w:tc>
          <w:tcPr>
            <w:tcW w:w="380" w:type="dxa"/>
            <w:vAlign w:val="bottom"/>
            <w:tcBorders>
              <w:bottom w:val="single" w:sz="8" w:color="0000FF"/>
            </w:tcBorders>
            <w:gridSpan w:val="2"/>
          </w:tcPr>
          <w:p>
            <w:pPr>
              <w:spacing w:after="0" w:line="199"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10AJ</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Twelfth Amendment to lease dated July 17, 1990, made as of May 22, 2020 between Buncher Company and the Company for the property in</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w w:val="99"/>
              </w:rPr>
              <w:t>Leetsdale, Pennsylvania (filed as Exhibit 10.2 to the Company's Form 10-Q for the quarter ended December 26, 2020 and incorporated herein</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reference) (3).</w:t>
            </w:r>
          </w:p>
        </w:tc>
        <w:tc>
          <w:tcPr>
            <w:tcW w:w="0" w:type="dxa"/>
            <w:vAlign w:val="bottom"/>
          </w:tcPr>
          <w:p>
            <w:pPr>
              <w:spacing w:after="0"/>
              <w:rPr>
                <w:sz w:val="1"/>
                <w:szCs w:val="1"/>
                <w:color w:val="auto"/>
              </w:rPr>
            </w:pPr>
          </w:p>
        </w:tc>
      </w:tr>
      <w:tr>
        <w:trPr>
          <w:trHeight w:val="219"/>
        </w:trPr>
        <w:tc>
          <w:tcPr>
            <w:tcW w:w="440" w:type="dxa"/>
            <w:vAlign w:val="bottom"/>
            <w:tcBorders>
              <w:bottom w:val="single" w:sz="8" w:color="0000FF"/>
            </w:tcBorders>
            <w:gridSpan w:val="5"/>
          </w:tcPr>
          <w:p>
            <w:pPr>
              <w:spacing w:after="0" w:line="199" w:lineRule="exact"/>
              <w:rPr>
                <w:rFonts w:ascii="Times New Roman" w:cs="Times New Roman" w:eastAsia="Times New Roman" w:hAnsi="Times New Roman"/>
                <w:sz w:val="18"/>
                <w:szCs w:val="18"/>
                <w:color w:val="0000FF"/>
                <w:w w:val="95"/>
              </w:rPr>
            </w:pPr>
            <w:hyperlink r:id="rId156">
              <w:r>
                <w:rPr>
                  <w:rFonts w:ascii="Times New Roman" w:cs="Times New Roman" w:eastAsia="Times New Roman" w:hAnsi="Times New Roman"/>
                  <w:sz w:val="18"/>
                  <w:szCs w:val="18"/>
                  <w:color w:val="0000FF"/>
                  <w:w w:val="95"/>
                </w:rPr>
                <w:t>10AK</w:t>
              </w:r>
            </w:hyperlink>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Thirteenth Amendment to lease dated July 17, 1990, made as of December 21, 2020 between Buncher Company and the Company for the</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rPr>
              <w:t>property in Leetsdale, Pennsylvania (filed as Exhibit 10.3 to the Company's Form 10-Q for the quarter ended December 26, 2020 and</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 (3).</w:t>
            </w:r>
          </w:p>
        </w:tc>
        <w:tc>
          <w:tcPr>
            <w:tcW w:w="0" w:type="dxa"/>
            <w:vAlign w:val="bottom"/>
          </w:tcPr>
          <w:p>
            <w:pPr>
              <w:spacing w:after="0"/>
              <w:rPr>
                <w:sz w:val="1"/>
                <w:szCs w:val="1"/>
                <w:color w:val="auto"/>
              </w:rPr>
            </w:pPr>
          </w:p>
        </w:tc>
      </w:tr>
      <w:tr>
        <w:trPr>
          <w:trHeight w:val="219"/>
        </w:trPr>
        <w:tc>
          <w:tcPr>
            <w:tcW w:w="740" w:type="dxa"/>
            <w:vAlign w:val="bottom"/>
            <w:gridSpan w:val="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10AL</w:t>
              </w:r>
            </w:hyperlink>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Fourteenth Amendment to lease dated July 17, 1990, made as of November 11, 2021 by and between Buncher Company and the Company for</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property located in Leetsdale, Pennsylvania (filed as Exhibit 10.1 to the Company’s Form 10-Q for the quarter ended January 1, 2022 and</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 (3).</w:t>
            </w:r>
          </w:p>
        </w:tc>
        <w:tc>
          <w:tcPr>
            <w:tcW w:w="0" w:type="dxa"/>
            <w:vAlign w:val="bottom"/>
          </w:tcPr>
          <w:p>
            <w:pPr>
              <w:spacing w:after="0"/>
              <w:rPr>
                <w:sz w:val="1"/>
                <w:szCs w:val="1"/>
                <w:color w:val="auto"/>
              </w:rPr>
            </w:pPr>
          </w:p>
        </w:tc>
      </w:tr>
      <w:tr>
        <w:trPr>
          <w:trHeight w:val="193"/>
        </w:trPr>
        <w:tc>
          <w:tcPr>
            <w:tcW w:w="740" w:type="dxa"/>
            <w:vAlign w:val="bottom"/>
            <w:gridSpan w:val="7"/>
          </w:tcPr>
          <w:p>
            <w:pPr>
              <w:spacing w:after="0" w:line="193"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10AM</w:t>
              </w:r>
            </w:hyperlink>
          </w:p>
        </w:tc>
        <w:tc>
          <w:tcPr>
            <w:tcW w:w="10460" w:type="dxa"/>
            <w:vAlign w:val="bottom"/>
          </w:tcPr>
          <w:p>
            <w:pPr>
              <w:ind w:left="280"/>
              <w:spacing w:after="0" w:line="193" w:lineRule="exact"/>
              <w:rPr>
                <w:sz w:val="20"/>
                <w:szCs w:val="20"/>
                <w:color w:val="auto"/>
              </w:rPr>
            </w:pPr>
            <w:r>
              <w:rPr>
                <w:rFonts w:ascii="Times New Roman" w:cs="Times New Roman" w:eastAsia="Times New Roman" w:hAnsi="Times New Roman"/>
                <w:sz w:val="18"/>
                <w:szCs w:val="18"/>
                <w:color w:val="auto"/>
                <w:w w:val="98"/>
              </w:rPr>
              <w:t>Industrial Lease Agreement, dated as of May 22, 2020, by and between Clinton Commerce III, LLC and the Company (filed as Exhibit 10.1 to</w:t>
            </w:r>
          </w:p>
        </w:tc>
        <w:tc>
          <w:tcPr>
            <w:tcW w:w="0" w:type="dxa"/>
            <w:vAlign w:val="bottom"/>
          </w:tcPr>
          <w:p>
            <w:pPr>
              <w:spacing w:after="0"/>
              <w:rPr>
                <w:sz w:val="1"/>
                <w:szCs w:val="1"/>
                <w:color w:val="auto"/>
              </w:rPr>
            </w:pPr>
          </w:p>
        </w:tc>
      </w:tr>
      <w:tr>
        <w:trPr>
          <w:trHeight w:val="200"/>
        </w:trPr>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the Company's Form 10-Q for the quarter ended June 27, 2020 and incorporated herein by reference) (3).</w:t>
            </w:r>
          </w:p>
        </w:tc>
        <w:tc>
          <w:tcPr>
            <w:tcW w:w="0" w:type="dxa"/>
            <w:vAlign w:val="bottom"/>
          </w:tcPr>
          <w:p>
            <w:pPr>
              <w:spacing w:after="0"/>
              <w:rPr>
                <w:sz w:val="1"/>
                <w:szCs w:val="1"/>
                <w:color w:val="auto"/>
              </w:rPr>
            </w:pPr>
          </w:p>
        </w:tc>
      </w:tr>
      <w:tr>
        <w:trPr>
          <w:trHeight w:val="191"/>
        </w:trPr>
        <w:tc>
          <w:tcPr>
            <w:tcW w:w="740" w:type="dxa"/>
            <w:vAlign w:val="bottom"/>
            <w:gridSpan w:val="7"/>
          </w:tcPr>
          <w:p>
            <w:pPr>
              <w:spacing w:after="0" w:line="191"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10AN</w:t>
              </w:r>
            </w:hyperlink>
          </w:p>
        </w:tc>
        <w:tc>
          <w:tcPr>
            <w:tcW w:w="104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9"/>
              </w:rPr>
              <w:t>First Amendment to Industrial Lease Agreement, dated as of October 1, 2020, by and between Clinton Commerce III, LLC and the Company</w:t>
            </w:r>
          </w:p>
        </w:tc>
        <w:tc>
          <w:tcPr>
            <w:tcW w:w="0" w:type="dxa"/>
            <w:vAlign w:val="bottom"/>
          </w:tcPr>
          <w:p>
            <w:pPr>
              <w:spacing w:after="0"/>
              <w:rPr>
                <w:sz w:val="1"/>
                <w:szCs w:val="1"/>
                <w:color w:val="auto"/>
              </w:rPr>
            </w:pPr>
          </w:p>
        </w:tc>
      </w:tr>
      <w:tr>
        <w:trPr>
          <w:trHeight w:val="200"/>
        </w:trPr>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(filed as Exhibit 10.1 to the Company's Form 10-Q for the quarter ended December 26, 2020 and incorporated herein by reference).</w:t>
            </w:r>
          </w:p>
        </w:tc>
        <w:tc>
          <w:tcPr>
            <w:tcW w:w="0" w:type="dxa"/>
            <w:vAlign w:val="bottom"/>
          </w:tcPr>
          <w:p>
            <w:pPr>
              <w:spacing w:after="0"/>
              <w:rPr>
                <w:sz w:val="1"/>
                <w:szCs w:val="1"/>
                <w:color w:val="auto"/>
              </w:rPr>
            </w:pPr>
          </w:p>
        </w:tc>
      </w:tr>
      <w:tr>
        <w:trPr>
          <w:trHeight w:val="191"/>
        </w:trPr>
        <w:tc>
          <w:tcPr>
            <w:tcW w:w="740" w:type="dxa"/>
            <w:vAlign w:val="bottom"/>
            <w:gridSpan w:val="7"/>
          </w:tcPr>
          <w:p>
            <w:pPr>
              <w:spacing w:after="0" w:line="191"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10AO</w:t>
              </w:r>
            </w:hyperlink>
          </w:p>
        </w:tc>
        <w:tc>
          <w:tcPr>
            <w:tcW w:w="104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8"/>
              </w:rPr>
              <w:t>Lease dated February 21, 2000 between BBVA Bancomer Servicios, S.A., as Trustee of the “Submetropoli de Tijuana” Trust and Haemonetics</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Mexico Manufacturing, S. de R.L. de C.V., as successor in interest to Ensatec, S.A. de C.V. with authorization of El Florido California, S.A. de</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(filed as Exhibit 10J to the Company's Form 10-K for the year ended March 30, 2013 and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740" w:type="dxa"/>
            <w:vAlign w:val="bottom"/>
            <w:gridSpan w:val="7"/>
          </w:tcPr>
          <w:p>
            <w:pPr>
              <w:spacing w:after="0" w:line="191"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10AP</w:t>
              </w:r>
            </w:hyperlink>
          </w:p>
        </w:tc>
        <w:tc>
          <w:tcPr>
            <w:tcW w:w="104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Amendment to Lease dated February 21, 2000 made as of July 25, 2008 between BBVA Bancomer Servicios, S.A., as Trustee of the</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“Submetropoli de Tijuana” Trust Haemonetics Mexico Manufacturing, S. de R.L. de C.V., as successor in interest to Ensatec, S.A. de C.V., for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property located in Tijuana, Mexico (filed as Exhibit 10K to the Company's Form 10-K for the year ended March 30, 2013 and incorporated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191"/>
        </w:trPr>
        <w:tc>
          <w:tcPr>
            <w:tcW w:w="740" w:type="dxa"/>
            <w:vAlign w:val="bottom"/>
            <w:gridSpan w:val="7"/>
          </w:tcPr>
          <w:p>
            <w:pPr>
              <w:spacing w:after="0" w:line="191"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10AQ</w:t>
              </w:r>
            </w:hyperlink>
          </w:p>
        </w:tc>
        <w:tc>
          <w:tcPr>
            <w:tcW w:w="104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9"/>
              </w:rPr>
              <w:t>Extension to Lease dated February 21, 2000, made as of August 14, 2011 between PROCADEF 1, S.A.P.I. de C.V. and Haemonetics Mexico</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Manufacturing, S. de R.L. de C.V., as successor in interest to Ensatec, S.A. de C.V., for property located in Tijuana, Mexico (Spanish to English</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translation filed as Exhibit 10L to the Company's Form 10-K for the year ended March 30, 2013 and incorporated herein by reference).</w:t>
            </w:r>
          </w:p>
        </w:tc>
        <w:tc>
          <w:tcPr>
            <w:tcW w:w="0" w:type="dxa"/>
            <w:vAlign w:val="bottom"/>
          </w:tcPr>
          <w:p>
            <w:pPr>
              <w:spacing w:after="0"/>
              <w:rPr>
                <w:sz w:val="1"/>
                <w:szCs w:val="1"/>
                <w:color w:val="auto"/>
              </w:rPr>
            </w:pPr>
          </w:p>
        </w:tc>
      </w:tr>
      <w:tr>
        <w:trPr>
          <w:trHeight w:val="193"/>
        </w:trPr>
        <w:tc>
          <w:tcPr>
            <w:tcW w:w="740" w:type="dxa"/>
            <w:vAlign w:val="bottom"/>
            <w:gridSpan w:val="7"/>
          </w:tcPr>
          <w:p>
            <w:pPr>
              <w:spacing w:after="0" w:line="193"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10AR</w:t>
              </w:r>
            </w:hyperlink>
          </w:p>
        </w:tc>
        <w:tc>
          <w:tcPr>
            <w:tcW w:w="10460" w:type="dxa"/>
            <w:vAlign w:val="bottom"/>
          </w:tcPr>
          <w:p>
            <w:pPr>
              <w:ind w:left="280"/>
              <w:spacing w:after="0" w:line="193" w:lineRule="exact"/>
              <w:rPr>
                <w:sz w:val="20"/>
                <w:szCs w:val="20"/>
                <w:color w:val="auto"/>
              </w:rPr>
            </w:pPr>
            <w:r>
              <w:rPr>
                <w:rFonts w:ascii="Times New Roman" w:cs="Times New Roman" w:eastAsia="Times New Roman" w:hAnsi="Times New Roman"/>
                <w:sz w:val="18"/>
                <w:szCs w:val="18"/>
                <w:color w:val="auto"/>
                <w:w w:val="98"/>
              </w:rPr>
              <w:t>Amendment Letter to Lease dated February 21, 2000, made as of August 14, 2011 between BBVA Bancomer Servicios, S.A., as Trustee of the</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“Submetropoli de Tijuana” Trust and Haemonetics Mexico Manufacturing, S. de R.L. de C.V., as successor in interest to Ensatec, S.A. de C.V.,</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for property located in Tijuana, Mexico (filed as Exhibit 10M to the Company's Form 10-K for the year ended March 30, 2013 and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740" w:type="dxa"/>
            <w:vAlign w:val="bottom"/>
            <w:gridSpan w:val="7"/>
          </w:tcPr>
          <w:p>
            <w:pPr>
              <w:spacing w:after="0" w:line="191"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10AS</w:t>
              </w:r>
            </w:hyperlink>
          </w:p>
        </w:tc>
        <w:tc>
          <w:tcPr>
            <w:tcW w:w="104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7"/>
              </w:rPr>
              <w:t>Notice of Assignment to Lease dated February 21, 2000, made as of February 23, 2012 between BBVA Bancomer Servicios, S.A., as Trustee of</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the “Submetropoli de Tijuana” Trust and Haemonetics Mexico Manufacturing, S. de R.L. de C.V., as successor in interest to Ensatec, S.A. de</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(Spanish to English translation filed as Exhibit 10N to the Company's Form 10-K for the year</w:t>
            </w:r>
          </w:p>
        </w:tc>
        <w:tc>
          <w:tcPr>
            <w:tcW w:w="0" w:type="dxa"/>
            <w:vAlign w:val="bottom"/>
          </w:tcPr>
          <w:p>
            <w:pPr>
              <w:spacing w:after="0"/>
              <w:rPr>
                <w:sz w:val="1"/>
                <w:szCs w:val="1"/>
                <w:color w:val="auto"/>
              </w:rPr>
            </w:pPr>
          </w:p>
        </w:tc>
      </w:tr>
      <w:tr>
        <w:trPr>
          <w:trHeight w:val="231"/>
        </w:trPr>
        <w:tc>
          <w:tcPr>
            <w:tcW w:w="400" w:type="dxa"/>
            <w:vAlign w:val="bottom"/>
            <w:gridSpan w:val="3"/>
            <w:vMerge w:val="restart"/>
          </w:tcPr>
          <w:p>
            <w:pPr>
              <w:spacing w:after="0"/>
              <w:rPr>
                <w:rFonts w:ascii="Times New Roman" w:cs="Times New Roman" w:eastAsia="Times New Roman" w:hAnsi="Times New Roman"/>
                <w:sz w:val="18"/>
                <w:szCs w:val="18"/>
                <w:color w:val="0000FF"/>
                <w:w w:val="90"/>
              </w:rPr>
            </w:pPr>
            <w:hyperlink r:id="rId165">
              <w:r>
                <w:rPr>
                  <w:rFonts w:ascii="Times New Roman" w:cs="Times New Roman" w:eastAsia="Times New Roman" w:hAnsi="Times New Roman"/>
                  <w:sz w:val="18"/>
                  <w:szCs w:val="18"/>
                  <w:color w:val="0000FF"/>
                  <w:w w:val="90"/>
                </w:rPr>
                <w:t>10AT</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ended March 30, 2013 and incorporated herein by reference).</w:t>
            </w:r>
          </w:p>
        </w:tc>
        <w:tc>
          <w:tcPr>
            <w:tcW w:w="0" w:type="dxa"/>
            <w:vAlign w:val="bottom"/>
          </w:tcPr>
          <w:p>
            <w:pPr>
              <w:spacing w:after="0"/>
              <w:rPr>
                <w:sz w:val="1"/>
                <w:szCs w:val="1"/>
                <w:color w:val="auto"/>
              </w:rPr>
            </w:pPr>
          </w:p>
        </w:tc>
      </w:tr>
      <w:tr>
        <w:trPr>
          <w:trHeight w:val="189"/>
        </w:trPr>
        <w:tc>
          <w:tcPr>
            <w:tcW w:w="400" w:type="dxa"/>
            <w:vAlign w:val="bottom"/>
            <w:tcBorders>
              <w:bottom w:val="single" w:sz="8" w:color="0000FF"/>
            </w:tcBorders>
            <w:gridSpan w:val="3"/>
            <w:vMerge w:val="continue"/>
          </w:tcPr>
          <w:p>
            <w:pPr>
              <w:spacing w:after="0"/>
              <w:rPr>
                <w:sz w:val="16"/>
                <w:szCs w:val="16"/>
                <w:color w:val="auto"/>
              </w:rPr>
            </w:pPr>
          </w:p>
        </w:tc>
        <w:tc>
          <w:tcPr>
            <w:tcW w:w="340" w:type="dxa"/>
            <w:vAlign w:val="bottom"/>
            <w:gridSpan w:val="4"/>
          </w:tcPr>
          <w:p>
            <w:pPr>
              <w:spacing w:after="0"/>
              <w:rPr>
                <w:sz w:val="16"/>
                <w:szCs w:val="16"/>
                <w:color w:val="auto"/>
              </w:rPr>
            </w:pPr>
          </w:p>
        </w:tc>
        <w:tc>
          <w:tcPr>
            <w:tcW w:w="1046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Amendment to Lease dated February 21, 2000 made as of January 1, 2018 between MEGA2013, S.A.P.I. de CV (as successor in interest to</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w w:val="98"/>
              </w:rPr>
              <w:t>ABBVA Bancomer Servicios, S.A., as Trustee of the “Submetropoli de Tijuana” Trust) and Haemonetics Mexico Manufacturing, S. de R.L. de</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60" w:type="dxa"/>
            <w:vAlign w:val="bottom"/>
          </w:tcPr>
          <w:p>
            <w:pPr>
              <w:ind w:left="280"/>
              <w:spacing w:after="0" w:line="172" w:lineRule="exact"/>
              <w:rPr>
                <w:sz w:val="20"/>
                <w:szCs w:val="20"/>
                <w:color w:val="auto"/>
              </w:rPr>
            </w:pPr>
            <w:r>
              <w:rPr>
                <w:rFonts w:ascii="Times New Roman" w:cs="Times New Roman" w:eastAsia="Times New Roman" w:hAnsi="Times New Roman"/>
                <w:sz w:val="18"/>
                <w:szCs w:val="18"/>
                <w:color w:val="auto"/>
                <w:w w:val="97"/>
              </w:rPr>
              <w:t>C.V., as successor in interest to Ensatec, S.A. de C.V., for property located in Tijuana, Mexico (filed as Exhibit 10R to the Company's Form 10-</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 for the year ended March 31, 2018 and incorporated herein by reference).</w:t>
            </w:r>
          </w:p>
        </w:tc>
        <w:tc>
          <w:tcPr>
            <w:tcW w:w="0" w:type="dxa"/>
            <w:vAlign w:val="bottom"/>
          </w:tcPr>
          <w:p>
            <w:pPr>
              <w:spacing w:after="0"/>
              <w:rPr>
                <w:sz w:val="1"/>
                <w:szCs w:val="1"/>
                <w:color w:val="auto"/>
              </w:rPr>
            </w:pPr>
          </w:p>
        </w:tc>
      </w:tr>
      <w:tr>
        <w:trPr>
          <w:trHeight w:val="232"/>
        </w:trPr>
        <w:tc>
          <w:tcPr>
            <w:tcW w:w="740" w:type="dxa"/>
            <w:vAlign w:val="bottom"/>
            <w:gridSpan w:val="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10AU</w:t>
              </w:r>
            </w:hyperlink>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Agreement effective December 3, 2007 between Mrs. Blanca Estela Colunga Santelices, by her own right, and Pall Life Sciences</w:t>
            </w:r>
          </w:p>
        </w:tc>
        <w:tc>
          <w:tcPr>
            <w:tcW w:w="0" w:type="dxa"/>
            <w:vAlign w:val="bottom"/>
          </w:tcPr>
          <w:p>
            <w:pPr>
              <w:spacing w:after="0"/>
              <w:rPr>
                <w:sz w:val="1"/>
                <w:szCs w:val="1"/>
                <w:color w:val="auto"/>
              </w:rPr>
            </w:pPr>
          </w:p>
        </w:tc>
      </w:tr>
      <w:tr>
        <w:trPr>
          <w:trHeight w:val="139"/>
        </w:trPr>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80"/>
              <w:spacing w:after="0" w:line="139" w:lineRule="exact"/>
              <w:rPr>
                <w:sz w:val="20"/>
                <w:szCs w:val="20"/>
                <w:color w:val="auto"/>
              </w:rPr>
            </w:pPr>
            <w:r>
              <w:rPr>
                <w:rFonts w:ascii="Times New Roman" w:cs="Times New Roman" w:eastAsia="Times New Roman" w:hAnsi="Times New Roman"/>
                <w:sz w:val="15"/>
                <w:szCs w:val="15"/>
                <w:color w:val="auto"/>
              </w:rPr>
              <w:t>Mexico, S.de R.L. de C.V. for the property located in Tijuana, Mexico (Spanish to English translation filed as Exhibit 10W to the Company's</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 for the year ended March 30, 2013 and incorporated herein by reference).</w:t>
            </w:r>
          </w:p>
        </w:tc>
        <w:tc>
          <w:tcPr>
            <w:tcW w:w="0" w:type="dxa"/>
            <w:vAlign w:val="bottom"/>
          </w:tcPr>
          <w:p>
            <w:pPr>
              <w:spacing w:after="0"/>
              <w:rPr>
                <w:sz w:val="1"/>
                <w:szCs w:val="1"/>
                <w:color w:val="auto"/>
              </w:rPr>
            </w:pPr>
          </w:p>
        </w:tc>
      </w:tr>
      <w:tr>
        <w:trPr>
          <w:trHeight w:val="194"/>
        </w:trPr>
        <w:tc>
          <w:tcPr>
            <w:tcW w:w="740" w:type="dxa"/>
            <w:vAlign w:val="bottom"/>
            <w:gridSpan w:val="7"/>
          </w:tcPr>
          <w:p>
            <w:pPr>
              <w:spacing w:after="0" w:line="195" w:lineRule="exact"/>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10AV</w:t>
              </w:r>
            </w:hyperlink>
          </w:p>
        </w:tc>
        <w:tc>
          <w:tcPr>
            <w:tcW w:w="10460" w:type="dxa"/>
            <w:vAlign w:val="bottom"/>
          </w:tcPr>
          <w:p>
            <w:pPr>
              <w:ind w:left="280"/>
              <w:spacing w:after="0" w:line="195" w:lineRule="exact"/>
              <w:rPr>
                <w:sz w:val="20"/>
                <w:szCs w:val="20"/>
                <w:color w:val="auto"/>
              </w:rPr>
            </w:pPr>
            <w:r>
              <w:rPr>
                <w:rFonts w:ascii="Times New Roman" w:cs="Times New Roman" w:eastAsia="Times New Roman" w:hAnsi="Times New Roman"/>
                <w:sz w:val="18"/>
                <w:szCs w:val="18"/>
                <w:color w:val="auto"/>
                <w:w w:val="99"/>
              </w:rPr>
              <w:t>Assignment to Lease Agreement effective December 3, 2007, made as of December 2, 2011 between Mrs. Blanca Estela Colunga Santelices,</w:t>
            </w:r>
          </w:p>
        </w:tc>
        <w:tc>
          <w:tcPr>
            <w:tcW w:w="0" w:type="dxa"/>
            <w:vAlign w:val="bottom"/>
          </w:tcPr>
          <w:p>
            <w:pPr>
              <w:spacing w:after="0"/>
              <w:rPr>
                <w:sz w:val="1"/>
                <w:szCs w:val="1"/>
                <w:color w:val="auto"/>
              </w:rPr>
            </w:pPr>
          </w:p>
        </w:tc>
      </w:tr>
    </w:tbl>
    <w:p>
      <w:pPr>
        <w:ind w:left="1040" w:right="280"/>
        <w:spacing w:after="0" w:line="219" w:lineRule="auto"/>
        <w:rPr>
          <w:sz w:val="20"/>
          <w:szCs w:val="20"/>
          <w:color w:val="auto"/>
        </w:rPr>
      </w:pPr>
      <w:r>
        <w:rPr>
          <w:rFonts w:ascii="Times New Roman" w:cs="Times New Roman" w:eastAsia="Times New Roman" w:hAnsi="Times New Roman"/>
          <w:sz w:val="17"/>
          <w:szCs w:val="17"/>
          <w:color w:val="auto"/>
        </w:rPr>
        <w:t>by her own right, Pall Life Sciences Mexico, S.de R.L. de C.V., (“Assignor”) and Haemonetics Mexico Manufacturing, S. de R.L. de C.V.as successor in interest to Pall Mexico Manufacturing S. de R.L. de C.V., (“Assignee”) assigned in favor of the property located in Tijuana,</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Mexico (filed as Exhibit 10X to the Company's Form 10-K for the year ended March 30, 2013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1"/>
              </w:rPr>
            </w:pPr>
            <w:hyperlink r:id="rId169">
              <w:r>
                <w:rPr>
                  <w:rFonts w:ascii="Times New Roman" w:cs="Times New Roman" w:eastAsia="Times New Roman" w:hAnsi="Times New Roman"/>
                  <w:sz w:val="18"/>
                  <w:szCs w:val="18"/>
                  <w:color w:val="0000FF"/>
                  <w:w w:val="91"/>
                </w:rPr>
                <w:t>10AW</w:t>
              </w:r>
            </w:hyperlink>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Amendment to Lease Agreement effective December 3, 2007, made in 2017 between Mrs. Blanca Estela Colunga Santelices, by her own right,</w:t>
            </w:r>
          </w:p>
        </w:tc>
      </w:t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79" w:lineRule="exact"/>
              <w:rPr>
                <w:sz w:val="20"/>
                <w:szCs w:val="20"/>
                <w:color w:val="auto"/>
              </w:rPr>
            </w:pPr>
            <w:r>
              <w:rPr>
                <w:rFonts w:ascii="Times New Roman" w:cs="Times New Roman" w:eastAsia="Times New Roman" w:hAnsi="Times New Roman"/>
                <w:sz w:val="18"/>
                <w:szCs w:val="18"/>
                <w:color w:val="auto"/>
                <w:w w:val="98"/>
              </w:rPr>
              <w:t>Pall Life Sciences Mexico, S.de R.L. de C.V. (“Assignor”) and Haemonetics Mexico Manufacturing, S. de R.L. de C.V. as successor in interest</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6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to Pall Mexico Manufacturing S. de R.L. de C.V., (“Assignee”) assigned in favor of the property located in Tijuana, Mexico (filed as Exhibit</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10U to the Company's Form 10-K for the year ended March 31, 2018 and incorporated herein by reference).</w:t>
            </w:r>
          </w:p>
        </w:tc>
      </w:tr>
      <w:tr>
        <w:trPr>
          <w:trHeight w:val="232"/>
        </w:trPr>
        <w:tc>
          <w:tcPr>
            <w:tcW w:w="20" w:type="dxa"/>
            <w:vAlign w:val="bottom"/>
          </w:tcPr>
          <w:p>
            <w:pPr>
              <w:spacing w:after="0"/>
              <w:rPr>
                <w:sz w:val="20"/>
                <w:szCs w:val="20"/>
                <w:color w:val="auto"/>
              </w:rPr>
            </w:pPr>
          </w:p>
        </w:tc>
        <w:tc>
          <w:tcPr>
            <w:tcW w:w="760" w:type="dxa"/>
            <w:vAlign w:val="bottom"/>
            <w:gridSpan w:val="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10AX</w:t>
              </w:r>
            </w:hyperlink>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Sublease Contract to Lease Agreement effective December 3, 2007, made as of December 3, 2011 between Haemonetics Mexico</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Manufacturing, S. de R.L. de C.V. as successor in interest to Pall Mexico Manufacturing, S.de R.L. de C.V., and Pall Life Sciences Mexico, S.</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w w:val="99"/>
              </w:rPr>
              <w:t>de R.L. de C.V., for the property located in Tijuana, Mexico (filed as Exhibit 10Y to the Company's Form 10-K for the year ended March 30,</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2013 and incorporated herein by reference).</w:t>
            </w:r>
          </w:p>
        </w:tc>
      </w:tr>
      <w:tr>
        <w:trPr>
          <w:trHeight w:val="191"/>
        </w:trPr>
        <w:tc>
          <w:tcPr>
            <w:tcW w:w="20" w:type="dxa"/>
            <w:vAlign w:val="bottom"/>
          </w:tcPr>
          <w:p>
            <w:pPr>
              <w:spacing w:after="0"/>
              <w:rPr>
                <w:sz w:val="16"/>
                <w:szCs w:val="16"/>
                <w:color w:val="auto"/>
              </w:rPr>
            </w:pPr>
          </w:p>
        </w:tc>
        <w:tc>
          <w:tcPr>
            <w:tcW w:w="760" w:type="dxa"/>
            <w:vAlign w:val="bottom"/>
            <w:gridSpan w:val="6"/>
          </w:tcPr>
          <w:p>
            <w:pPr>
              <w:spacing w:after="0" w:line="191"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10AY</w:t>
              </w:r>
            </w:hyperlink>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Sublease Contract to Lease Agreement effective December 3, 2007, made as of February 23, 2012 between Haemonetics Mexico</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Manufacturing, S. de R.L. de C.V. as successor in interest to Pall Mexico Manufacturing S. de R.L. de C.V. and Ensatec, S.A. de C.V., for the</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property located in Tijuana, Mexico (filed as Exhibit 10Z to the Company's Form 10-K for the year ended March 30, 2013 and incorporated</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91"/>
        </w:trPr>
        <w:tc>
          <w:tcPr>
            <w:tcW w:w="20" w:type="dxa"/>
            <w:vAlign w:val="bottom"/>
          </w:tcPr>
          <w:p>
            <w:pPr>
              <w:spacing w:after="0"/>
              <w:rPr>
                <w:sz w:val="16"/>
                <w:szCs w:val="16"/>
                <w:color w:val="auto"/>
              </w:rPr>
            </w:pPr>
          </w:p>
        </w:tc>
        <w:tc>
          <w:tcPr>
            <w:tcW w:w="760" w:type="dxa"/>
            <w:vAlign w:val="bottom"/>
            <w:gridSpan w:val="6"/>
          </w:tcPr>
          <w:p>
            <w:pPr>
              <w:spacing w:after="0" w:line="191"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10AZ</w:t>
              </w:r>
            </w:hyperlink>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8"/>
              </w:rPr>
              <w:t>Lease dated September 19, 2013 between the Penang Development Corporation and Haemonetics Malaysia Sdn Bhd of the property located in</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Penang, Malaysia (filed as Exhibit 10D to the Company's 10-Q for the quarter ended June 28, 2014 and incorporated herein by reference).</w:t>
            </w:r>
          </w:p>
        </w:tc>
      </w:tr>
      <w:tr>
        <w:trPr>
          <w:trHeight w:val="191"/>
        </w:trPr>
        <w:tc>
          <w:tcPr>
            <w:tcW w:w="20" w:type="dxa"/>
            <w:vAlign w:val="bottom"/>
          </w:tcPr>
          <w:p>
            <w:pPr>
              <w:spacing w:after="0"/>
              <w:rPr>
                <w:sz w:val="16"/>
                <w:szCs w:val="16"/>
                <w:color w:val="auto"/>
              </w:rPr>
            </w:pPr>
          </w:p>
        </w:tc>
        <w:tc>
          <w:tcPr>
            <w:tcW w:w="760" w:type="dxa"/>
            <w:vAlign w:val="bottom"/>
            <w:gridSpan w:val="6"/>
          </w:tcPr>
          <w:p>
            <w:pPr>
              <w:spacing w:after="0" w:line="191"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10BA</w:t>
              </w:r>
            </w:hyperlink>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Shelter Plan Service Agreement, dated June 10, 2014, by and between Cardiva Medical, Inc. and Offshore International, Incorporated, as</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amended on October 30, 2019 (filed as Exhibit 10.23 to Cardiva Medical, Inc.’s Form S-1 (File No. 333-251885) dated January 4, 2021 and</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 (3).</w:t>
            </w:r>
          </w:p>
        </w:tc>
      </w:tr>
      <w:tr>
        <w:trPr>
          <w:trHeight w:val="193"/>
        </w:trPr>
        <w:tc>
          <w:tcPr>
            <w:tcW w:w="20" w:type="dxa"/>
            <w:vAlign w:val="bottom"/>
          </w:tcPr>
          <w:p>
            <w:pPr>
              <w:spacing w:after="0"/>
              <w:rPr>
                <w:sz w:val="16"/>
                <w:szCs w:val="16"/>
                <w:color w:val="auto"/>
              </w:rPr>
            </w:pPr>
          </w:p>
        </w:tc>
        <w:tc>
          <w:tcPr>
            <w:tcW w:w="760" w:type="dxa"/>
            <w:vAlign w:val="bottom"/>
            <w:gridSpan w:val="6"/>
          </w:tcPr>
          <w:p>
            <w:pPr>
              <w:spacing w:after="0" w:line="193"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10BB</w:t>
              </w:r>
            </w:hyperlink>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Credit Agreement, dated as of June 15, 2018, by and among Haemonetics Corporation, the Lenders from time to time party thereto and</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JPMorgan Chase Bank, N.A., as Administrative Agent (filed as Exhibit 10.1 to the Company’s Form 8-K dated June 18, 2018 and incorporated</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93"/>
        </w:trPr>
        <w:tc>
          <w:tcPr>
            <w:tcW w:w="20" w:type="dxa"/>
            <w:vAlign w:val="bottom"/>
          </w:tcPr>
          <w:p>
            <w:pPr>
              <w:spacing w:after="0"/>
              <w:rPr>
                <w:sz w:val="16"/>
                <w:szCs w:val="16"/>
                <w:color w:val="auto"/>
              </w:rPr>
            </w:pPr>
          </w:p>
        </w:tc>
        <w:tc>
          <w:tcPr>
            <w:tcW w:w="760" w:type="dxa"/>
            <w:vAlign w:val="bottom"/>
            <w:gridSpan w:val="6"/>
          </w:tcPr>
          <w:p>
            <w:pPr>
              <w:spacing w:after="0" w:line="193"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10BC</w:t>
              </w:r>
            </w:hyperlink>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Amendment No. 1, dated as of March 1, 2021, to Credit Agreement dated as of June 15, 2018, by and among Haemonetics Corporation, the</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lenders from time to time party thereto and JPMorgan Chase Bank, N.A., as Administrative Agent (filed as Exhibit 10.1 to the Company's Form</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 dated March 1 2021 and incorporated herein by reference).</w:t>
            </w:r>
          </w:p>
        </w:tc>
      </w:tr>
      <w:tr>
        <w:trPr>
          <w:trHeight w:val="193"/>
        </w:trPr>
        <w:tc>
          <w:tcPr>
            <w:tcW w:w="20" w:type="dxa"/>
            <w:vAlign w:val="bottom"/>
          </w:tcPr>
          <w:p>
            <w:pPr>
              <w:spacing w:after="0"/>
              <w:rPr>
                <w:sz w:val="16"/>
                <w:szCs w:val="16"/>
                <w:color w:val="auto"/>
              </w:rPr>
            </w:pPr>
          </w:p>
        </w:tc>
        <w:tc>
          <w:tcPr>
            <w:tcW w:w="760" w:type="dxa"/>
            <w:vAlign w:val="bottom"/>
            <w:gridSpan w:val="6"/>
          </w:tcPr>
          <w:p>
            <w:pPr>
              <w:spacing w:after="0" w:line="193"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10BD</w:t>
              </w:r>
            </w:hyperlink>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Form of Confirmation of Call Option Transaction (filed as Exhibit 10.1 to the Company's Form 8-K dated as of March 5, 2021 and</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1"/>
        </w:trPr>
        <w:tc>
          <w:tcPr>
            <w:tcW w:w="20" w:type="dxa"/>
            <w:vAlign w:val="bottom"/>
          </w:tcPr>
          <w:p>
            <w:pPr>
              <w:spacing w:after="0"/>
              <w:rPr>
                <w:sz w:val="16"/>
                <w:szCs w:val="16"/>
                <w:color w:val="auto"/>
              </w:rPr>
            </w:pPr>
          </w:p>
        </w:tc>
        <w:tc>
          <w:tcPr>
            <w:tcW w:w="760" w:type="dxa"/>
            <w:vAlign w:val="bottom"/>
            <w:gridSpan w:val="6"/>
          </w:tcPr>
          <w:p>
            <w:pPr>
              <w:spacing w:after="0" w:line="191"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10BE</w:t>
              </w:r>
            </w:hyperlink>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8"/>
              </w:rPr>
              <w:t>Form of Confirmation of Additional Call Option Transaction (filed as Exhibit 10.1 to the Company's Form 8-K dated as of March 16, 2021 and</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1"/>
        </w:trPr>
        <w:tc>
          <w:tcPr>
            <w:tcW w:w="20" w:type="dxa"/>
            <w:vAlign w:val="bottom"/>
          </w:tcPr>
          <w:p>
            <w:pPr>
              <w:spacing w:after="0"/>
              <w:rPr>
                <w:sz w:val="16"/>
                <w:szCs w:val="16"/>
                <w:color w:val="auto"/>
              </w:rPr>
            </w:pPr>
          </w:p>
        </w:tc>
        <w:tc>
          <w:tcPr>
            <w:tcW w:w="760" w:type="dxa"/>
            <w:vAlign w:val="bottom"/>
            <w:gridSpan w:val="6"/>
          </w:tcPr>
          <w:p>
            <w:pPr>
              <w:spacing w:after="0" w:line="191"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10BF</w:t>
              </w:r>
            </w:hyperlink>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Agreement and Plan of Merger, dated as of January 17, 2021, by and among the Company, Concordia Merger Sub, Inc., Cardiva Medical, Inc.</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and Fortis Advisors LLC, as the Seller Representative (filed as Exhibit 10.4 to the Company’s 10-Q for the quarter ended December 26, 2020</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incorporated herein by reference) (3).</w:t>
            </w:r>
          </w:p>
        </w:tc>
      </w:tr>
      <w:tr>
        <w:trPr>
          <w:trHeight w:val="492"/>
        </w:trPr>
        <w:tc>
          <w:tcPr>
            <w:tcW w:w="20" w:type="dxa"/>
            <w:vAlign w:val="bottom"/>
          </w:tcPr>
          <w:p>
            <w:pPr>
              <w:spacing w:after="0"/>
              <w:rPr>
                <w:sz w:val="24"/>
                <w:szCs w:val="24"/>
                <w:color w:val="auto"/>
              </w:rPr>
            </w:pPr>
          </w:p>
        </w:tc>
        <w:tc>
          <w:tcPr>
            <w:tcW w:w="112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4. Subsidiaries Certifications and Consents</w:t>
            </w:r>
          </w:p>
        </w:tc>
      </w:tr>
      <w:tr>
        <w:trPr>
          <w:trHeight w:val="191"/>
        </w:trPr>
        <w:tc>
          <w:tcPr>
            <w:tcW w:w="20" w:type="dxa"/>
            <w:vAlign w:val="bottom"/>
          </w:tcPr>
          <w:p>
            <w:pPr>
              <w:spacing w:after="0"/>
              <w:rPr>
                <w:sz w:val="16"/>
                <w:szCs w:val="16"/>
                <w:color w:val="auto"/>
              </w:rPr>
            </w:pPr>
          </w:p>
        </w:tc>
        <w:tc>
          <w:tcPr>
            <w:tcW w:w="40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3"/>
              </w:rPr>
              <w:t>21.</w:t>
            </w:r>
            <w:r>
              <w:rPr>
                <w:rFonts w:ascii="Times New Roman" w:cs="Times New Roman" w:eastAsia="Times New Roman" w:hAnsi="Times New Roman"/>
                <w:sz w:val="18"/>
                <w:szCs w:val="18"/>
                <w:u w:val="single" w:color="auto"/>
                <w:color w:val="0000FF"/>
                <w:w w:val="93"/>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Subsidiaries of the Company.</w:t>
            </w:r>
          </w:p>
        </w:tc>
      </w:tr>
      <w:tr>
        <w:trPr>
          <w:trHeight w:val="205"/>
        </w:trPr>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Consent of the Independent Registered Public Accounting Firm.</w:t>
            </w:r>
          </w:p>
        </w:tc>
      </w:tr>
      <w:tr>
        <w:trPr>
          <w:trHeight w:val="205"/>
        </w:trPr>
        <w:tc>
          <w:tcPr>
            <w:tcW w:w="4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Company.</w:t>
            </w:r>
          </w:p>
        </w:tc>
      </w:tr>
      <w:tr>
        <w:trPr>
          <w:trHeight w:val="191"/>
        </w:trPr>
        <w:tc>
          <w:tcPr>
            <w:tcW w:w="4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Certification pursuant to Section 302 of Sarbanes-Oxley of 2002 of James D'Arecca, Executive Vice President, Chief Financial Officer of the</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Company.</w:t>
            </w:r>
          </w:p>
        </w:tc>
      </w:tr>
      <w:tr>
        <w:trPr>
          <w:trHeight w:val="191"/>
        </w:trPr>
        <w:tc>
          <w:tcPr>
            <w:tcW w:w="780" w:type="dxa"/>
            <w:vAlign w:val="bottom"/>
            <w:gridSpan w:val="7"/>
          </w:tcPr>
          <w:p>
            <w:pPr>
              <w:ind w:left="20"/>
              <w:spacing w:after="0" w:line="19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Christopher A. Simon, President and Chief Executive Officer of the Company.</w:t>
            </w:r>
          </w:p>
        </w:tc>
      </w:tr>
      <w:tr>
        <w:trPr>
          <w:trHeight w:val="191"/>
        </w:trPr>
        <w:tc>
          <w:tcPr>
            <w:tcW w:w="780" w:type="dxa"/>
            <w:vAlign w:val="bottom"/>
            <w:gridSpan w:val="7"/>
          </w:tcPr>
          <w:p>
            <w:pPr>
              <w:ind w:left="20"/>
              <w:spacing w:after="0" w:line="19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8"/>
              </w:rPr>
              <w:t>Certification Pursuant to 18 United States Code Section 1350, as adopted Pursuant to Section 906 of the Sarbanes-Oxley Act of 2002, of James</w:t>
            </w: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D'Arecca, Executive Vice President, Chief Financial Officer of the Company.</w:t>
            </w:r>
          </w:p>
        </w:tc>
      </w:tr>
      <w:tr>
        <w:trPr>
          <w:trHeight w:val="177"/>
        </w:trPr>
        <w:tc>
          <w:tcPr>
            <w:tcW w:w="4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The following materials from Haemonetics Corporation on Form 10-K for the year ended April 2, 2022, formatted in inline Extensible</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6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Business Reporting Language (XBRL) includes: (i) Consolidated Statements of Income, (ii) Consolidated Statements of Comprehensive</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Income, (iii) Consolidated Balance Sheets, (iv) Consolidated Statement of Stockholders' Equity, (v) Consolidated Statements of Cash Flows,</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(vi) Notes to Consolidated Financial Statements.</w:t>
            </w:r>
          </w:p>
        </w:tc>
      </w:tr>
      <w:tr>
        <w:trPr>
          <w:trHeight w:val="23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r>
      <w:tr>
        <w:trPr>
          <w:trHeight w:val="87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104</w:t>
            </w:r>
          </w:p>
        </w:tc>
      </w:tr>
      <w:tr>
        <w:trPr>
          <w:trHeight w:val="111"/>
        </w:trPr>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56"/>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24" w:lineRule="exact"/>
        <w:rPr>
          <w:sz w:val="20"/>
          <w:szCs w:val="20"/>
          <w:color w:val="auto"/>
        </w:rPr>
      </w:pPr>
    </w:p>
    <w:p>
      <w:pPr>
        <w:ind w:left="480" w:hanging="456"/>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18" w:lineRule="exact"/>
        <w:rPr>
          <w:sz w:val="20"/>
          <w:szCs w:val="20"/>
          <w:color w:val="auto"/>
        </w:rPr>
      </w:pPr>
    </w:p>
    <w:p>
      <w:pPr>
        <w:ind w:left="480" w:hanging="4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plan, or arrangement related to the compensation of officers or directors.</w:t>
      </w:r>
    </w:p>
    <w:p>
      <w:pPr>
        <w:spacing w:after="0" w:line="18" w:lineRule="exact"/>
        <w:rPr>
          <w:rFonts w:ascii="Times New Roman" w:cs="Times New Roman" w:eastAsia="Times New Roman" w:hAnsi="Times New Roman"/>
          <w:sz w:val="18"/>
          <w:szCs w:val="18"/>
          <w:color w:val="auto"/>
        </w:rPr>
      </w:pPr>
    </w:p>
    <w:p>
      <w:pPr>
        <w:ind w:left="480" w:hanging="456"/>
        <w:spacing w:after="0" w:line="230"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as to portions of the exhibit. Confidential materials omitted and filed separately with the Securities and Exchange Commission.</w:t>
      </w:r>
    </w:p>
    <w:p>
      <w:pPr>
        <w:spacing w:after="0" w:line="7"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considered confidential and have been omitted as permitted under SEC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60"/>
          </w:cols>
          <w:pgMar w:left="320" w:top="126" w:right="8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70"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33064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Chief Executive Officer and a Director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p>
      <w:pPr>
        <w:ind w:left="1080"/>
        <w:spacing w:after="0"/>
        <w:tabs>
          <w:tab w:leader="none" w:pos="5080" w:val="left"/>
          <w:tab w:leader="none" w:pos="8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020"/>
          </w:cols>
          <w:pgMar w:left="320" w:top="126" w:right="559" w:bottom="1440" w:gutter="0" w:footer="0" w:header="0"/>
        </w:sect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Dan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Dan Goldstein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Robert E. Abernathy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E. Abernathy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Catherine M. Burzik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Catherine M. Burzik</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J.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Michael J. Coyle</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 Charles J. Dockendorff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24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Charles J. Dockendorff</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Lloyd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Lloyd E. Johnson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Mark W.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Mark W. Kroll</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Claire Pomeroy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Claire Pomeroy</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Ellen M. Zane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Ellen M. Zane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President, Chief Executive Officer and a 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40" w:type="dxa"/>
            <w:vAlign w:val="bottom"/>
          </w:tcPr>
          <w:p>
            <w:pPr>
              <w:spacing w:after="0"/>
              <w:rPr>
                <w:sz w:val="23"/>
                <w:szCs w:val="23"/>
                <w:color w:val="auto"/>
              </w:rPr>
            </w:pPr>
          </w:p>
        </w:tc>
      </w:tr>
      <w:tr>
        <w:trPr>
          <w:trHeight w:val="46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Executive Vice President, Chief Financial Officer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440" w:type="dxa"/>
            <w:vAlign w:val="bottom"/>
          </w:tcPr>
          <w:p>
            <w:pPr>
              <w:spacing w:after="0"/>
              <w:rPr>
                <w:sz w:val="23"/>
                <w:szCs w:val="23"/>
                <w:color w:val="auto"/>
              </w:rPr>
            </w:pPr>
          </w:p>
        </w:tc>
      </w:tr>
      <w:tr>
        <w:trPr>
          <w:trHeight w:val="42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Vice President, Corporate Controller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440" w:type="dxa"/>
            <w:vAlign w:val="bottom"/>
          </w:tcPr>
          <w:p>
            <w:pPr>
              <w:spacing w:after="0"/>
              <w:rPr>
                <w:sz w:val="23"/>
                <w:szCs w:val="23"/>
                <w:color w:val="auto"/>
              </w:rPr>
            </w:pPr>
          </w:p>
        </w:tc>
      </w:tr>
      <w:tr>
        <w:trPr>
          <w:trHeight w:val="38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25, 2022</w:t>
            </w:r>
          </w:p>
        </w:tc>
      </w:tr>
    </w:tbl>
    <w:p>
      <w:pPr>
        <w:spacing w:after="0" w:line="480" w:lineRule="exact"/>
        <w:rPr>
          <w:sz w:val="20"/>
          <w:szCs w:val="20"/>
          <w:color w:val="auto"/>
        </w:rPr>
      </w:pPr>
    </w:p>
    <w:p>
      <w:pPr>
        <w:sectPr>
          <w:pgSz w:w="11900" w:h="16838" w:orient="portrait"/>
          <w:cols w:equalWidth="0" w:num="2">
            <w:col w:w="2760" w:space="720"/>
            <w:col w:w="7540"/>
          </w:cols>
          <w:pgMar w:left="320" w:top="126" w:right="5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020"/>
          </w:cols>
          <w:pgMar w:left="320" w:top="126" w:right="55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21.1 - Subsidiaries of the Company</w:t>
            </w:r>
          </w:p>
        </w:tc>
        <w:tc>
          <w:tcPr>
            <w:tcW w:w="4880" w:type="dxa"/>
            <w:vAlign w:val="bottom"/>
          </w:tcPr>
          <w:p>
            <w:pPr>
              <w:spacing w:after="0"/>
              <w:rPr>
                <w:sz w:val="22"/>
                <w:szCs w:val="22"/>
                <w:color w:val="auto"/>
              </w:rPr>
            </w:pPr>
          </w:p>
        </w:tc>
      </w:tr>
      <w:tr>
        <w:trPr>
          <w:trHeight w:val="40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Subsidiary of Haemonetics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tc>
      </w:tr>
      <w:tr>
        <w:trPr>
          <w:trHeight w:val="240"/>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5D Information Management, Inc.</w:t>
            </w:r>
          </w:p>
        </w:tc>
        <w:tc>
          <w:tcPr>
            <w:tcW w:w="22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Arryx,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Nevada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Cardiva Medical,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Enicor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Global Med Technologies,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Colorado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(Hong Kong)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Hong Kong</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(UK)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Incorporated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UK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Australia PTY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Victoria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Belgium NV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Belgium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BV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Netherlands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Canada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British Columbia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CZ, spol. s.r.o.</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Czech Republic</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France S.a.r.l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France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Handelsgesellschaft 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Austria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Healthcare India Private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India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Hospitalar EIRELI</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Brazil</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International Finance S.a.r.l.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Luxembourg</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International Holdings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Switzerland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Italia s.r.l.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Italy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Japan GK</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Japan</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Korea,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Seoul, Korea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Malaysia Sdn. Bhd.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Malaysia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Manufacturing,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(Shanghai) Management Co.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Shanghai,China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Mexico Manufacturing, S.de R.L. de C.V.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Mexico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New Zealand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New Zealand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Produzione Italia S.r.l.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Italy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S.A.</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Switzerland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Scandinavia AB</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Sweden</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Singapore Pte.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Singapore</w:t>
            </w:r>
          </w:p>
        </w:tc>
      </w:tr>
      <w:tr>
        <w:trPr>
          <w:trHeight w:val="25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Haemoscope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Massachusetts</w:t>
            </w:r>
          </w:p>
        </w:tc>
      </w:tr>
    </w:tbl>
    <w:p>
      <w:pPr>
        <w:sectPr>
          <w:pgSz w:w="11900" w:h="16838" w:orient="portrait"/>
          <w:cols w:equalWidth="0" w:num="1">
            <w:col w:w="11000"/>
          </w:cols>
          <w:pgMar w:left="320" w:top="872" w:right="57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4" w:lineRule="exact"/>
        <w:rPr>
          <w:sz w:val="20"/>
          <w:szCs w:val="20"/>
          <w:color w:val="auto"/>
        </w:rPr>
      </w:pPr>
    </w:p>
    <w:p>
      <w:pPr>
        <w:ind w:right="3360" w:firstLine="3363"/>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88" w:lineRule="exact"/>
        <w:rPr>
          <w:sz w:val="20"/>
          <w:szCs w:val="20"/>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333-232899), pertaining to the 2019 Long-Term Incentive Compensation Plan of Haemonetics Corporation;</w:t>
      </w:r>
    </w:p>
    <w:p>
      <w:pPr>
        <w:spacing w:after="0" w:line="24"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333-222877), pertaining to the 2007 Employee Stock Purchase Plan of Haemonetics Corporation;</w:t>
      </w:r>
    </w:p>
    <w:p>
      <w:pPr>
        <w:spacing w:after="0" w:line="5" w:lineRule="exact"/>
        <w:rPr>
          <w:rFonts w:ascii="Times New Roman" w:cs="Times New Roman" w:eastAsia="Times New Roman" w:hAnsi="Times New Roman"/>
          <w:sz w:val="18"/>
          <w:szCs w:val="18"/>
          <w:color w:val="auto"/>
        </w:rPr>
      </w:pPr>
    </w:p>
    <w:p>
      <w:pPr>
        <w:ind w:right="440" w:firstLine="6"/>
        <w:spacing w:after="0" w:line="245" w:lineRule="auto"/>
        <w:tabs>
          <w:tab w:leader="none" w:pos="2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333-200226), pertaining to the 2005 Long-Term Incentive Compensation Plan of Haemonetics Corporation, as amended by that certain Post-Effective Amendment No. 1 to the Registration Statement (No. 333-200226);</w:t>
      </w:r>
    </w:p>
    <w:p>
      <w:pPr>
        <w:spacing w:after="0" w:line="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333-181847),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333-159434),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333-149205), pertaining to the 2007 Employee Stock Purchase Plan of Haemonetics Corporation; and</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of our reports dated May 25, 2022, with respect to the consolidated financial statements of Haemonetics Corporation and the effectiveness of internal control over financial reporting of Haemonetics Corporation included in this Annual Report (Form 10-K) of Haemonetics Corporation for the fiscal year ended April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25, 2022</w:t>
      </w:r>
    </w:p>
    <w:p>
      <w:pPr>
        <w:sectPr>
          <w:pgSz w:w="11900" w:h="16838" w:orient="portrait"/>
          <w:cols w:equalWidth="0" w:num="1">
            <w:col w:w="11240"/>
          </w:cols>
          <w:pgMar w:left="320" w:top="87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1" w:lineRule="exact"/>
        <w:rPr>
          <w:sz w:val="20"/>
          <w:szCs w:val="20"/>
          <w:color w:val="auto"/>
        </w:rPr>
      </w:pPr>
    </w:p>
    <w:p>
      <w:pPr>
        <w:ind w:left="320" w:hanging="314"/>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20" w:hanging="318"/>
        <w:spacing w:after="0" w:line="304" w:lineRule="auto"/>
        <w:tabs>
          <w:tab w:leader="none" w:pos="995"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540" w:hanging="314"/>
        <w:spacing w:after="0" w:line="274"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1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35337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92"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D'Arecca, certify that:</w:t>
      </w:r>
    </w:p>
    <w:p>
      <w:pPr>
        <w:spacing w:after="0" w:line="111"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20" w:hanging="318"/>
        <w:spacing w:after="0" w:line="304" w:lineRule="auto"/>
        <w:tabs>
          <w:tab w:leader="none" w:pos="99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540" w:hanging="314"/>
        <w:spacing w:after="0" w:line="274"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16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44507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4450715"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92"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April 2, 2022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16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14605</wp:posOffset>
            </wp:positionV>
            <wp:extent cx="2818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2818765" cy="8255"/>
                    </a:xfrm>
                    <a:prstGeom prst="rect">
                      <a:avLst/>
                    </a:prstGeom>
                    <a:noFill/>
                  </pic:spPr>
                </pic:pic>
              </a:graphicData>
            </a:graphic>
          </wp:anchor>
        </w:drawing>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08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April 2, 2022 as filed with the Securities and Exchange Commission on the date hereof (the “Report”), I, James D'Arecca,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1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14605</wp:posOffset>
            </wp:positionV>
            <wp:extent cx="3971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3971290" cy="8255"/>
                    </a:xfrm>
                    <a:prstGeom prst="rect">
                      <a:avLst/>
                    </a:prstGeom>
                    <a:noFill/>
                  </pic:spPr>
                </pic:pic>
              </a:graphicData>
            </a:graphic>
          </wp:anchor>
        </w:drawing>
      </w:r>
    </w:p>
    <w:p>
      <w:pPr>
        <w:spacing w:after="0" w:line="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4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0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lvl w:ilvl="1">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upperLetter"/>
      <w:start w:val="35"/>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Roman"/>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1)"/>
      <w:numFmt w:val="upperLetter"/>
      <w:start w:val="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6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26" Type="http://schemas.openxmlformats.org/officeDocument/2006/relationships/hyperlink" Target="http://www.sec.gov/Archives/edgar/data/313143/000031314319000035/exhibit31-restatedarticles.htm" TargetMode="External"/><Relationship Id="rId127" Type="http://schemas.openxmlformats.org/officeDocument/2006/relationships/hyperlink" Target="http://www.sec.gov/Archives/edgar/data/313143/000031314320000052/by-lawsasamended62920.htm" TargetMode="External"/><Relationship Id="rId128" Type="http://schemas.openxmlformats.org/officeDocument/2006/relationships/hyperlink" Target="http://www.sec.gov/Archives/edgar/data/313143/000031314320000028/fy2020exh4b.htm" TargetMode="External"/><Relationship Id="rId129" Type="http://schemas.openxmlformats.org/officeDocument/2006/relationships/hyperlink" Target="http://www.sec.gov/Archives/edgar/data/313143/000110465921032760/tm218226d4_ex4-1.htm" TargetMode="External"/><Relationship Id="rId130" Type="http://schemas.openxmlformats.org/officeDocument/2006/relationships/hyperlink" Target="http://www.sec.gov/Archives/edgar/data/313143/000031314319000035/exhibit101-2019plan.htm" TargetMode="External"/><Relationship Id="rId131" Type="http://schemas.openxmlformats.org/officeDocument/2006/relationships/hyperlink" Target="http://www.sec.gov/Archives/edgar/data/313143/000110465905053967/a05-19810_1ex10d1.htm" TargetMode="External"/><Relationship Id="rId132" Type="http://schemas.openxmlformats.org/officeDocument/2006/relationships/hyperlink" Target="http://www.sec.gov/Archives/edgar/data/313143/000095012310054652/b80592exv10ws.htm" TargetMode="External"/><Relationship Id="rId133" Type="http://schemas.openxmlformats.org/officeDocument/2006/relationships/hyperlink" Target="http://www.sec.gov/Archives/edgar/data/313143/000031314318000052/haeq1jun2019ex102.htm" TargetMode="External"/><Relationship Id="rId134" Type="http://schemas.openxmlformats.org/officeDocument/2006/relationships/hyperlink" Target="http://www.sec.gov/Archives/edgar/data/313143/000031314319000053/haeq2sep2020ex104.htm" TargetMode="External"/><Relationship Id="rId135" Type="http://schemas.openxmlformats.org/officeDocument/2006/relationships/hyperlink" Target="http://www.sec.gov/Archives/edgar/data/313143/000031314319000053/haeq2sep2020ex102.htm" TargetMode="External"/><Relationship Id="rId136" Type="http://schemas.openxmlformats.org/officeDocument/2006/relationships/hyperlink" Target="http://www.sec.gov/Archives/edgar/data/313143/000095012310054652/b80592exv10wu.htm" TargetMode="External"/><Relationship Id="rId137" Type="http://schemas.openxmlformats.org/officeDocument/2006/relationships/hyperlink" Target="http://www.sec.gov/Archives/edgar/data/313143/000031314318000052/haeq1jun2019ex104.htm" TargetMode="External"/><Relationship Id="rId138" Type="http://schemas.openxmlformats.org/officeDocument/2006/relationships/hyperlink" Target="http://www.sec.gov/Archives/edgar/data/313143/000031314319000053/haeq2sep2020ex103.htm" TargetMode="External"/><Relationship Id="rId141" Type="http://schemas.openxmlformats.org/officeDocument/2006/relationships/hyperlink" Target="https://www.sec.gov/Archives/edgar/data/313143/000031314318000058/haeq2sep2019ex101.htm" TargetMode="External"/><Relationship Id="rId142" Type="http://schemas.openxmlformats.org/officeDocument/2006/relationships/hyperlink" Target="https://www.sec.gov/Archives/edgar/data/313143/000031314319000007/haeq3dec2019ex101.htm" TargetMode="External"/><Relationship Id="rId143" Type="http://schemas.openxmlformats.org/officeDocument/2006/relationships/hyperlink" Target="https://www.sec.gov/Archives/edgar/data/313143/000091064703000228/hae-10ag.txt" TargetMode="External"/><Relationship Id="rId144" Type="http://schemas.openxmlformats.org/officeDocument/2006/relationships/hyperlink" Target="https://www.sec.gov/Archives/edgar/data/313143/000031314313000085/a10dpaleetsdalebuncher3rd.htm" TargetMode="External"/><Relationship Id="rId145" Type="http://schemas.openxmlformats.org/officeDocument/2006/relationships/hyperlink" Target="https://www.sec.gov/Archives/edgar/data/313143/000031314313000085/a10epa-leetsdaleamend4.htm" TargetMode="External"/><Relationship Id="rId146" Type="http://schemas.openxmlformats.org/officeDocument/2006/relationships/hyperlink" Target="https://www.sec.gov/Archives/edgar/data/313143/000031314313000085/a10fpaleetsdaleamdend5.htm" TargetMode="External"/><Relationship Id="rId147" Type="http://schemas.openxmlformats.org/officeDocument/2006/relationships/hyperlink" Target="https://www.sec.gov/Archives/edgar/data/313143/000031314313000085/a10gpaleetsdaleamend6th.htm" TargetMode="External"/><Relationship Id="rId148" Type="http://schemas.openxmlformats.org/officeDocument/2006/relationships/hyperlink" Target="https://www.sec.gov/Archives/edgar/data/313143/000031314313000085/a10hleetsdale7thamend12.htm" TargetMode="External"/><Relationship Id="rId149" Type="http://schemas.openxmlformats.org/officeDocument/2006/relationships/hyperlink" Target="https://www.sec.gov/Archives/edgar/data/313143/000031314313000085/a10ileetsdale8amend.htm" TargetMode="External"/><Relationship Id="rId152" Type="http://schemas.openxmlformats.org/officeDocument/2006/relationships/hyperlink" Target="https://www.sec.gov/Archives/edgar/data/313143/000031314318000020/fy2018exh10j.htm" TargetMode="External"/><Relationship Id="rId153" Type="http://schemas.openxmlformats.org/officeDocument/2006/relationships/hyperlink" Target="https://www.sec.gov/Archives/edgar/data/313143/000031314318000020/fy2018exh10k.htm" TargetMode="External"/><Relationship Id="rId154" Type="http://schemas.openxmlformats.org/officeDocument/2006/relationships/hyperlink" Target="https://www.sec.gov/Archives/edgar/data/313143/000031314318000020/fy2018exh10l.htm" TargetMode="External"/><Relationship Id="rId155" Type="http://schemas.openxmlformats.org/officeDocument/2006/relationships/hyperlink" Target="https://www.sec.gov/Archives/edgar/data/313143/000031314321000010/ex102-12thamendmenttoleets.htm" TargetMode="External"/><Relationship Id="rId156" Type="http://schemas.openxmlformats.org/officeDocument/2006/relationships/hyperlink" Target="https://www.sec.gov/Archives/edgar/data/313143/000031314321000010/ex103-13thamendmenttoleets.htm" TargetMode="External"/><Relationship Id="rId157" Type="http://schemas.openxmlformats.org/officeDocument/2006/relationships/hyperlink" Target="https://www.sec.gov/Archives/edgar/data/313143/000031314322000008/exhibit101-14thamendmentto.htm" TargetMode="External"/><Relationship Id="rId158" Type="http://schemas.openxmlformats.org/officeDocument/2006/relationships/hyperlink" Target="https://www.sec.gov/Archives/edgar/data/313143/000031314320000065/ex101toform10-qq1offis.htm" TargetMode="External"/><Relationship Id="rId159" Type="http://schemas.openxmlformats.org/officeDocument/2006/relationships/hyperlink" Target="https://www.sec.gov/Archives/edgar/data/313143/000031314321000010/ex101-firstamendmenttoclin.htm" TargetMode="External"/><Relationship Id="rId160" Type="http://schemas.openxmlformats.org/officeDocument/2006/relationships/hyperlink" Target="https://www.sec.gov/Archives/edgar/data/313143/000031314313000085/a10jleasebbva_ensatec2x21x.htm" TargetMode="External"/><Relationship Id="rId161" Type="http://schemas.openxmlformats.org/officeDocument/2006/relationships/hyperlink" Target="https://www.sec.gov/Archives/edgar/data/313143/000031314313000085/a10kbbvaensatec11730tijuan.htm" TargetMode="External"/><Relationship Id="rId162" Type="http://schemas.openxmlformats.org/officeDocument/2006/relationships/hyperlink" Target="https://www.sec.gov/Archives/edgar/data/313143/000031314313000085/a10lextleasefeb212000ensat.htm" TargetMode="External"/><Relationship Id="rId163" Type="http://schemas.openxmlformats.org/officeDocument/2006/relationships/hyperlink" Target="https://www.sec.gov/Archives/edgar/data/313143/000031314313000085/a10mbbvaletteragreeaug1420.htm" TargetMode="External"/><Relationship Id="rId164" Type="http://schemas.openxmlformats.org/officeDocument/2006/relationships/hyperlink" Target="https://www.sec.gov/Archives/edgar/data/313143/000031314313000085/a10n11730tijuianaletterfeb.htm" TargetMode="External"/><Relationship Id="rId165" Type="http://schemas.openxmlformats.org/officeDocument/2006/relationships/hyperlink" Target="https://www.sec.gov/Archives/edgar/data/313143/000031314318000020/fy2018exh10r.htm" TargetMode="External"/><Relationship Id="rId166" Type="http://schemas.openxmlformats.org/officeDocument/2006/relationships/hyperlink" Target="https://www.sec.gov/Archives/edgar/data/313143/000031314313000085/a10wcolungaleaseagreedec32.htm" TargetMode="External"/><Relationship Id="rId167" Type="http://schemas.openxmlformats.org/officeDocument/2006/relationships/hyperlink" Target="https://www.sec.gov/Archives/edgar/data/313143/000031314313000085/a10xcolungaassignleasedec2.htm" TargetMode="External"/><Relationship Id="rId169" Type="http://schemas.openxmlformats.org/officeDocument/2006/relationships/hyperlink" Target="https://www.sec.gov/Archives/edgar/data/313143/000031314318000020/fy2018exh10u.htm" TargetMode="External"/><Relationship Id="rId170" Type="http://schemas.openxmlformats.org/officeDocument/2006/relationships/hyperlink" Target="https://www.sec.gov/Archives/edgar/data/313143/000031314313000085/a10ycolungasubleasedec32011.htm" TargetMode="External"/><Relationship Id="rId171" Type="http://schemas.openxmlformats.org/officeDocument/2006/relationships/hyperlink" Target="https://www.sec.gov/Archives/edgar/data/313143/000031314313000085/a10zcolungasubleasefeb2320.htm" TargetMode="External"/><Relationship Id="rId172" Type="http://schemas.openxmlformats.org/officeDocument/2006/relationships/hyperlink" Target="https://www.sec.gov/Archives/edgar/data/313143/000031314314000097/haeq1june2015exhibit10dpen.htm" TargetMode="External"/><Relationship Id="rId173" Type="http://schemas.openxmlformats.org/officeDocument/2006/relationships/hyperlink" Target="https://www.sec.gov/Archives/edgar/data/0001520325/000119312521001047/d833938dex1023.htm" TargetMode="External"/><Relationship Id="rId174" Type="http://schemas.openxmlformats.org/officeDocument/2006/relationships/hyperlink" Target="https://www.sec.gov/Archives/edgar/data/313143/000031314318000040/creditagreement.htm" TargetMode="External"/><Relationship Id="rId175" Type="http://schemas.openxmlformats.org/officeDocument/2006/relationships/hyperlink" Target="https://www.sec.gov/Archives/edgar/data/313143/000110465921030056/tm218226d1_ex10-1.htm" TargetMode="External"/><Relationship Id="rId176" Type="http://schemas.openxmlformats.org/officeDocument/2006/relationships/hyperlink" Target="https://www.sec.gov/Archives/edgar/data/313143/000110465921032760/tm218226d4_ex10-1.htm" TargetMode="External"/><Relationship Id="rId177" Type="http://schemas.openxmlformats.org/officeDocument/2006/relationships/hyperlink" Target="https://www.sec.gov/Archives/edgar/data/313143/000110465921037152/tm219747d1_ex10-1.htm" TargetMode="External"/><Relationship Id="rId178" Type="http://schemas.openxmlformats.org/officeDocument/2006/relationships/hyperlink" Target="https://www.sec.gov/Archives/edgar/data/313143/000031314321000010/ex104-agreementandplanof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2022-05-25T05:25:58Z</dcterms:created>
  <dcterms:modified xsi:type="dcterms:W3CDTF">2022-05-25T05:25:58Z</dcterms:modified>
</cp:coreProperties>
</file>