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54" w:lineRule="exact"/>
        <w:rPr>
          <w:sz w:val="24"/>
          <w:szCs w:val="24"/>
          <w:color w:val="auto"/>
        </w:rPr>
      </w:pPr>
    </w:p>
    <w:p>
      <w:pPr>
        <w:ind w:right="3160" w:firstLine="6"/>
        <w:spacing w:after="0" w:line="286" w:lineRule="auto"/>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March 30, 2024</w:t>
      </w:r>
    </w:p>
    <w:p>
      <w:pPr>
        <w:spacing w:after="0" w:line="16" w:lineRule="exact"/>
        <w:rPr>
          <w:sz w:val="24"/>
          <w:szCs w:val="24"/>
          <w:color w:val="auto"/>
        </w:rPr>
      </w:pPr>
    </w:p>
    <w:p>
      <w:pPr>
        <w:ind w:right="2840" w:firstLine="6"/>
        <w:spacing w:after="0" w:line="257" w:lineRule="auto"/>
        <w:tabs>
          <w:tab w:leader="none" w:pos="30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001-14041</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HAEMONETICS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20" w:type="dxa"/>
            <w:vAlign w:val="bottom"/>
            <w:gridSpan w:val="2"/>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w w:val="99"/>
              </w:rPr>
              <w:t>Massachusetts</w:t>
            </w:r>
          </w:p>
        </w:tc>
        <w:tc>
          <w:tcPr>
            <w:tcW w:w="1780" w:type="dxa"/>
            <w:vAlign w:val="bottom"/>
          </w:tcPr>
          <w:p>
            <w:pPr>
              <w:spacing w:after="0"/>
              <w:rPr>
                <w:sz w:val="18"/>
                <w:szCs w:val="18"/>
                <w:color w:val="auto"/>
              </w:rPr>
            </w:pPr>
          </w:p>
        </w:tc>
        <w:tc>
          <w:tcPr>
            <w:tcW w:w="4920" w:type="dxa"/>
            <w:vAlign w:val="bottom"/>
            <w:gridSpan w:val="2"/>
          </w:tcPr>
          <w:p>
            <w:pPr>
              <w:jc w:val="right"/>
              <w:ind w:right="3186"/>
              <w:spacing w:after="0"/>
              <w:rPr>
                <w:sz w:val="20"/>
                <w:szCs w:val="20"/>
                <w:color w:val="auto"/>
              </w:rPr>
            </w:pPr>
            <w:r>
              <w:rPr>
                <w:rFonts w:ascii="Times New Roman" w:cs="Times New Roman" w:eastAsia="Times New Roman" w:hAnsi="Times New Roman"/>
                <w:sz w:val="16"/>
                <w:szCs w:val="16"/>
                <w:b w:val="1"/>
                <w:bCs w:val="1"/>
                <w:color w:val="auto"/>
              </w:rPr>
              <w:t>04-2882273</w:t>
            </w:r>
          </w:p>
        </w:tc>
      </w:tr>
      <w:tr>
        <w:trPr>
          <w:trHeight w:val="193"/>
        </w:trPr>
        <w:tc>
          <w:tcPr>
            <w:tcW w:w="452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1780" w:type="dxa"/>
            <w:vAlign w:val="bottom"/>
          </w:tcPr>
          <w:p>
            <w:pPr>
              <w:spacing w:after="0"/>
              <w:rPr>
                <w:sz w:val="16"/>
                <w:szCs w:val="16"/>
                <w:color w:val="auto"/>
              </w:rPr>
            </w:pPr>
          </w:p>
        </w:tc>
        <w:tc>
          <w:tcPr>
            <w:tcW w:w="4920" w:type="dxa"/>
            <w:vAlign w:val="bottom"/>
            <w:gridSpan w:val="2"/>
          </w:tcPr>
          <w:p>
            <w:pPr>
              <w:jc w:val="center"/>
              <w:ind w:right="2306"/>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258"/>
        </w:trPr>
        <w:tc>
          <w:tcPr>
            <w:tcW w:w="4520" w:type="dxa"/>
            <w:vAlign w:val="bottom"/>
            <w:gridSpan w:val="2"/>
          </w:tcPr>
          <w:p>
            <w:pPr>
              <w:jc w:val="center"/>
              <w:ind w:left="44"/>
              <w:spacing w:after="0"/>
              <w:rPr>
                <w:sz w:val="20"/>
                <w:szCs w:val="20"/>
                <w:color w:val="auto"/>
              </w:rPr>
            </w:pPr>
            <w:r>
              <w:rPr>
                <w:rFonts w:ascii="Times New Roman" w:cs="Times New Roman" w:eastAsia="Times New Roman" w:hAnsi="Times New Roman"/>
                <w:sz w:val="16"/>
                <w:szCs w:val="16"/>
                <w:b w:val="1"/>
                <w:bCs w:val="1"/>
                <w:color w:val="auto"/>
              </w:rPr>
              <w:t>125 Summer Street,</w:t>
            </w:r>
          </w:p>
        </w:tc>
        <w:tc>
          <w:tcPr>
            <w:tcW w:w="1780" w:type="dxa"/>
            <w:vAlign w:val="bottom"/>
          </w:tcPr>
          <w:p>
            <w:pPr>
              <w:spacing w:after="0"/>
              <w:rPr>
                <w:sz w:val="22"/>
                <w:szCs w:val="22"/>
                <w:color w:val="auto"/>
              </w:rPr>
            </w:pPr>
          </w:p>
        </w:tc>
        <w:tc>
          <w:tcPr>
            <w:tcW w:w="4920" w:type="dxa"/>
            <w:vAlign w:val="bottom"/>
            <w:gridSpan w:val="2"/>
          </w:tcPr>
          <w:p>
            <w:pPr>
              <w:jc w:val="right"/>
              <w:ind w:right="3366"/>
              <w:spacing w:after="0"/>
              <w:rPr>
                <w:sz w:val="20"/>
                <w:szCs w:val="20"/>
                <w:color w:val="auto"/>
              </w:rPr>
            </w:pPr>
            <w:r>
              <w:rPr>
                <w:rFonts w:ascii="Times New Roman" w:cs="Times New Roman" w:eastAsia="Times New Roman" w:hAnsi="Times New Roman"/>
                <w:sz w:val="16"/>
                <w:szCs w:val="16"/>
                <w:b w:val="1"/>
                <w:bCs w:val="1"/>
                <w:color w:val="auto"/>
              </w:rPr>
              <w:t>02110</w:t>
            </w:r>
          </w:p>
        </w:tc>
      </w:tr>
      <w:tr>
        <w:trPr>
          <w:trHeight w:val="206"/>
        </w:trPr>
        <w:tc>
          <w:tcPr>
            <w:tcW w:w="452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Boston, Massachusetts</w:t>
            </w: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80" w:type="dxa"/>
            <w:vAlign w:val="bottom"/>
          </w:tcPr>
          <w:p>
            <w:pPr>
              <w:jc w:val="center"/>
              <w:ind w:right="2606"/>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186"/>
        </w:trPr>
        <w:tc>
          <w:tcPr>
            <w:tcW w:w="452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r>
      <w:tr>
        <w:trPr>
          <w:trHeight w:val="225"/>
        </w:trPr>
        <w:tc>
          <w:tcPr>
            <w:tcW w:w="4180" w:type="dxa"/>
            <w:vAlign w:val="bottom"/>
          </w:tcPr>
          <w:p>
            <w:pPr>
              <w:jc w:val="right"/>
              <w:ind w:right="1344"/>
              <w:spacing w:after="0"/>
              <w:rPr>
                <w:sz w:val="20"/>
                <w:szCs w:val="20"/>
                <w:color w:val="auto"/>
              </w:rPr>
            </w:pPr>
            <w:r>
              <w:rPr>
                <w:rFonts w:ascii="Times New Roman" w:cs="Times New Roman" w:eastAsia="Times New Roman" w:hAnsi="Times New Roman"/>
                <w:sz w:val="16"/>
                <w:szCs w:val="16"/>
                <w:b w:val="1"/>
                <w:bCs w:val="1"/>
                <w:color w:val="auto"/>
              </w:rPr>
              <w:t>(781) 848-7100</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186"/>
        </w:trPr>
        <w:tc>
          <w:tcPr>
            <w:tcW w:w="452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r>
      <w:tr>
        <w:trPr>
          <w:trHeight w:val="311"/>
        </w:trPr>
        <w:tc>
          <w:tcPr>
            <w:tcW w:w="11220" w:type="dxa"/>
            <w:vAlign w:val="bottom"/>
            <w:gridSpan w:val="5"/>
          </w:tcPr>
          <w:p>
            <w:pPr>
              <w:ind w:left="36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33"/>
        </w:trPr>
        <w:tc>
          <w:tcPr>
            <w:tcW w:w="4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4"/>
        </w:trPr>
        <w:tc>
          <w:tcPr>
            <w:tcW w:w="4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0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$.01 par value per share</w:t>
            </w:r>
          </w:p>
        </w:tc>
        <w:tc>
          <w:tcPr>
            <w:tcW w:w="3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HAE</w:t>
            </w:r>
          </w:p>
        </w:tc>
        <w:tc>
          <w:tcPr>
            <w:tcW w:w="340" w:type="dxa"/>
            <w:vAlign w:val="bottom"/>
          </w:tcPr>
          <w:p>
            <w:pPr>
              <w:spacing w:after="0"/>
              <w:rPr>
                <w:sz w:val="17"/>
                <w:szCs w:val="17"/>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6" w:lineRule="exact"/>
        <w:rPr>
          <w:sz w:val="24"/>
          <w:szCs w:val="24"/>
          <w:color w:val="auto"/>
        </w:rPr>
      </w:pPr>
    </w:p>
    <w:p>
      <w:pPr>
        <w:ind w:right="3340" w:firstLine="318"/>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84" w:lineRule="exact"/>
        <w:tabs>
          <w:tab w:leader="none" w:pos="8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not required to file reports pursuant to Section 13 or 15(d)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 w:lineRule="exact"/>
        <w:rPr>
          <w:sz w:val="24"/>
          <w:szCs w:val="24"/>
          <w:color w:val="auto"/>
        </w:rPr>
      </w:pPr>
    </w:p>
    <w:p>
      <w:pPr>
        <w:ind w:right="300" w:firstLine="318"/>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300" w:firstLine="318"/>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18"/>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3" w:right="339" w:bottom="1440" w:gutter="0" w:footer="0" w:header="0"/>
        </w:sectPr>
      </w:pPr>
    </w:p>
    <w:p>
      <w:pPr>
        <w:spacing w:after="0" w:line="31" w:lineRule="exact"/>
        <w:rPr>
          <w:sz w:val="24"/>
          <w:szCs w:val="24"/>
          <w:color w:val="auto"/>
        </w:rPr>
      </w:pPr>
    </w:p>
    <w:p>
      <w:pPr>
        <w:ind w:left="20" w:right="20"/>
        <w:spacing w:after="0" w:line="307"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80"/>
        <w:spacing w:after="0" w:line="15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8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40"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14" w:lineRule="exact"/>
        <w:rPr>
          <w:sz w:val="24"/>
          <w:szCs w:val="24"/>
          <w:color w:val="auto"/>
        </w:rPr>
      </w:pPr>
    </w:p>
    <w:p>
      <w:pPr>
        <w:sectPr>
          <w:pgSz w:w="11900" w:h="16838" w:orient="portrait"/>
          <w:cols w:equalWidth="0" w:num="3">
            <w:col w:w="1560" w:space="720"/>
            <w:col w:w="3640" w:space="720"/>
            <w:col w:w="4600"/>
          </w:cols>
          <w:pgMar w:left="320" w:top="1013" w:right="339" w:bottom="1440" w:gutter="0" w:footer="0" w:header="0"/>
          <w:type w:val="continuous"/>
        </w:sectPr>
      </w:pPr>
    </w:p>
    <w:p>
      <w:pPr>
        <w:ind w:right="180"/>
        <w:spacing w:after="0" w:line="20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400"/>
        <w:spacing w:after="0" w:line="207" w:lineRule="exact"/>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 xml:space="preserve">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ind w:left="320"/>
        <w:spacing w:after="0"/>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w:t>
      </w:r>
    </w:p>
    <w:p>
      <w:pPr>
        <w:spacing w:after="0" w:line="6" w:lineRule="exact"/>
        <w:rPr>
          <w:sz w:val="24"/>
          <w:szCs w:val="24"/>
          <w:color w:val="auto"/>
        </w:rPr>
      </w:pPr>
    </w:p>
    <w:p>
      <w:pPr>
        <w:spacing w:after="0" w:line="184" w:lineRule="exact"/>
        <w:tabs>
          <w:tab w:leader="none" w:pos="4720" w:val="left"/>
        </w:tabs>
        <w:rPr>
          <w:sz w:val="20"/>
          <w:szCs w:val="20"/>
          <w:color w:val="auto"/>
        </w:rPr>
      </w:pPr>
      <w:r>
        <w:rPr>
          <w:rFonts w:ascii="Times New Roman" w:cs="Times New Roman" w:eastAsia="Times New Roman" w:hAnsi="Times New Roman"/>
          <w:sz w:val="16"/>
          <w:szCs w:val="16"/>
          <w:color w:val="auto"/>
        </w:rPr>
        <w:t>correction of an error to previously issued financial statements.</w:t>
      </w:r>
      <w:r>
        <w:rPr>
          <w:sz w:val="20"/>
          <w:szCs w:val="20"/>
          <w:color w:val="auto"/>
        </w:rPr>
        <w:tab/>
      </w:r>
      <w:r>
        <w:rPr>
          <w:rFonts w:ascii="MS PGothic" w:cs="MS PGothic" w:eastAsia="MS PGothic" w:hAnsi="MS PGothic"/>
          <w:sz w:val="14"/>
          <w:szCs w:val="14"/>
          <w:color w:val="auto"/>
        </w:rPr>
        <w:t>☐</w:t>
      </w:r>
    </w:p>
    <w:p>
      <w:pPr>
        <w:spacing w:after="0" w:line="24" w:lineRule="exact"/>
        <w:rPr>
          <w:sz w:val="24"/>
          <w:szCs w:val="24"/>
          <w:color w:val="auto"/>
        </w:rPr>
      </w:pPr>
    </w:p>
    <w:p>
      <w:pPr>
        <w:ind w:right="200" w:firstLine="318"/>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84" w:lineRule="exact"/>
        <w:tabs>
          <w:tab w:leader="none" w:pos="83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 w:lineRule="exact"/>
        <w:rPr>
          <w:sz w:val="24"/>
          <w:szCs w:val="24"/>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(assuming for these purposes that all executive officers and directors are “affiliates” of the registrant) as of September 30, 2023, the last business day of the registrant’s most recently completed second fiscal quarter was $4,511,044,826 (based on the closing sale price of the registrant’s common stock on that date as reported on the New York Stock Exchange).</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The number of shares of $0.01 par value common stock outstanding as of May 15, 2024 was 50,841,442.</w:t>
      </w:r>
    </w:p>
    <w:p>
      <w:pPr>
        <w:spacing w:after="0" w:line="3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3"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Portions of the definitive proxy statement for our Annual Meeting of Shareholders to be filed with the Securities and Exchange Commission within 120 days after the close of our fiscal year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547370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1"/>
        </w:trPr>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0"/>
        </w:trPr>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3"/>
              </w:rPr>
              <w:t>Business</w:t>
            </w:r>
          </w:p>
        </w:tc>
        <w:tc>
          <w:tcPr>
            <w:tcW w:w="8700" w:type="dxa"/>
            <w:vAlign w:val="bottom"/>
            <w:gridSpan w:val="19"/>
          </w:tcPr>
          <w:p>
            <w:pPr>
              <w:spacing w:after="0"/>
              <w:rPr>
                <w:sz w:val="16"/>
                <w:szCs w:val="16"/>
                <w:color w:val="auto"/>
              </w:rPr>
            </w:pPr>
          </w:p>
        </w:tc>
        <w:tc>
          <w:tcPr>
            <w:tcW w:w="800" w:type="dxa"/>
            <w:vAlign w:val="bottom"/>
            <w:tcBorders>
              <w:top w:val="single" w:sz="8" w:color="auto"/>
            </w:tcBorders>
            <w:gridSpan w:val="5"/>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4"/>
              </w:rPr>
              <w:t>Risk Factors</w:t>
            </w:r>
          </w:p>
        </w:tc>
        <w:tc>
          <w:tcPr>
            <w:tcW w:w="8440" w:type="dxa"/>
            <w:vAlign w:val="bottom"/>
            <w:gridSpan w:val="17"/>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7320" w:type="dxa"/>
            <w:vAlign w:val="bottom"/>
            <w:gridSpan w:val="12"/>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1C.</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98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8340" w:type="dxa"/>
            <w:vAlign w:val="bottom"/>
            <w:gridSpan w:val="16"/>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8020" w:type="dxa"/>
            <w:vAlign w:val="bottom"/>
            <w:gridSpan w:val="14"/>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Market for the Registrant’s Common Equity, Related Stockholder Matters and Issuer Purchases of Equity Securities</w:t>
            </w:r>
          </w:p>
        </w:tc>
        <w:tc>
          <w:tcPr>
            <w:tcW w:w="11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4220" w:type="dxa"/>
            <w:vAlign w:val="bottom"/>
            <w:tcBorders>
              <w:top w:val="single" w:sz="8" w:color="0000FF"/>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3000" w:type="dxa"/>
            <w:vAlign w:val="bottom"/>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6060" w:type="dxa"/>
            <w:vAlign w:val="bottom"/>
            <w:gridSpan w:val="9"/>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720" w:type="dxa"/>
            <w:vAlign w:val="bottom"/>
            <w:tcBorders>
              <w:top w:val="single" w:sz="8" w:color="0000FF"/>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8"/>
              </w:rPr>
              <w:t>Control and Procedures</w:t>
            </w:r>
          </w:p>
        </w:tc>
        <w:tc>
          <w:tcPr>
            <w:tcW w:w="4620" w:type="dxa"/>
            <w:vAlign w:val="bottom"/>
            <w:tcBorders>
              <w:top w:val="single" w:sz="8" w:color="0000FF"/>
            </w:tcBorders>
            <w:gridSpan w:val="10"/>
          </w:tcPr>
          <w:p>
            <w:pPr>
              <w:spacing w:after="0"/>
              <w:rPr>
                <w:sz w:val="17"/>
                <w:szCs w:val="17"/>
                <w:color w:val="auto"/>
              </w:rPr>
            </w:pPr>
          </w:p>
        </w:tc>
        <w:tc>
          <w:tcPr>
            <w:tcW w:w="2980" w:type="dxa"/>
            <w:vAlign w:val="bottom"/>
            <w:gridSpan w:val="3"/>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128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8040" w:type="dxa"/>
            <w:vAlign w:val="bottom"/>
            <w:gridSpan w:val="15"/>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48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4520" w:type="dxa"/>
            <w:vAlign w:val="bottom"/>
            <w:gridSpan w:val="7"/>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10.</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Directors and Executive Officers of the Registrant and Corporate Governance</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720" w:type="dxa"/>
            <w:vAlign w:val="bottom"/>
            <w:tcBorders>
              <w:right w:val="single" w:sz="8" w:color="0000FF"/>
            </w:tcBorders>
            <w:gridSpan w:val="7"/>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54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3840" w:type="dxa"/>
            <w:vAlign w:val="bottom"/>
            <w:gridSpan w:val="5"/>
          </w:tcPr>
          <w:p>
            <w:pPr>
              <w:spacing w:after="0"/>
              <w:rPr>
                <w:sz w:val="17"/>
                <w:szCs w:val="17"/>
                <w:color w:val="auto"/>
              </w:rPr>
            </w:pP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71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180" w:type="dxa"/>
            <w:vAlign w:val="bottom"/>
            <w:gridSpan w:val="2"/>
          </w:tcPr>
          <w:p>
            <w:pPr>
              <w:spacing w:after="0"/>
              <w:rPr>
                <w:sz w:val="17"/>
                <w:szCs w:val="17"/>
                <w:color w:val="auto"/>
              </w:rPr>
            </w:pP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80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80" w:type="dxa"/>
            <w:vAlign w:val="bottom"/>
            <w:gridSpan w:val="10"/>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80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15.</w:t>
            </w:r>
          </w:p>
        </w:tc>
        <w:tc>
          <w:tcPr>
            <w:tcW w:w="932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101</w:t>
            </w:r>
          </w:p>
        </w:tc>
        <w:tc>
          <w:tcPr>
            <w:tcW w:w="40" w:type="dxa"/>
            <w:vAlign w:val="bottom"/>
          </w:tcPr>
          <w:p>
            <w:pPr>
              <w:spacing w:after="0"/>
              <w:rPr>
                <w:sz w:val="17"/>
                <w:szCs w:val="17"/>
                <w:color w:val="auto"/>
              </w:rPr>
            </w:pPr>
          </w:p>
        </w:tc>
      </w:tr>
      <w:tr>
        <w:trPr>
          <w:trHeight w:val="1020"/>
        </w:trPr>
        <w:tc>
          <w:tcPr>
            <w:tcW w:w="10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Company Overview</w:t>
      </w:r>
    </w:p>
    <w:p>
      <w:pPr>
        <w:spacing w:after="0" w:line="24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a suite of innovative medical technology solutions that improve the quality, effectiveness and efficiency of care. We challenge ourselves to think big and make new possibilities a reality, so that our customers can make it matter for patients, every single day. Our technology addresses important medical markets: blood and plasma component collection, the surgical suite and hospital transfusion services. When used in this report, the terms “we,” “us,” “our,” “Haemonetics” and the “Company” mean Haemonetics Corporation.</w:t>
      </w:r>
    </w:p>
    <w:p>
      <w:pPr>
        <w:spacing w:after="0" w:line="20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red cells, platelets and whole blood. “Hospital” is comprised of Interventional Technologies, which includes vascular closure devices and sensor-guided technologies, and Blood Management Technologies, which includes devices and methodologies for measuring coagulation characteristics of blood, specialized blood cell processing systems and disposables, surgical blood salvage systems and blood transfusion management software. Financial information concerning these segments is provided in Note 18, </w:t>
      </w:r>
      <w:r>
        <w:rPr>
          <w:rFonts w:ascii="Times New Roman" w:cs="Times New Roman" w:eastAsia="Times New Roman" w:hAnsi="Times New Roman"/>
          <w:sz w:val="18"/>
          <w:szCs w:val="18"/>
          <w:i w:val="1"/>
          <w:iCs w:val="1"/>
          <w:color w:val="auto"/>
        </w:rPr>
        <w:t>Segment and Enterprise-Wide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to the Consolidated Financial Statements in Item 8 of this Annual Report on Form 10-K.</w:t>
      </w:r>
    </w:p>
    <w:p>
      <w:pPr>
        <w:spacing w:after="0" w:line="213" w:lineRule="exact"/>
        <w:rPr>
          <w:sz w:val="20"/>
          <w:szCs w:val="20"/>
          <w:color w:val="auto"/>
        </w:rPr>
      </w:pPr>
    </w:p>
    <w:p>
      <w:pPr>
        <w:jc w:val="both"/>
        <w:ind w:right="440"/>
        <w:spacing w:after="0" w:line="304"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and Products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Lines</w:t>
      </w:r>
    </w:p>
    <w:p>
      <w:pPr>
        <w:spacing w:after="0" w:line="246"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212529"/>
        </w:rPr>
        <w:t>The following describes our principal products in each of our segments. Availability of products may vary from one country or region to another as a result of specific local regulatory approval or clearance requirements. Applicable laws may restrict the sale, distribution or use of these products to, by, or on the order of a licensed healthcare practitioner.</w:t>
      </w:r>
    </w:p>
    <w:p>
      <w:pPr>
        <w:spacing w:after="0" w:line="83"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Plasma</w:t>
      </w:r>
    </w:p>
    <w:p>
      <w:pPr>
        <w:spacing w:after="0" w:line="245" w:lineRule="exact"/>
        <w:rPr>
          <w:rFonts w:ascii="Times New Roman" w:cs="Times New Roman" w:eastAsia="Times New Roman" w:hAnsi="Times New Roman"/>
          <w:sz w:val="18"/>
          <w:szCs w:val="18"/>
          <w:b w:val="1"/>
          <w:bCs w:val="1"/>
          <w:color w:val="auto"/>
        </w:rPr>
      </w:pPr>
    </w:p>
    <w:p>
      <w:pPr>
        <w:ind w:left="640" w:right="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Plasma business offers automated plasma collection systems, donor management software and supporting software solutions that improve the yield, efficiency, quality, safety and overall donor experience at plasma collection centers. We continue to invest in technology that lowers the overall cost to collect plasma while maintaining high standards of quality and safety.</w:t>
      </w:r>
    </w:p>
    <w:p>
      <w:pPr>
        <w:spacing w:after="0" w:line="94" w:lineRule="exact"/>
        <w:rPr>
          <w:rFonts w:ascii="Times New Roman" w:cs="Times New Roman" w:eastAsia="Times New Roman" w:hAnsi="Times New Roman"/>
          <w:sz w:val="18"/>
          <w:szCs w:val="18"/>
          <w:b w:val="1"/>
          <w:bCs w:val="1"/>
          <w:color w:val="auto"/>
        </w:rPr>
      </w:pPr>
    </w:p>
    <w:p>
      <w:pPr>
        <w:ind w:left="6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Plasma Collection Market for Fractionation </w:t>
      </w:r>
      <w:r>
        <w:rPr>
          <w:rFonts w:ascii="Times New Roman" w:cs="Times New Roman" w:eastAsia="Times New Roman" w:hAnsi="Times New Roman"/>
          <w:sz w:val="18"/>
          <w:szCs w:val="18"/>
          <w:color w:val="auto"/>
        </w:rPr>
        <w:t>— Human plasma is collected for two purposes. First, it is used for transfusions in patients,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trauma victims who need to compensate for extreme blood loss. Second, it is processed into pharmaceuticals that aid in the treatment of a broad range of immune system diseases and blood-related disorders.</w:t>
      </w:r>
    </w:p>
    <w:p>
      <w:pPr>
        <w:spacing w:after="0" w:line="200" w:lineRule="exact"/>
        <w:rPr>
          <w:rFonts w:ascii="Times New Roman" w:cs="Times New Roman" w:eastAsia="Times New Roman" w:hAnsi="Times New Roman"/>
          <w:sz w:val="18"/>
          <w:szCs w:val="18"/>
          <w:b w:val="1"/>
          <w:bCs w:val="1"/>
          <w:color w:val="auto"/>
        </w:rPr>
      </w:pPr>
    </w:p>
    <w:p>
      <w:pPr>
        <w:ind w:left="640" w:right="20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that operate their own collection centers and recruit donors specifically for source plasma donation. The markets for transfusion plasma and source plasma have different participants, product requirements and growth profiles. We serve the market for plasma that is processed into pharmaceuticals through our Plasma business, and we serve the market for transfusion plasma through our Blood Center business.</w:t>
      </w:r>
    </w:p>
    <w:p>
      <w:pPr>
        <w:spacing w:after="0" w:line="194" w:lineRule="exact"/>
        <w:rPr>
          <w:rFonts w:ascii="Times New Roman" w:cs="Times New Roman" w:eastAsia="Times New Roman" w:hAnsi="Times New Roman"/>
          <w:sz w:val="18"/>
          <w:szCs w:val="18"/>
          <w:b w:val="1"/>
          <w:bCs w:val="1"/>
          <w:color w:val="auto"/>
        </w:rPr>
      </w:pPr>
    </w:p>
    <w:p>
      <w:pPr>
        <w:ind w:left="640" w:right="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One of the distinguishing features of the source plasma market is the method of collection. There are three primary ways to collect plasma. The first is to collect it from whole blood donations. When whole blood is processed, plasma can be separated at the same time as red cells and platelets and stored for future use. The second is as part of an apheresis procedure that also collects another blood component. These two methods are mainly used by blood centers to collect plasma for transfusions. The third method is a dedicated apheresis procedure that only collects plasma and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returns the other blood components to the donor. This third method is almost exclusively used for source plasma collection.</w:t>
      </w:r>
    </w:p>
    <w:p>
      <w:pPr>
        <w:spacing w:after="0" w:line="244" w:lineRule="exact"/>
        <w:rPr>
          <w:sz w:val="20"/>
          <w:szCs w:val="20"/>
          <w:color w:val="auto"/>
        </w:rPr>
      </w:pPr>
    </w:p>
    <w:p>
      <w:pPr>
        <w:ind w:left="640" w:right="60"/>
        <w:spacing w:after="0" w:line="255" w:lineRule="auto"/>
        <w:rPr>
          <w:sz w:val="20"/>
          <w:szCs w:val="20"/>
          <w:color w:val="auto"/>
        </w:rPr>
      </w:pPr>
      <w:r>
        <w:rPr>
          <w:rFonts w:ascii="Times New Roman" w:cs="Times New Roman" w:eastAsia="Times New Roman" w:hAnsi="Times New Roman"/>
          <w:sz w:val="18"/>
          <w:szCs w:val="18"/>
          <w:color w:val="auto"/>
        </w:rPr>
        <w:t>Our Plasma business unit focuses on the collection of source plasma for pharmaceutical manufacturers using apheresis devices that only collect plasma and software solutions that support the efficient operation of dedicated source plasma collection centers. Our Blood Center business supports the collection of plasma for blood collectors, such as the American Red Cross, using both whole blood collections sets and multi-component apheresis collection devices.</w:t>
      </w:r>
    </w:p>
    <w:p>
      <w:pPr>
        <w:spacing w:after="0" w:line="20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7"/>
          <w:szCs w:val="17"/>
          <w:color w:val="auto"/>
        </w:rPr>
        <w:t>Over the last 20 years, the collection of source plasma has increasingly been performed by vertically integrated biopharmaceutical companies such as CSL Limited (together with its affiliates, “CSL”), Grifols S.A., Octapharma AG and Takeda’s BioLife Plasma subsidiary. With their global operations and management expertise, these companies are focused on efficient plasma supply chain management and leveraging information technology to manage operations from the point of plasma donation through fractionation to the production of the final pharmaceutical product.</w:t>
      </w:r>
    </w:p>
    <w:p>
      <w:pPr>
        <w:spacing w:after="0" w:line="194" w:lineRule="exact"/>
        <w:rPr>
          <w:sz w:val="20"/>
          <w:szCs w:val="20"/>
          <w:color w:val="auto"/>
        </w:rPr>
      </w:pPr>
    </w:p>
    <w:p>
      <w:pPr>
        <w:ind w:left="640" w:right="20"/>
        <w:spacing w:after="0" w:line="266" w:lineRule="auto"/>
        <w:rPr>
          <w:sz w:val="20"/>
          <w:szCs w:val="20"/>
          <w:color w:val="auto"/>
        </w:rPr>
      </w:pPr>
      <w:r>
        <w:rPr>
          <w:rFonts w:ascii="Times New Roman" w:cs="Times New Roman" w:eastAsia="Times New Roman" w:hAnsi="Times New Roman"/>
          <w:sz w:val="17"/>
          <w:szCs w:val="17"/>
          <w:color w:val="auto"/>
        </w:rPr>
        <w:t>Demand for source plasma has continued to grow because of an expanding end user market for plasma-derived biopharmaceuticals. In particular, therapies that require a significant quantity of plasma to create have fueled an increase in the number of donations and dedicated source plasma collection centers. A significant portion of this collection growth has occurred in the United States with U.S. produced plasma now meeting an increasing percentage of plasma volume demand worldwide. U.S. regulations are more favorable relative to other markets for plasma collectors. The frequency an individual may donate, the volume of plasma that may be donated each time and the ability to remunerate donors are all more favorable to efficient operations and output, leading to approximately two-thirds of worldwide source plasma collections occurring in the U.S. Plasma collectors have long sought revisions to plasma collection regulations outside of the U.S. to allow for greater frequency, volume per donation, and remuneration, but updates have been limited and no significant short-term changes are foreseen in the prevalence of U.S. collections.</w:t>
      </w:r>
    </w:p>
    <w:p>
      <w:pPr>
        <w:spacing w:after="0" w:line="78" w:lineRule="exact"/>
        <w:rPr>
          <w:sz w:val="20"/>
          <w:szCs w:val="20"/>
          <w:color w:val="auto"/>
        </w:rPr>
      </w:pPr>
    </w:p>
    <w:p>
      <w:pPr>
        <w:ind w:left="640"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Plasma Products </w:t>
      </w:r>
      <w:r>
        <w:rPr>
          <w:rFonts w:ascii="Times New Roman" w:cs="Times New Roman" w:eastAsia="Times New Roman" w:hAnsi="Times New Roman"/>
          <w:sz w:val="18"/>
          <w:szCs w:val="18"/>
          <w:color w:val="auto"/>
        </w:rPr>
        <w:t>— Our automated plasma collection devices, related disposables, software and services are designed to support multiple facets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plasma collector operations. We have a long-standing commitment to understanding our customers’ collection and manufacturing processes. As a result, we aim to design equipment that is durable, dependable, and easy to use and to provide comprehensive training and support to help our customers optimize their plasma collections.</w:t>
      </w:r>
    </w:p>
    <w:p>
      <w:pPr>
        <w:spacing w:after="0" w:line="207" w:lineRule="exact"/>
        <w:rPr>
          <w:sz w:val="20"/>
          <w:szCs w:val="20"/>
          <w:color w:val="auto"/>
        </w:rPr>
      </w:pPr>
    </w:p>
    <w:p>
      <w:pPr>
        <w:ind w:left="640"/>
        <w:spacing w:after="0" w:line="235" w:lineRule="auto"/>
        <w:rPr>
          <w:sz w:val="20"/>
          <w:szCs w:val="20"/>
          <w:color w:val="auto"/>
        </w:rPr>
      </w:pPr>
      <w:r>
        <w:rPr>
          <w:rFonts w:ascii="Times New Roman" w:cs="Times New Roman" w:eastAsia="Times New Roman" w:hAnsi="Times New Roman"/>
          <w:sz w:val="18"/>
          <w:szCs w:val="18"/>
          <w:color w:val="auto"/>
        </w:rPr>
        <w:t>Today, nearly all source plasma collections worldwide are performed using automated collection technology at dedicated facilities. We offer multiple products to support these dedicated source plasma operations, including our NexSys PCS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PCS2</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plasmapheresis equipment, related disposables and solutions. We also offer a portfolio of integrated information technology platforms for plasma customers to manage their donors, operations and supply chain. Our software products, including our latest NexLynk DMS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donor management system and Donor360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ensure high quality and compliance process support, react quickly to business changes and implement opportunities to reduce costs.</w:t>
      </w:r>
    </w:p>
    <w:p>
      <w:pPr>
        <w:spacing w:after="0" w:line="223" w:lineRule="exact"/>
        <w:rPr>
          <w:sz w:val="20"/>
          <w:szCs w:val="20"/>
          <w:color w:val="auto"/>
        </w:rPr>
      </w:pPr>
    </w:p>
    <w:p>
      <w:pPr>
        <w:ind w:left="640" w:right="40"/>
        <w:spacing w:after="0" w:line="271" w:lineRule="auto"/>
        <w:rPr>
          <w:sz w:val="20"/>
          <w:szCs w:val="20"/>
          <w:color w:val="auto"/>
        </w:rPr>
      </w:pPr>
      <w:r>
        <w:rPr>
          <w:rFonts w:ascii="Times New Roman" w:cs="Times New Roman" w:eastAsia="Times New Roman" w:hAnsi="Times New Roman"/>
          <w:sz w:val="17"/>
          <w:szCs w:val="17"/>
          <w:color w:val="auto"/>
        </w:rPr>
        <w:t>With our PCS brand, we have provided an automated platform dedicated to the collection of plasma for over 30 years. In fiscal 2018, we began transitioning customers from our PCS2 equipment to NexSys PCS. NexSys PCS is designed to enable higher plasma yield collections, improve productivity in our customers’ centers, enhance the overall donor experience and provide safe and reliable collections that will become life-changing medicines for patients. NexSys PCS includes bi-directional connectivity to the NexLynk DMS donor management system to improve operational efficiency within plasma centers, through automated programming of donation procedures and automated data capture of procedure data.</w:t>
      </w:r>
    </w:p>
    <w:p>
      <w:pPr>
        <w:spacing w:after="0" w:line="182" w:lineRule="exact"/>
        <w:rPr>
          <w:sz w:val="20"/>
          <w:szCs w:val="20"/>
          <w:color w:val="auto"/>
        </w:rPr>
      </w:pPr>
    </w:p>
    <w:p>
      <w:pPr>
        <w:ind w:left="640" w:right="120"/>
        <w:spacing w:after="0" w:line="221" w:lineRule="auto"/>
        <w:rPr>
          <w:sz w:val="20"/>
          <w:szCs w:val="20"/>
          <w:color w:val="auto"/>
        </w:rPr>
      </w:pPr>
      <w:r>
        <w:rPr>
          <w:rFonts w:ascii="Times New Roman" w:cs="Times New Roman" w:eastAsia="Times New Roman" w:hAnsi="Times New Roman"/>
          <w:sz w:val="18"/>
          <w:szCs w:val="18"/>
          <w:color w:val="auto"/>
        </w:rPr>
        <w:t>Our NexSys PCS with YES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is a yield-enhancing solution that enables increases in plasma yield per collection by an additional 18-26 mL per donation, on average. In fiscal 2021, we received U.S. Food and Drug Administration (“FDA”) 510(k) clearance for our NexSys PCS with proprietary Persona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NexSys PCS with Persona Technology uses a percent plasma nomogram that customizes plasma collection based on an individual donor’s body composition, and enables a 9% to 12% average increase in plasma volume per donation, based on our PCS2 baseline device, software configuration and donor population. The new, proprietary Persona Technology strengthens the NexSys PCS value proposition and reinforces our commitment to supporting our Plasma customers. In addition, during fiscal 2024, we received FDA clearance for advancements to NexSys PCS including a new plasma</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right="520"/>
        <w:spacing w:after="0" w:line="225" w:lineRule="auto"/>
        <w:rPr>
          <w:sz w:val="20"/>
          <w:szCs w:val="20"/>
          <w:color w:val="auto"/>
        </w:rPr>
      </w:pPr>
      <w:r>
        <w:rPr>
          <w:rFonts w:ascii="Times New Roman" w:cs="Times New Roman" w:eastAsia="Times New Roman" w:hAnsi="Times New Roman"/>
          <w:sz w:val="18"/>
          <w:szCs w:val="18"/>
          <w:color w:val="auto"/>
        </w:rPr>
        <w:t>collection bowl and new Express Plus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engineered to reduce procedure time. We expect to pursue further regulatory clearances for additional enhancements to the overall product offering.</w:t>
      </w:r>
    </w:p>
    <w:p>
      <w:pPr>
        <w:spacing w:after="0" w:line="101" w:lineRule="exact"/>
        <w:rPr>
          <w:sz w:val="20"/>
          <w:szCs w:val="20"/>
          <w:color w:val="auto"/>
        </w:rPr>
      </w:pPr>
    </w:p>
    <w:p>
      <w:pPr>
        <w:ind w:left="640" w:right="600"/>
        <w:spacing w:after="0" w:line="274" w:lineRule="auto"/>
        <w:rPr>
          <w:sz w:val="20"/>
          <w:szCs w:val="20"/>
          <w:color w:val="auto"/>
        </w:rPr>
      </w:pPr>
      <w:r>
        <w:rPr>
          <w:rFonts w:ascii="Times New Roman" w:cs="Times New Roman" w:eastAsia="Times New Roman" w:hAnsi="Times New Roman"/>
          <w:sz w:val="18"/>
          <w:szCs w:val="18"/>
          <w:color w:val="auto"/>
        </w:rPr>
        <w:t>We have entered into agreements with all U.S. customers to adopt NexSys PCS somewhere in their global collection network and we provide ongoing support of NexSys PCS devices and NexLynk DMS donor management software for these Plasma customers.</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Plasma business unit represented 43.2%, 42.5% and 35.4% of our total revenue in fiscal 2024, 2023 and 2022, respectively.</w:t>
      </w:r>
    </w:p>
    <w:p>
      <w:pPr>
        <w:spacing w:after="0" w:line="122"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Blood Center</w:t>
      </w:r>
    </w:p>
    <w:p>
      <w:pPr>
        <w:spacing w:after="0" w:line="245" w:lineRule="exact"/>
        <w:rPr>
          <w:rFonts w:ascii="Times New Roman" w:cs="Times New Roman" w:eastAsia="Times New Roman" w:hAnsi="Times New Roman"/>
          <w:sz w:val="18"/>
          <w:szCs w:val="18"/>
          <w:b w:val="1"/>
          <w:bCs w:val="1"/>
          <w:color w:val="auto"/>
        </w:rPr>
      </w:pPr>
    </w:p>
    <w:p>
      <w:pPr>
        <w:ind w:left="640" w:righ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Blood Center business offers a range of solutions that improve donor collection centers’ ability to collect and separate blood components for transfusions. We continue to look for solutions to help our customers improve donor safety, enhance yields and control costs through the existing product portfolio. Our products and technologies help donor collection centers optimize blood collection capabilities and donor processing management.</w:t>
      </w:r>
    </w:p>
    <w:p>
      <w:pPr>
        <w:spacing w:after="0" w:line="83" w:lineRule="exact"/>
        <w:rPr>
          <w:rFonts w:ascii="Times New Roman" w:cs="Times New Roman" w:eastAsia="Times New Roman" w:hAnsi="Times New Roman"/>
          <w:sz w:val="18"/>
          <w:szCs w:val="18"/>
          <w:b w:val="1"/>
          <w:bCs w:val="1"/>
          <w:color w:val="auto"/>
        </w:rPr>
      </w:pPr>
    </w:p>
    <w:p>
      <w:pPr>
        <w:ind w:left="64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i w:val="1"/>
          <w:iCs w:val="1"/>
          <w:color w:val="auto"/>
        </w:rPr>
        <w:t xml:space="preserve">Blood Center Market </w:t>
      </w:r>
      <w:r>
        <w:rPr>
          <w:rFonts w:ascii="Times New Roman" w:cs="Times New Roman" w:eastAsia="Times New Roman" w:hAnsi="Times New Roman"/>
          <w:sz w:val="17"/>
          <w:szCs w:val="17"/>
          <w:color w:val="auto"/>
        </w:rPr>
        <w:t>— There are over 100 million blood donations around the world each year that produce blood products for transfusion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spacing w:after="0" w:line="75" w:lineRule="exact"/>
        <w:rPr>
          <w:rFonts w:ascii="Times New Roman" w:cs="Times New Roman" w:eastAsia="Times New Roman" w:hAnsi="Times New Roman"/>
          <w:sz w:val="18"/>
          <w:szCs w:val="18"/>
          <w:b w:val="1"/>
          <w:bCs w:val="1"/>
          <w:color w:val="auto"/>
        </w:rPr>
      </w:pPr>
    </w:p>
    <w:p>
      <w:pPr>
        <w:ind w:left="64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real-time while a person is donating. In this method, only the specific target blood component is collected and the remaining components are returned to the blood donor.</w:t>
      </w:r>
    </w:p>
    <w:p>
      <w:pPr>
        <w:spacing w:after="0" w:line="105" w:lineRule="exact"/>
        <w:rPr>
          <w:rFonts w:ascii="Times New Roman" w:cs="Times New Roman" w:eastAsia="Times New Roman" w:hAnsi="Times New Roman"/>
          <w:sz w:val="18"/>
          <w:szCs w:val="18"/>
          <w:b w:val="1"/>
          <w:bCs w:val="1"/>
          <w:color w:val="auto"/>
        </w:rPr>
      </w:pPr>
    </w:p>
    <w:p>
      <w:pPr>
        <w:ind w:left="640" w:right="1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While overall we expect total demand for blood to remain stable to slightly declining, demand in individual markets and for individual components can vary greatly. The development in mature markets of more minimally invasive procedures with lower associated blood loss, as well as hospitals’ improved blood management techniques and protocols have more than offset the increasing demand for blood from aging populations. Emerging markets are seeing demand growth with expanded healthcare coverage and greater access to more advanced medical treatments.</w:t>
      </w:r>
    </w:p>
    <w:p>
      <w:pPr>
        <w:spacing w:after="0" w:line="70" w:lineRule="exact"/>
        <w:rPr>
          <w:rFonts w:ascii="Times New Roman" w:cs="Times New Roman" w:eastAsia="Times New Roman" w:hAnsi="Times New Roman"/>
          <w:sz w:val="18"/>
          <w:szCs w:val="18"/>
          <w:b w:val="1"/>
          <w:bCs w:val="1"/>
          <w:color w:val="auto"/>
        </w:rPr>
      </w:pPr>
    </w:p>
    <w:p>
      <w:pPr>
        <w:ind w:left="640" w:right="24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Blood Center Products </w:t>
      </w:r>
      <w:r>
        <w:rPr>
          <w:rFonts w:ascii="Times New Roman" w:cs="Times New Roman" w:eastAsia="Times New Roman" w:hAnsi="Times New Roman"/>
          <w:sz w:val="18"/>
          <w:szCs w:val="18"/>
          <w:color w:val="auto"/>
        </w:rPr>
        <w:t>— We offer automated blood component and manual whole blood collection systems to blood collection centers to collect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blood products efficiently and cost effectively.</w:t>
      </w:r>
    </w:p>
    <w:p>
      <w:pPr>
        <w:spacing w:after="0" w:line="67" w:lineRule="exact"/>
        <w:rPr>
          <w:rFonts w:ascii="Times New Roman" w:cs="Times New Roman" w:eastAsia="Times New Roman" w:hAnsi="Times New Roman"/>
          <w:sz w:val="18"/>
          <w:szCs w:val="18"/>
          <w:b w:val="1"/>
          <w:bCs w:val="1"/>
          <w:color w:val="auto"/>
        </w:rPr>
      </w:pPr>
    </w:p>
    <w:p>
      <w:pPr>
        <w:ind w:left="1280" w:right="60" w:hanging="161"/>
        <w:spacing w:after="0" w:line="231" w:lineRule="auto"/>
        <w:tabs>
          <w:tab w:leader="none" w:pos="12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market the MCS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apheresis equipment which is designed to collect specific blood components from the donor. Utilizing the MCS automated platelet collection protocols, blood centers collect one or more therapeutic “doses” of platelets during a single donation.</w:t>
      </w:r>
    </w:p>
    <w:p>
      <w:pPr>
        <w:spacing w:after="0" w:line="113" w:lineRule="exact"/>
        <w:rPr>
          <w:rFonts w:ascii="Times New Roman" w:cs="Times New Roman" w:eastAsia="Times New Roman" w:hAnsi="Times New Roman"/>
          <w:sz w:val="18"/>
          <w:szCs w:val="18"/>
          <w:color w:val="auto"/>
        </w:rPr>
      </w:pPr>
    </w:p>
    <w:p>
      <w:pPr>
        <w:ind w:left="1280" w:right="220" w:hanging="161"/>
        <w:spacing w:after="0" w:line="274" w:lineRule="auto"/>
        <w:tabs>
          <w:tab w:leader="none" w:pos="12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of disposable whole blood collection and component storage sets offer flexibility in collecting a unit of whole blood and the subsequent production and storage of blood components, including options for in-line or dockable filters for leukoreduction.</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Blood Center business unit represented 21.1%, 24.0% and 30.1% of our total revenue in fiscal 2024, 2023 and 2022, respectively.</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Hospital</w:t>
      </w:r>
    </w:p>
    <w:p>
      <w:pPr>
        <w:spacing w:after="0" w:line="245" w:lineRule="exact"/>
        <w:rPr>
          <w:rFonts w:ascii="Times New Roman" w:cs="Times New Roman" w:eastAsia="Times New Roman" w:hAnsi="Times New Roman"/>
          <w:sz w:val="18"/>
          <w:szCs w:val="18"/>
          <w:color w:val="auto"/>
        </w:rPr>
      </w:pPr>
    </w:p>
    <w:p>
      <w:pPr>
        <w:ind w:left="640" w:right="1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Hospitals are called upon to provide the highest standard of patient care while at the same time reduce operating costs. Haemonetics’ Hospital business has two distinct franchises, Interventional Technologies, which includes Vascular Closure and Sensor Guided Technologies, and Blood Management Technologies, which includes Hemostasis Management, Cell Salvage and Transfusion Management. The Sensor-Guided Technologies product line was acquired as part of the OpSens Inc. transaction in December 2023. Both franchises have a leading market position and a mission of helping hospitals and clinicians provide the highest standard of patient care while at the same time reducing operating and procedural costs and helping decision makers in hospitals optimize blood acquisition, storage and usage in critical settings.</w:t>
      </w:r>
    </w:p>
    <w:p>
      <w:pPr>
        <w:spacing w:after="0" w:line="20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Interventional Technologies:</w:t>
      </w:r>
    </w:p>
    <w:p>
      <w:pPr>
        <w:spacing w:after="0" w:line="243"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Vascular Closure</w:t>
      </w:r>
    </w:p>
    <w:p>
      <w:pPr>
        <w:spacing w:after="0" w:line="137" w:lineRule="exact"/>
        <w:rPr>
          <w:rFonts w:ascii="Times New Roman" w:cs="Times New Roman" w:eastAsia="Times New Roman" w:hAnsi="Times New Roman"/>
          <w:sz w:val="18"/>
          <w:szCs w:val="18"/>
          <w:color w:val="auto"/>
        </w:rPr>
      </w:pPr>
    </w:p>
    <w:p>
      <w:pPr>
        <w:ind w:left="640" w:right="2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Vascular Closure Market </w:t>
      </w:r>
      <w:r>
        <w:rPr>
          <w:rFonts w:ascii="Times New Roman" w:cs="Times New Roman" w:eastAsia="Times New Roman" w:hAnsi="Times New Roman"/>
          <w:sz w:val="18"/>
          <w:szCs w:val="18"/>
          <w:color w:val="auto"/>
        </w:rPr>
        <w:t>— Catheter-based, minimally invasive alternatives to open surgery have transformed cardiovascular medicine.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these procedures gain access to the vascular system through the femoral artery or vein. These access sites in the vessel require closure post procedure. Even with the major advances in technology over the last 40 years, the most common complications in coronary and peripheral procedures are still related to the access site. Manual compression, the traditional standard of care, involves the application of pressure in order to facilitate the formation of a blood clot at the access site. Vascular closure devices improve upon manual compression by rapidly closing the access site and facilitating more efficient workflow for both the coronary and peripheral markets but also the rapidly growing structural heart and electrophysiology markets.</w:t>
      </w:r>
    </w:p>
    <w:p>
      <w:pPr>
        <w:spacing w:after="0" w:line="87" w:lineRule="exact"/>
        <w:rPr>
          <w:rFonts w:ascii="Times New Roman" w:cs="Times New Roman" w:eastAsia="Times New Roman" w:hAnsi="Times New Roman"/>
          <w:sz w:val="18"/>
          <w:szCs w:val="18"/>
          <w:color w:val="auto"/>
        </w:rPr>
      </w:pPr>
    </w:p>
    <w:p>
      <w:pPr>
        <w:ind w:left="64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Vascular Closure Products </w:t>
      </w:r>
      <w:r>
        <w:rPr>
          <w:rFonts w:ascii="Times New Roman" w:cs="Times New Roman" w:eastAsia="Times New Roman" w:hAnsi="Times New Roman"/>
          <w:sz w:val="18"/>
          <w:szCs w:val="18"/>
          <w:color w:val="auto"/>
        </w:rPr>
        <w:t>— The VASCADE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platform was developed to address the limitations of manual compression and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vascular closure devices. Our VASCADE family of products consists of two devices, VASCADE and VASCADE MVP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which share a common, innovative technology that features a simple, catheter-based delivery system and leverages the natural clot-inducing properties of collagen. This novel design significantly reduces access site complications, increases patient satisfaction and improves hospital workflow metrics that, in turn, drive economic benefits and cost savings. Our Vascular Closure devices address the growing number of catheter-based coronary, structural heart, peripheral and electrophysiology procedures that require vascular access site closure each year.</w:t>
      </w:r>
    </w:p>
    <w:p>
      <w:pPr>
        <w:spacing w:after="0" w:line="219" w:lineRule="exact"/>
        <w:rPr>
          <w:rFonts w:ascii="Times New Roman" w:cs="Times New Roman" w:eastAsia="Times New Roman" w:hAnsi="Times New Roman"/>
          <w:sz w:val="18"/>
          <w:szCs w:val="18"/>
          <w:color w:val="auto"/>
        </w:rPr>
      </w:pPr>
    </w:p>
    <w:p>
      <w:pPr>
        <w:ind w:left="640" w:right="6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around an easy to use, catheter-based delivery system and the natural clot-inducing properties of collagen, our VASCADE product is the only marketed vascular closure device clinically proven to both increase workflow efficiency and reduce access site complications relative to manual compression for coronary and peripheral procedures. Similarly, our VASCADE MVP device is the first marketed vascular closure device clinically proven in a prospective, multi-center, randomized clinical trial, to improve workflow relative to manual compression for electrophysiology procedures. Importantly, these improvements drive meaningful cost savings for hospitals, ambulatory surgery centers and other treatment facilities. VASCADE MVP is the first vascular closure device to receive a FDA indication for same-day discharge following atrial fibrillation ablation.</w:t>
      </w:r>
    </w:p>
    <w:p>
      <w:pPr>
        <w:spacing w:after="0" w:line="191" w:lineRule="exact"/>
        <w:rPr>
          <w:rFonts w:ascii="Times New Roman" w:cs="Times New Roman" w:eastAsia="Times New Roman" w:hAnsi="Times New Roman"/>
          <w:sz w:val="18"/>
          <w:szCs w:val="18"/>
          <w:color w:val="auto"/>
        </w:rPr>
      </w:pPr>
    </w:p>
    <w:p>
      <w:pPr>
        <w:ind w:left="640" w:right="20"/>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 xml:space="preserve">Sensor Guided Technologies Market — </w:t>
      </w:r>
      <w:r>
        <w:rPr>
          <w:rFonts w:ascii="Times New Roman" w:cs="Times New Roman" w:eastAsia="Times New Roman" w:hAnsi="Times New Roman"/>
          <w:sz w:val="17"/>
          <w:szCs w:val="17"/>
          <w:color w:val="auto"/>
        </w:rPr>
        <w:t>Coronary guidewires facilitate the delivery and positioning of interventional devices through the catheters.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These guidewires are thin and flexible, allowing surgeons to navigate coronary arteries and can also assist in the diagnosis of certain heart conditions.</w:t>
      </w:r>
    </w:p>
    <w:p>
      <w:pPr>
        <w:spacing w:after="0" w:line="159" w:lineRule="exact"/>
        <w:rPr>
          <w:rFonts w:ascii="Times New Roman" w:cs="Times New Roman" w:eastAsia="Times New Roman" w:hAnsi="Times New Roman"/>
          <w:sz w:val="18"/>
          <w:szCs w:val="18"/>
          <w:color w:val="auto"/>
        </w:rPr>
      </w:pPr>
    </w:p>
    <w:p>
      <w:pPr>
        <w:ind w:left="640" w:right="2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Sensor Guided Technologies Products — </w:t>
      </w:r>
      <w:r>
        <w:rPr>
          <w:rFonts w:ascii="Times New Roman" w:cs="Times New Roman" w:eastAsia="Times New Roman" w:hAnsi="Times New Roman"/>
          <w:sz w:val="18"/>
          <w:szCs w:val="18"/>
          <w:color w:val="auto"/>
        </w:rPr>
        <w:t>The OptoWire® is a pressure guidewire that aims to improve clinical outcomes by accurately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consistently measuring Fractional Flow Reserve (FFR) and diastolic pressure ratio (dPR) to aid clinicians in the diagnosis and treatment of patients with coronary artery disease. The OptoWire utilizes Fidela™, a patented 2nd generation fiber optic sensor, which is designed to provide the lowest drift in the industry with consistent and repeatable measurements.</w:t>
      </w:r>
    </w:p>
    <w:p>
      <w:pPr>
        <w:spacing w:after="0" w:line="207" w:lineRule="exact"/>
        <w:rPr>
          <w:rFonts w:ascii="Times New Roman" w:cs="Times New Roman" w:eastAsia="Times New Roman" w:hAnsi="Times New Roman"/>
          <w:sz w:val="18"/>
          <w:szCs w:val="18"/>
          <w:color w:val="auto"/>
        </w:rPr>
      </w:pPr>
    </w:p>
    <w:p>
      <w:pPr>
        <w:ind w:left="6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SavvyWire®, which was recently introduced to the medical device market in 2022, is a sensor-guided 3-in-1 guidewire for transcatheter aortic valve replacement (TAVR) procedures, advancing the workflow of the procedure and enabling potentially shorter hospital stays for patients. Prior to the SavvyWire, innovations in TAVR were generally centered on valves and deliver systems, whereas the SavvyWire is a wire-based solution that serves as a guide-wire, delivers accurate hemodynamic measurement and display, and is designed for efficient left ventricular (LV) pacing without the need for adjunct devices or venous access.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Blood Management Technologies:</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Hemostasis Management</w:t>
      </w:r>
    </w:p>
    <w:p>
      <w:pPr>
        <w:spacing w:after="0" w:line="124" w:lineRule="exact"/>
        <w:rPr>
          <w:sz w:val="20"/>
          <w:szCs w:val="20"/>
          <w:color w:val="auto"/>
        </w:rPr>
      </w:pPr>
    </w:p>
    <w:p>
      <w:pPr>
        <w:ind w:left="640" w:right="8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Hemostasis Management Market </w:t>
      </w:r>
      <w:r>
        <w:rPr>
          <w:rFonts w:ascii="Times New Roman" w:cs="Times New Roman" w:eastAsia="Times New Roman" w:hAnsi="Times New Roman"/>
          <w:sz w:val="18"/>
          <w:szCs w:val="18"/>
          <w:color w:val="auto"/>
        </w:rPr>
        <w:t>— Hemostasis refers to a patient’s ability to form and maintain blood clots. The clinical management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spacing w:after="0" w:line="104" w:lineRule="exact"/>
        <w:rPr>
          <w:sz w:val="20"/>
          <w:szCs w:val="20"/>
          <w:color w:val="auto"/>
        </w:rPr>
      </w:pPr>
    </w:p>
    <w:p>
      <w:pPr>
        <w:ind w:left="640" w:righ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Hemostasis Management Products </w:t>
      </w:r>
      <w:r>
        <w:rPr>
          <w:rFonts w:ascii="Times New Roman" w:cs="Times New Roman" w:eastAsia="Times New Roman" w:hAnsi="Times New Roman"/>
          <w:sz w:val="18"/>
          <w:szCs w:val="18"/>
          <w:color w:val="auto"/>
        </w:rPr>
        <w:t>— Our portfolio of hemostasis diagnostic systems enables clinicians to assess holistically the coagulation status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patient at the point-of-care or laboratory setting. We have four viscoelastic testing systems that we market to hospitals and laboratories as an alternative to routine blood tests: the TEG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5000 hemostasis analyzer system, the TEG 6s hemostasis analyzer system, the HAS-100 hemostasis analyzer system and the HAS-300 hemostasis analyzer system. The TEG and HAS platforms utilize thromboelastography, providing a method of testing the efficiency of blood coagulation using whole blood samples.</w:t>
      </w:r>
    </w:p>
    <w:p>
      <w:pPr>
        <w:spacing w:after="0" w:line="218" w:lineRule="exact"/>
        <w:rPr>
          <w:sz w:val="20"/>
          <w:szCs w:val="20"/>
          <w:color w:val="auto"/>
        </w:rPr>
      </w:pPr>
    </w:p>
    <w:p>
      <w:pPr>
        <w:jc w:val="both"/>
        <w:ind w:left="640" w:right="20"/>
        <w:spacing w:after="0" w:line="236" w:lineRule="auto"/>
        <w:rPr>
          <w:sz w:val="20"/>
          <w:szCs w:val="20"/>
          <w:color w:val="auto"/>
        </w:rPr>
      </w:pPr>
      <w:r>
        <w:rPr>
          <w:rFonts w:ascii="Times New Roman" w:cs="Times New Roman" w:eastAsia="Times New Roman" w:hAnsi="Times New Roman"/>
          <w:sz w:val="18"/>
          <w:szCs w:val="18"/>
          <w:color w:val="auto"/>
        </w:rPr>
        <w:t>Each hemostasis diagnostic system consists of an analyzer that is used with single-use reagents and disposables. In addition, TEG Manager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software connects multiple TEG 5000 and TEG 6S analyzers throughout the hospital, providing clinicians with remote access to both active and historical test results that inform treatment decisions.</w:t>
      </w:r>
    </w:p>
    <w:p>
      <w:pPr>
        <w:spacing w:after="0" w:line="209" w:lineRule="exact"/>
        <w:rPr>
          <w:sz w:val="20"/>
          <w:szCs w:val="20"/>
          <w:color w:val="auto"/>
        </w:rPr>
      </w:pPr>
    </w:p>
    <w:p>
      <w:pPr>
        <w:ind w:left="640" w:right="80"/>
        <w:spacing w:after="0" w:line="234" w:lineRule="auto"/>
        <w:rPr>
          <w:sz w:val="20"/>
          <w:szCs w:val="20"/>
          <w:color w:val="auto"/>
        </w:rPr>
      </w:pPr>
      <w:r>
        <w:rPr>
          <w:rFonts w:ascii="Times New Roman" w:cs="Times New Roman" w:eastAsia="Times New Roman" w:hAnsi="Times New Roman"/>
          <w:sz w:val="18"/>
          <w:szCs w:val="18"/>
          <w:color w:val="auto"/>
        </w:rPr>
        <w:t>The TEG 5000 system is approved for a broad set of indications in all of our markets. The TEG 6s system is approved for the same set of indications as the TEG 5000 in Europe, Australia and Japan. We continue to pursue a broader set of indications for TEG 6s in the U.S. In fiscal 2024, we received FDA clearance for a new TEG 6s Global Hemostasis-HN assay cartridge. This new cartridge extends Haemonetics' TEG 6s viscoelastic testing capabilities to serve fully heparinized patients in adult cardiovascular surgeries/procedures and liver transplantation in both laboratory and point-of-care settings. The HAS-100 and HAS-300 devices are currently commercialized in China.</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Cell Salvage</w:t>
      </w:r>
    </w:p>
    <w:p>
      <w:pPr>
        <w:spacing w:after="0" w:line="138" w:lineRule="exact"/>
        <w:rPr>
          <w:sz w:val="20"/>
          <w:szCs w:val="20"/>
          <w:color w:val="auto"/>
        </w:rPr>
      </w:pPr>
    </w:p>
    <w:p>
      <w:pPr>
        <w:ind w:left="6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Cell Salvage Market </w:t>
      </w:r>
      <w:r>
        <w:rPr>
          <w:rFonts w:ascii="Times New Roman" w:cs="Times New Roman" w:eastAsia="Times New Roman" w:hAnsi="Times New Roman"/>
          <w:sz w:val="18"/>
          <w:szCs w:val="18"/>
          <w:color w:val="auto"/>
        </w:rPr>
        <w:t>— The Cell Salvage market is mainly comprised of devices designed to collect, wash and prepare a patient’s own blood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reinfusion during or after surgery. Loss of blood is common in many surgical procedures, including open heart, trauma, transplant, vascular and orthopedic procedures, and the need for transfusion of oxygen-carrying red cells to make up for lost blood volume is routine. Patients commonly receive donor (or allogeneic) blood which carries various risks for transfusion reactions including chills, fevers or other side effects that can prolong a patient’s recovery.</w:t>
      </w:r>
    </w:p>
    <w:p>
      <w:pPr>
        <w:spacing w:after="0" w:line="207"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18"/>
          <w:szCs w:val="18"/>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with the intent of reinfusion of red cells to that patient. Blood is suctioned from the surgical site or collected from a wound or chest drain, processed and washed through a centrifuge-based system that yields concentrated red cells, available in a reinfusion bag, for transfusion back to the patient at the physician’s discretion. This process occurs in a sterile, closed-circuit, single-use consumable set that is fitted into an electromechanical device. We market our surgical blood salvage products to surgical specialists, primarily cardiovascular, orthopedic and trauma surgeons, OB-GYN and to anesthesiologists and surgical suite service providers.</w:t>
      </w:r>
    </w:p>
    <w:p>
      <w:pPr>
        <w:spacing w:after="0" w:line="90" w:lineRule="exact"/>
        <w:rPr>
          <w:sz w:val="20"/>
          <w:szCs w:val="20"/>
          <w:color w:val="auto"/>
        </w:rPr>
      </w:pPr>
    </w:p>
    <w:p>
      <w:pPr>
        <w:ind w:left="64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Cell Salvage Products </w:t>
      </w:r>
      <w:r>
        <w:rPr>
          <w:rFonts w:ascii="Times New Roman" w:cs="Times New Roman" w:eastAsia="Times New Roman" w:hAnsi="Times New Roman"/>
          <w:sz w:val="18"/>
          <w:szCs w:val="18"/>
          <w:color w:val="auto"/>
        </w:rPr>
        <w:t>— Our Cell Saver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autologous blood recovery system is a surgical blood salvage system targeted to medium to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blood loss procedures, such as cardiovascular, orthopedic, trauma, transplant, vascular, obstetrical and gynecological surgeries. The Cell Saver Elite + is designed to minimize allogeneic blood use and reliably recover and prepare a patient’s own high-quality blood for reinfusion.</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Transfusion Management</w:t>
      </w:r>
    </w:p>
    <w:p>
      <w:pPr>
        <w:spacing w:after="0" w:line="124" w:lineRule="exact"/>
        <w:rPr>
          <w:sz w:val="20"/>
          <w:szCs w:val="20"/>
          <w:color w:val="auto"/>
        </w:rPr>
      </w:pPr>
    </w:p>
    <w:p>
      <w:pPr>
        <w:ind w:left="6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Transfusion Management Market </w:t>
      </w:r>
      <w:r>
        <w:rPr>
          <w:rFonts w:ascii="Times New Roman" w:cs="Times New Roman" w:eastAsia="Times New Roman" w:hAnsi="Times New Roman"/>
          <w:sz w:val="18"/>
          <w:szCs w:val="18"/>
          <w:color w:val="auto"/>
        </w:rPr>
        <w:t>— Hospital transfusion services professionals and clinicians are facing cost restraints in addition to the pressure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spacing w:after="0" w:line="101" w:lineRule="exact"/>
        <w:rPr>
          <w:sz w:val="20"/>
          <w:szCs w:val="20"/>
          <w:color w:val="auto"/>
        </w:rPr>
      </w:pPr>
    </w:p>
    <w:p>
      <w:pPr>
        <w:ind w:left="640" w:right="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Transfusion Management Products </w:t>
      </w:r>
      <w:r>
        <w:rPr>
          <w:rFonts w:ascii="Times New Roman" w:cs="Times New Roman" w:eastAsia="Times New Roman" w:hAnsi="Times New Roman"/>
          <w:sz w:val="18"/>
          <w:szCs w:val="18"/>
          <w:color w:val="auto"/>
        </w:rPr>
        <w:t>— Our Transfusion Management solutions are designed to help provide safety, traceability and compliance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hospital blood bank to the patient bedside and enable consistent care across the hospital network. Our SafeTrace Tx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transfusion management software is considered the system of record for all hospital blood bank and transfusion service information. BloodTrack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blood management software is a modular suite of blood management and bedside transfusion solutions that combines software with hardware components and acts as an extension of the hospital’s blood bank information system. The software is designed to work with blood storage devices, including the BloodTrack HaemoBank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Hospital business unit represented 34.0%, 31.8% and 32.5% of our total revenue in fiscal 2024, 2023 and 2022, respectively.</w:t>
      </w:r>
    </w:p>
    <w:p>
      <w:pPr>
        <w:spacing w:after="0" w:line="24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Company also has revenue associated with certain services, maintenance and parts, representing approximately 1.7%, 1.7% and 2.0% of our total revenue in fiscal 2024, 2023 and 2022,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Marketing/Sales/Distribution</w:t>
      </w:r>
    </w:p>
    <w:p>
      <w:pPr>
        <w:spacing w:after="0" w:line="24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market and sell our products in approximately 90 countries through our own direct sales force (including full-time sales representatives and clinical specialists) as well as independent distributors. Our customers include biopharmaceutical companies, blood collection groups and independent blood centers, hospitals and hospital service providers, group purchasing organizations and national health organizations. Sales representatives target the primary decision-makers within each of those organizations.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research and development centers in North America ensure that protocol variations are incorporated to closely match local customer requirements. In addition, Haemonetics maintains software development operations in Canada. 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207"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color w:val="auto"/>
        </w:rPr>
        <w:t>The development of blood component separation products, hemostasis analyzers and software has required us to maintain technical expertise in various engineering disciplines,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w:t>
      </w:r>
    </w:p>
    <w:p>
      <w:pPr>
        <w:spacing w:after="0" w:line="20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In fiscal 2024, research and development resources were allocated to support innovation across our product portfolio. During fiscal 2024, we received FDA clearance for advancements to NexSys PCS including a new plasma collection bowl and new Express Plus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engineered to reduce procedure time. We also received FDA clearance for a new TEG 6s Global Hemostasis-HN assay cartridge in fiscal 2024, which extends the system’s viscoelastic testing capabilities to serve fully heparinized patients in adult cardiovascular surgeries/procedures and liver transplantation in both laboratory and point-of-care settings. Additionally, we have continued to make investments related to our next generation plasma collection and software systems, the European Medical Device Regulation and In Vitro Diagnostic Regulation and our Hemostasis Management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48"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We endeavor to supply products that are both high quality and cost competitive for our customers by leveraging continuous improvement methodologies, focusing on our core competencies and partnering with strategic suppliers that complement our capabilities. In general, we design our equipment and consumables and use contract manufacturers to build the devices, while the majority of consumables are manufactured by us.</w:t>
      </w:r>
    </w:p>
    <w:p>
      <w:pPr>
        <w:spacing w:after="0" w:line="20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production activities occur in controlled settings or “clean room” environments and have built-in quality checks throughout the manufacturing processes. Our manufacturing teams are focused on continuously improving our productivity, product cost and product quality through change control procedures, validations and strong supplier management programs. We regularly review our logistics capabilities, inventory and safety stock levels and maintain business continuity plans to address supply disruptions that may occur.</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primary consumable manufacturing operations are located in North America and Malaysia. Contract manufacturers also supply component sets and liquid solutions according to our specifications, with component sets manufactured in Japan, Singapore, Thailand, Indonesia and the Philippines and liquid solutions manufactured in Europe. Our capital equipment is principally manufactured in Malaysia, Australia and the U.S.</w:t>
      </w:r>
    </w:p>
    <w:p>
      <w:pPr>
        <w:spacing w:after="0" w:line="204"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18"/>
          <w:szCs w:val="18"/>
          <w:color w:val="auto"/>
        </w:rPr>
        <w:t>We have experienced increased levels of unpredictability in the supply of certain raw materials and components used in the manufacturing of our products. While we continue to believe we will have access to the raw materials and components that we need, these supply chain dynamics could result in increased costs to us or an inability to fully meet customer demand for certain of our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4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spacing w:after="0" w:line="19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We hold numerous patents in North America 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of our disposables. Our patents may cover current products, products in markets we plan to enter, or products in markets we plan to license to others. Certain patents may also be defensive in that they are directed to technologies not currently embodied in our current products. We also may license patent rights from third parties that cover technologies that we use or plan to use in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various trademarks that have been registered in the United States and certain other countries.</w:t>
      </w:r>
    </w:p>
    <w:p>
      <w:pPr>
        <w:spacing w:after="0" w:line="24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spacing w:after="0" w:line="20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We are engaged in intellectual property litigation as described in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to the Consolidated Financial Statements in Item 8 of this Annual Report on Form 10-K, and we may be notified in the future of claims that we may be infringing, misappropriating or otherwise violating the intellectual property rights of third parties. In connection with any such claims, we may seek to enter into settlement and/or licensing arrangements. There is a risk in these situations that no license will be available or that a license will not be available on reasonable terms. Alternatively, we may decide or be required to litigate such claims. A successful claims against us may require us to remove the alleged infringing product from the market or to design around the third party’s patent, potentially resulting in less market demand for the product.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4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spacing w:after="0" w:line="213"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face competition from several large, global companies with product offerings similar to ours. Terumo Blood and Cell Technologies (“Terumo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BCT”) and Fresenius SE &amp; Co. KGaA, in particular, have significant financial and other resources and are strong competitors in a number of our businesses.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an overview of the key competitors in each of our three global product enterprises.</w:t>
      </w:r>
    </w:p>
    <w:p>
      <w:pPr>
        <w:spacing w:after="0" w:line="103"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Plasma</w:t>
      </w:r>
    </w:p>
    <w:p>
      <w:pPr>
        <w:spacing w:after="0" w:line="139" w:lineRule="exact"/>
        <w:rPr>
          <w:rFonts w:ascii="Times New Roman" w:cs="Times New Roman" w:eastAsia="Times New Roman" w:hAnsi="Times New Roman"/>
          <w:sz w:val="18"/>
          <w:szCs w:val="18"/>
          <w:i w:val="1"/>
          <w:iCs w:val="1"/>
          <w:color w:val="auto"/>
        </w:rPr>
      </w:pPr>
    </w:p>
    <w:p>
      <w:pPr>
        <w:ind w:left="640" w:right="8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automated plasma collection market, we principally compete with Fresenius’ Fenwal Aurora and Aurora Xi device product lines and Terumo BCT’s Rika device on the basis of procedure and enabled door-to-door time duration, plasma yield per donation, product quality and reliability, ease of use, services and technical features of the collection systems, supply chain reliability and on the long-term cost-effectiveness of equipment and disposables. In China, the market is populated by local producers, including Nigale and Haier Medical, which offer plasmapheresis device products that are intended to be similar to ours. In recent years, Nigale has expanded to markets beyond China, competing in European and South American countries. Scinomed competes in select European countries as well. In the field of plasma related software, we principally compete with applications developed internally by certain of our customers.</w:t>
      </w:r>
    </w:p>
    <w:p>
      <w:pPr>
        <w:spacing w:after="0" w:line="91"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Blood Center</w:t>
      </w:r>
    </w:p>
    <w:p>
      <w:pPr>
        <w:spacing w:after="0" w:line="126" w:lineRule="exact"/>
        <w:rPr>
          <w:rFonts w:ascii="Times New Roman" w:cs="Times New Roman" w:eastAsia="Times New Roman" w:hAnsi="Times New Roman"/>
          <w:sz w:val="18"/>
          <w:szCs w:val="18"/>
          <w:i w:val="1"/>
          <w:iCs w:val="1"/>
          <w:color w:val="auto"/>
        </w:rPr>
      </w:pPr>
    </w:p>
    <w:p>
      <w:pPr>
        <w:ind w:left="640" w:right="140"/>
        <w:spacing w:after="0" w:line="25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Most donations worldwide are traditional manual whole blood collections and approximately 25% of the Blood Center portfolio competes in this space. We face intense competition in our whole blood business on the basis of quality and price. Our main competitors are Fresenius, MacoPharma and Terumo BCT.</w:t>
      </w:r>
    </w:p>
    <w:p>
      <w:pPr>
        <w:spacing w:after="0" w:line="204" w:lineRule="exact"/>
        <w:rPr>
          <w:rFonts w:ascii="Times New Roman" w:cs="Times New Roman" w:eastAsia="Times New Roman" w:hAnsi="Times New Roman"/>
          <w:sz w:val="18"/>
          <w:szCs w:val="18"/>
          <w:i w:val="1"/>
          <w:iCs w:val="1"/>
          <w:color w:val="auto"/>
        </w:rPr>
      </w:pPr>
    </w:p>
    <w:p>
      <w:pPr>
        <w:ind w:left="64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MCS automated component blood collections, which represents approximately 60% of the Blood Center portfolio, not only compete against the traditional manual whole blood collection market (particularly in red cells) but also compete with products from Terumo BCT and Fresenius. Technology is the key differentiator in automated component blood collections, with speed, as measured by the time to collect more than one unit of a specific targeted blood component, quality, reliability, ease of use, service and other technical features being key factors. In markets with a significant number of people eligible to donate more than one unit in a single donation, the processing speed can be a significant competitive differentiator. This is particularly relevant in platelet donations and can drive market share shifts in certain markets.</w:t>
      </w:r>
    </w:p>
    <w:p>
      <w:pPr>
        <w:spacing w:after="0" w:line="103"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Hospital</w:t>
      </w:r>
    </w:p>
    <w:p>
      <w:pPr>
        <w:spacing w:after="0" w:line="126" w:lineRule="exact"/>
        <w:rPr>
          <w:rFonts w:ascii="Times New Roman" w:cs="Times New Roman" w:eastAsia="Times New Roman" w:hAnsi="Times New Roman"/>
          <w:sz w:val="18"/>
          <w:szCs w:val="18"/>
          <w:i w:val="1"/>
          <w:iCs w:val="1"/>
          <w:color w:val="auto"/>
        </w:rPr>
      </w:pPr>
    </w:p>
    <w:p>
      <w:pPr>
        <w:ind w:left="640" w:right="8580"/>
        <w:spacing w:after="0" w:line="41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u w:val="single" w:color="auto"/>
          <w:color w:val="auto"/>
        </w:rPr>
        <w:t xml:space="preserve">Interventional Technologies: </w:t>
      </w:r>
      <w:r>
        <w:rPr>
          <w:rFonts w:ascii="Times New Roman" w:cs="Times New Roman" w:eastAsia="Times New Roman" w:hAnsi="Times New Roman"/>
          <w:sz w:val="17"/>
          <w:szCs w:val="17"/>
          <w:color w:val="auto"/>
        </w:rPr>
        <w:t>Vascular Closure</w:t>
      </w:r>
    </w:p>
    <w:p>
      <w:pPr>
        <w:spacing w:after="0" w:line="1" w:lineRule="exact"/>
        <w:rPr>
          <w:rFonts w:ascii="Times New Roman" w:cs="Times New Roman" w:eastAsia="Times New Roman" w:hAnsi="Times New Roman"/>
          <w:sz w:val="18"/>
          <w:szCs w:val="18"/>
          <w:i w:val="1"/>
          <w:iCs w:val="1"/>
          <w:color w:val="auto"/>
        </w:rPr>
      </w:pPr>
    </w:p>
    <w:p>
      <w:pPr>
        <w:ind w:left="640" w:right="10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vascular closure industry is highly competitive and has been evolving rapidly with the introduction of new products, technologies, regulations and activities of industry participants. Our VASCADE family of products serves as an alternative to existing methods of femoral vascular access site closure in interventional procedures, including manual compression and other femoral access closure devices. Our main competitors in femoral access closure for coronary and peripheral procedures include Terumo BCT, Abbott Laboratories and Cardinal Health.</w:t>
      </w:r>
    </w:p>
    <w:p>
      <w:pPr>
        <w:spacing w:after="0" w:line="326" w:lineRule="exact"/>
        <w:rPr>
          <w:rFonts w:ascii="Times New Roman" w:cs="Times New Roman" w:eastAsia="Times New Roman" w:hAnsi="Times New Roman"/>
          <w:sz w:val="18"/>
          <w:szCs w:val="18"/>
          <w:i w:val="1"/>
          <w:iCs w:val="1"/>
          <w:color w:val="auto"/>
        </w:rPr>
      </w:pPr>
    </w:p>
    <w:p>
      <w:pPr>
        <w:ind w:left="640"/>
        <w:spacing w:after="0" w:line="27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compete primarily on the basis that our products are optimized for the requirements of coronary, structural heart, peripheral and electrophysiology procedures, including procedures that require multiple access sites. In addition, our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right="220"/>
        <w:spacing w:after="0" w:line="274" w:lineRule="auto"/>
        <w:rPr>
          <w:sz w:val="20"/>
          <w:szCs w:val="20"/>
          <w:color w:val="auto"/>
        </w:rPr>
      </w:pPr>
      <w:r>
        <w:rPr>
          <w:rFonts w:ascii="Times New Roman" w:cs="Times New Roman" w:eastAsia="Times New Roman" w:hAnsi="Times New Roman"/>
          <w:sz w:val="18"/>
          <w:szCs w:val="18"/>
          <w:color w:val="auto"/>
        </w:rPr>
        <w:t>value proposition is supported by robust clinical trial evidence and study data, which demonstrate reduced access site complication rates as well as workflow improvements compared to manual compression that lead to cost savings.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Sensor Guided Technologies</w:t>
      </w:r>
    </w:p>
    <w:p>
      <w:pPr>
        <w:spacing w:after="0" w:line="244" w:lineRule="exact"/>
        <w:rPr>
          <w:sz w:val="20"/>
          <w:szCs w:val="20"/>
          <w:color w:val="auto"/>
        </w:rPr>
      </w:pPr>
    </w:p>
    <w:p>
      <w:pPr>
        <w:ind w:left="640"/>
        <w:spacing w:after="0" w:line="252" w:lineRule="auto"/>
        <w:rPr>
          <w:sz w:val="20"/>
          <w:szCs w:val="20"/>
          <w:color w:val="auto"/>
        </w:rPr>
      </w:pPr>
      <w:r>
        <w:rPr>
          <w:rFonts w:ascii="Times New Roman" w:cs="Times New Roman" w:eastAsia="Times New Roman" w:hAnsi="Times New Roman"/>
          <w:sz w:val="18"/>
          <w:szCs w:val="18"/>
          <w:color w:val="auto"/>
        </w:rPr>
        <w:t>The landscape of sensor-guided technologies is competitive, especially within the mature coronary physiology market. Our OptoWire and SavvyWire products stand out as leading offerings in their respective segments, providing real-time feedback and precise guidance during coronary physiology and structural heart procedures. Competitors such as Abbott Laboratories, Boston Scientific, and Philips pose challenges and opportunities in the coronary physiology segment, each offering their own technologies and solutions. There are not currently competing, commercially available TAVR guidewires that deliver hemodynamic measurement and on-label LV pacing for TAVR procedures.</w:t>
      </w:r>
    </w:p>
    <w:p>
      <w:pPr>
        <w:spacing w:after="0" w:line="212" w:lineRule="exact"/>
        <w:rPr>
          <w:sz w:val="20"/>
          <w:szCs w:val="20"/>
          <w:color w:val="auto"/>
        </w:rPr>
      </w:pPr>
    </w:p>
    <w:p>
      <w:pPr>
        <w:ind w:left="640" w:right="20"/>
        <w:spacing w:after="0" w:line="255" w:lineRule="auto"/>
        <w:rPr>
          <w:sz w:val="20"/>
          <w:szCs w:val="20"/>
          <w:color w:val="auto"/>
        </w:rPr>
      </w:pPr>
      <w:r>
        <w:rPr>
          <w:rFonts w:ascii="Times New Roman" w:cs="Times New Roman" w:eastAsia="Times New Roman" w:hAnsi="Times New Roman"/>
          <w:sz w:val="18"/>
          <w:szCs w:val="18"/>
          <w:color w:val="auto"/>
        </w:rPr>
        <w:t>We differentiate by continually investing in research and development to enhance the features and performance of our products. Furthermore, our commitment to clinical validation, supported by evidence, reinforces the performance and clinical benefits of our sensor-guided technology portfolio. Through these efforts, we aim to bolster our position as a leader in sensor-guided technologies, delivering exceptional value to healthcare providers and patients alike.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Blood Management Technologies:</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Hemostasis Management</w:t>
      </w:r>
    </w:p>
    <w:p>
      <w:pPr>
        <w:spacing w:after="0" w:line="244" w:lineRule="exact"/>
        <w:rPr>
          <w:sz w:val="20"/>
          <w:szCs w:val="20"/>
          <w:color w:val="auto"/>
        </w:rPr>
      </w:pPr>
    </w:p>
    <w:p>
      <w:pPr>
        <w:ind w:left="640" w:right="240"/>
        <w:spacing w:after="0" w:line="238" w:lineRule="auto"/>
        <w:rPr>
          <w:sz w:val="20"/>
          <w:szCs w:val="20"/>
          <w:color w:val="auto"/>
        </w:rPr>
      </w:pPr>
      <w:r>
        <w:rPr>
          <w:rFonts w:ascii="Times New Roman" w:cs="Times New Roman" w:eastAsia="Times New Roman" w:hAnsi="Times New Roman"/>
          <w:sz w:val="18"/>
          <w:szCs w:val="18"/>
          <w:color w:val="auto"/>
        </w:rPr>
        <w:t>Our hemostasis analyzer systems are used primarily in surgical applications. Competition includes routine coagulation tests, such as prothrombin time, partial thromboplastin time and platelet count marketed by various manufacturers, such as Werfen, Diagnostica Stago SAS and Sysmex. The TEG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analyzer competes with these routine laboratory tests based on its ability to provide a more complete picture of a patient’s hemostasis at a single point in time and to measure the clinically relevant platelet function for an individual patient.</w:t>
      </w:r>
    </w:p>
    <w:p>
      <w:pPr>
        <w:spacing w:after="0" w:line="217" w:lineRule="exact"/>
        <w:rPr>
          <w:sz w:val="20"/>
          <w:szCs w:val="20"/>
          <w:color w:val="auto"/>
        </w:rPr>
      </w:pPr>
    </w:p>
    <w:p>
      <w:pPr>
        <w:ind w:left="640" w:right="100"/>
        <w:spacing w:after="0" w:line="227" w:lineRule="auto"/>
        <w:rPr>
          <w:sz w:val="20"/>
          <w:szCs w:val="20"/>
          <w:color w:val="auto"/>
        </w:rPr>
      </w:pPr>
      <w:r>
        <w:rPr>
          <w:rFonts w:ascii="Times New Roman" w:cs="Times New Roman" w:eastAsia="Times New Roman" w:hAnsi="Times New Roman"/>
          <w:sz w:val="18"/>
          <w:szCs w:val="18"/>
          <w:color w:val="auto"/>
        </w:rPr>
        <w:t>In addition, TEG competes more directly with other viscoelastic testing systems, including ROTEM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analyzers, the VerifyNow™ System and HemoSonics Quantra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ROTEM and VerifyNow instruments are marketed by Werfen. HemoSonics is owned and offered by Diagnostica Stago. There are also additional technologies being explored to assess viscoelasticity and other characteristics that can provide insights into the coagulation status of a patient. In the advanced viscoelastic testing segment, Haemonetics is the global market leader.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Cell Salvage</w:t>
      </w:r>
    </w:p>
    <w:p>
      <w:pPr>
        <w:spacing w:after="0" w:line="124" w:lineRule="exact"/>
        <w:rPr>
          <w:sz w:val="20"/>
          <w:szCs w:val="20"/>
          <w:color w:val="auto"/>
        </w:rPr>
      </w:pPr>
    </w:p>
    <w:p>
      <w:pPr>
        <w:jc w:val="both"/>
        <w:ind w:left="640" w:right="120"/>
        <w:spacing w:after="0" w:line="235" w:lineRule="auto"/>
        <w:rPr>
          <w:sz w:val="20"/>
          <w:szCs w:val="20"/>
          <w:color w:val="auto"/>
        </w:rPr>
      </w:pPr>
      <w:r>
        <w:rPr>
          <w:rFonts w:ascii="Times New Roman" w:cs="Times New Roman" w:eastAsia="Times New Roman" w:hAnsi="Times New Roman"/>
          <w:sz w:val="18"/>
          <w:szCs w:val="18"/>
          <w:color w:val="auto"/>
        </w:rPr>
        <w:t>In the intraoperative autotransfusion market, competition is based on reliability, ease of use, service, support and price. For high-volume platforms, each manufacturer's technology is similar and our Cell Saver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competes principally with products offered by LivaNova PLC, Medtronic and Fresenius.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Transfusion Management</w:t>
      </w:r>
    </w:p>
    <w:p>
      <w:pPr>
        <w:spacing w:after="0" w:line="134" w:lineRule="exact"/>
        <w:rPr>
          <w:sz w:val="20"/>
          <w:szCs w:val="20"/>
          <w:color w:val="auto"/>
        </w:rPr>
      </w:pPr>
    </w:p>
    <w:p>
      <w:pPr>
        <w:ind w:left="640" w:right="100"/>
        <w:spacing w:after="0"/>
        <w:rPr>
          <w:sz w:val="20"/>
          <w:szCs w:val="20"/>
          <w:color w:val="auto"/>
        </w:rPr>
      </w:pPr>
      <w:r>
        <w:rPr>
          <w:rFonts w:ascii="Times New Roman" w:cs="Times New Roman" w:eastAsia="Times New Roman" w:hAnsi="Times New Roman"/>
          <w:sz w:val="18"/>
          <w:szCs w:val="18"/>
          <w:color w:val="auto"/>
        </w:rPr>
        <w:t>SafeTrace Tx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BloodTrack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w:t>
      </w:r>
    </w:p>
    <w:p>
      <w:pPr>
        <w:spacing w:after="0" w:line="221" w:lineRule="exact"/>
        <w:rPr>
          <w:sz w:val="20"/>
          <w:szCs w:val="20"/>
          <w:color w:val="auto"/>
        </w:rPr>
      </w:pPr>
    </w:p>
    <w:p>
      <w:pPr>
        <w:ind w:left="640" w:right="20"/>
        <w:spacing w:after="0" w:line="255" w:lineRule="auto"/>
        <w:rPr>
          <w:sz w:val="20"/>
          <w:szCs w:val="20"/>
          <w:color w:val="auto"/>
        </w:rPr>
      </w:pPr>
      <w:r>
        <w:rPr>
          <w:rFonts w:ascii="Times New Roman" w:cs="Times New Roman" w:eastAsia="Times New Roman" w:hAnsi="Times New Roman"/>
          <w:sz w:val="18"/>
          <w:szCs w:val="18"/>
          <w:color w:val="auto"/>
        </w:rPr>
        <w:t>SafeTrace Tx competition primarily consists of stand-alone BBIS including WellSky and some electronic health record software that includes a built-in transfusion management solution including Cerner. Global competition for BloodTrack varies by country including MSoft in Europe and established blood practices in the U.S. such as using standard refrigerators and manual movement of blood products. BloodTrack integrates with the hospital’s existing lab or blood bank system allowing for greater market acceptance.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fiscal 2024, 2023 and 2022, our ten largest customers accounted for approximately 48%, 48% and 45% of our net revenues, respectively. In fiscal 2024, one Plasma customer, CSL, was greater than 10% of total net revenues and accounted for approximately 13% of net revenues. In addition to CSL, two customers also accounted for greater than 10% of the Plasma segment’s net revenues and two customers accounted for greater than 10% of the Blood Center segment's net revenues, but did not exceed 10% of total net revenues, in fiscal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4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Due to the variety of products that we manufacture, we and our products are subject to a wide range of regulations from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spacing w:after="0" w:line="20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United States, medical devices, drugs and biological products are subject to extensive regulation by FDA under the Federal Food, Drug, and Cosmetic Act, or FDCA, and other federal and state statutes and regulations. The failure to comply with applicable U.S. requirements may subject a company to a variety of administrative or judicial sanctions, such as FDA refusal to clear or approve applications, warning or untitled letters, product recalls, product seizures, total or partial suspension of production or distribution, injunctions, fines, civil penalties and criminal prosecution.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Medical Device Regulation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Premarket Requirements - U.S.</w:t>
      </w:r>
    </w:p>
    <w:p>
      <w:pPr>
        <w:spacing w:after="0" w:line="24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Unless an exemption applies, all medical devices introduced to the U.S. market are required by the FDA, as a condition of marketing, to secure clearance of a 510(k) premarket notification, grant of a request for de novo classification, or approval of a premarket approval application, or PMA. The FDA classifies medical devices into one of three classes based on risk. Devices deemed to pose a low or moderate risk are placed in Class I or II. Manufacturers of most Class</w:t>
      </w:r>
    </w:p>
    <w:p>
      <w:pPr>
        <w:spacing w:after="0" w:line="1" w:lineRule="exact"/>
        <w:rPr>
          <w:sz w:val="20"/>
          <w:szCs w:val="20"/>
          <w:color w:val="auto"/>
        </w:rPr>
      </w:pPr>
    </w:p>
    <w:p>
      <w:pPr>
        <w:jc w:val="both"/>
        <w:ind w:right="440" w:firstLine="6"/>
        <w:spacing w:after="0" w:line="248" w:lineRule="auto"/>
        <w:tabs>
          <w:tab w:leader="none" w:pos="1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and a few Class I devices, must submit to the FDA a 510(k) premarket notification requesting clearance for commercial distribution. Devices deemed by the FDA to pose the greatest risk or devices deemed not substantially equivalent to a previously cleared 510(k) device are placed in Class III, requiring submission and approval of a PMA or risk-based classification through the de novo process.</w:t>
      </w:r>
    </w:p>
    <w:p>
      <w:pPr>
        <w:spacing w:after="0" w:line="21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To obtain 510(k) clearance, we must submit a premarket notification demonstrating that the proposed device is “substantially equivalent” to a previously 510(k)-cleared device or a device that was in commercial distribution before May 28, 1976 for which the FDA has not yet called for the submission of PMAs, or a device that has been the subject of a de novo classification. The FDA’s 510(k) clearance pathway usually takes from three to 12 months from the date the notification is submitted, but it can take longer, depending on the extent of the FDA’s requests for additional information and the amount of time a sponsor takes to fulfill them. We may need to first obtain an investigational device exemption (for significant risk devices), known as an IDE, in order to conduct extensive clinical testing of the device to obtain the necessary clinical data for submission to the FDA. After a device receives 510(k) clearance, any modification that could significantly affect its safety or effectiveness, or that would constitute a major change in its intended use, will require a new 510(k) clearance or could require premarket approval.</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device that cannot demonstrate substantial equivalence to a previously marketed predicate is automatically deemed Class III. The de novo process provides a pathway to classify novel medical devices for which general controls alone, or general and special controls, provide reasonable assurance of safety and effectiveness for the intended use, but for which there is no legally marketed predicate device. Once a request for de novo classification is granted by the FDA, the newly classified device may be used as a predicate by the applicant or a competitor in a future 510(k) notification submission, if the FDA determines that new devices of the same type require 510(k) clearance.</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Devices deemed by the FDA to pose the greatest risk are placed in Class III. A PMA is required for most Class III devices. The PMA process is more detailed, lengthier and more expensive than the 510(k) and de novo processes. Our VASCADE and VASCADE MVP products are Class III products for which PMAs were previously obtained. The 510(k) clearance, de novo classification, and PMA processes can be resource intensive, expensive, lengthy and require payment of significant user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Requirements - U.S.</w:t>
      </w:r>
    </w:p>
    <w:p>
      <w:pPr>
        <w:spacing w:after="0" w:line="24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After the FDA permits a device to enter commercial distribution, numerous regulatory requirements continue to apply. Generally, establishments that design and/or manufacture devices are required to register with the FDA. They also must provide the FDA with a list of the devices that they design and/or manufacture at their facilities. Other postmarket requirements include compliance with:</w:t>
      </w:r>
    </w:p>
    <w:p>
      <w:pPr>
        <w:spacing w:after="0" w:line="1" w:lineRule="exact"/>
        <w:rPr>
          <w:sz w:val="20"/>
          <w:szCs w:val="20"/>
          <w:color w:val="auto"/>
        </w:rPr>
      </w:pPr>
    </w:p>
    <w:p>
      <w:pPr>
        <w:ind w:left="640" w:hanging="316"/>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System Regulation, or QSR, which sets forth current good manufacturing practice, or cGMP, requirements for medical devices. The QSR applies to manufacturers, including contract manufacturers, of finished medical devices, and governs methods, facilities, and controls used in designing, manufacturing, packaging, labeling, storing, installing and servicing such devices. Manufacturers of medical devices must establish a quality system appropriate for the devices they manufacture. For example, devices containing certain types of software must implement comprehensive cybersecurity risk management programs and documentation consistent with the QSR;</w:t>
      </w:r>
    </w:p>
    <w:p>
      <w:pPr>
        <w:spacing w:after="0" w:line="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including unique device identification;</w:t>
      </w:r>
    </w:p>
    <w:p>
      <w:pPr>
        <w:spacing w:after="0" w:line="137" w:lineRule="exact"/>
        <w:rPr>
          <w:rFonts w:ascii="Times New Roman" w:cs="Times New Roman" w:eastAsia="Times New Roman" w:hAnsi="Times New Roman"/>
          <w:sz w:val="18"/>
          <w:szCs w:val="18"/>
          <w:color w:val="auto"/>
        </w:rPr>
      </w:pPr>
    </w:p>
    <w:p>
      <w:pPr>
        <w:jc w:val="both"/>
        <w:ind w:left="640" w:right="40" w:hanging="316"/>
        <w:spacing w:after="0" w:line="259"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8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correction and removal (recall) regulations with their associated reporting obligations.</w:t>
      </w:r>
    </w:p>
    <w:p>
      <w:pPr>
        <w:spacing w:after="0" w:line="12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Additionally, we and the manufacturing facilities of some of our suppliers are subject to unannounced inspections by the FDA to determine our compliance with the QSR and other applicable regulations described above. If a company fails to comply with regulatory requirements, the FDA can issue Form 483 Notices of Observation, warning letters or untitled letters, recommend or require product recalls, issue safety communications, seek a court order detaining or seizing certain devices, seek an injunction, suspend or withdraw regulatory clearance or approvals, ban certain medical devices, order repair, replacement or refund of medical devices or require notification of health professionals and others with regard to medical devices that present risks of substantial harm to the public health. The FDA may also initiate action for criminal prosecution of violations.</w:t>
      </w:r>
    </w:p>
    <w:p>
      <w:pPr>
        <w:spacing w:after="0" w:line="21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FDA also may require post market testing, surveillance, or other measures to monitor the effects of an approved or cleared product. The FDA may place conditions on a PMA-approved device that could restrict the distribution or use of the product. In addition, manufacturers are subject to periodic inspections by the FDA. Accordingly, manufacturers must continue to expend time, money, and effort in the areas of production and quality control to maintain compliance with QSRs.</w:t>
      </w:r>
    </w:p>
    <w:p>
      <w:pPr>
        <w:spacing w:after="0" w:line="207"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Advertising, marketing and promotional activities for devices are also subject to FDA oversight. The failure to comply with the requirements applicable to these activities can result in FDA enforcement action.</w:t>
      </w:r>
    </w:p>
    <w:p>
      <w:pPr>
        <w:spacing w:after="0" w:line="19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7"/>
          <w:szCs w:val="17"/>
          <w:color w:val="auto"/>
        </w:rPr>
        <w:t>Manufacturers of medical devices are permitted to promote products solely for the uses and indications set forth in the approved or cleared product labeling. Promotion of products for uses not described in the approved or cleared labeling (“off-label” uses) has resulted in enforcement actions against manufacturers, including actions alleging violation of the Federal False Claims Act, federal and state healthcare fraud and abuse laws, and state consumer protection laws.</w:t>
      </w:r>
    </w:p>
    <w:p>
      <w:pPr>
        <w:spacing w:after="0" w:line="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failure to comply with prohibitions on “off-label” promotion can result in significant monetary penalties, suspension of sales of certain products, product recalls, civil or criminal sanctions, exclusion from participating in federal healthcare programs, or other administrative and enforcement actions. In the United States, allegations of such wrongful conduct could also result in a corporate integrity agreement with the U.S. government that imposes significant administrative obligations and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Outside the U.S.</w:t>
      </w:r>
    </w:p>
    <w:p>
      <w:pPr>
        <w:spacing w:after="0" w:line="2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regulatory review process varies from country to country and may in some cases require the submission of clinical data. Our international sales are subject to regulatory requirements in the countries in which our products are sold. For example, the EU has adopted the EU Medical Device Regulation (the “EU MDR”) and the EU In Vitro Diagnostic Regulation (the “EU IVDR”), each of which impose stricter requirements for the marketing and sale of medical devices, including in the area of clinical evaluation requirements, quality systems and postmarket surveillance, than the medical device directives they replace. The EU MDR became fully applicable as of May 26, 2021 and the EU IVDR became fully applicable as of May 26, 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There is a conditional transition period after the date of full application, the duration of which is dependent on the classification of the device. A new EU certificate under the applicable regulations must be obtained prior to the end of the transition period if there is to be no interruption in manufacturing and supply of devices to the market. There are nevertheless a number of provisions that need to be complied with from the date of application, including updating the postmarket surveillance process, appointing an importer for the EU, appointing a person responsible for regulatory compliance, and updating economic operator agreements. Complying with the requirements of these regulations has and will continue to require us to incur significant expenditures. Failure to meet these requirements could adversely impact our business in the EU and other regions that tie their product registrations to the EU requirements. Similarly, the separation of states from participation in the EU, such as through the cessation of the UK’s membership in the EU (commonly known as “Brexit”) and the separation of the Swiss and EU medical product markets with the adoption of the EU MDR (commonly referred to as “Swexit”), may result in further regulatory risk and complexity as the former EU member or participant state establishes separate laws and regulations governing medical products. Regulatory requirements in other jurisdictions also continue to become more stringent, increasing regulatory requirements to register and maintain products in these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Drug Regulation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and Approval</w:t>
      </w:r>
    </w:p>
    <w:p>
      <w:pPr>
        <w:spacing w:after="0" w:line="246"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Under the FDCA, FDA approval of a new drug application, or NDA, is generally required before any new drug can be marketed in the U.S. NDAs require extensive studies and submission of a large amount of data by the applicant.</w:t>
      </w:r>
    </w:p>
    <w:p>
      <w:pPr>
        <w:spacing w:after="0" w:line="19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 generic version of an approved drug is approved by means of an abbreviated new drug application, or ANDA, by which the sponsor demonstrates that the proposed product is the same as the approved, brand-name drug, which is referred to as the “reference listed drug,” or RLD. Generally, an ANDA must contain data and information showing that the proposed generic product and RLD have the same active ingredient, in the same strength and dosage form, to be delivered via the same route of administration, are intended for the same uses and are bioequivalent. This more limited data set is in lieu of independently demonstrating the proposed product’s safety and effectiveness, which are inferred from the fact that the product is the same as the RLD, which the FDA previously found to be safe and effective.</w:t>
      </w:r>
    </w:p>
    <w:p>
      <w:pPr>
        <w:spacing w:after="0" w:line="212"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We currently hold NDAs and ANDAs for liquid solutions (including anticoagulants, intravenous saline and a red blood cell storage solution), which we sell with our blood component and whole blood collection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Regulations</w:t>
      </w:r>
    </w:p>
    <w:p>
      <w:pPr>
        <w:spacing w:after="0" w:line="24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After the FDA permits a drug to enter commercial distribution, numerous regulatory requirements continue to apply. These include the FDA's current cGMPs, which include a series of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and laboratory controls and records and reports. The FDA has also established labeling regulations, advertising and promotion requirements and restrictions, regulations regarding conducting recalls of product and requirements relating to the reporting of adverse events.</w:t>
      </w:r>
    </w:p>
    <w:p>
      <w:pPr>
        <w:spacing w:after="0" w:line="21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Failure to comply with applicable FDA requirements and restrictions in this area may subject a company to adverse publicity, such as warning letters,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entering into agreements with the government that materially restrict the manner in which a company promotes or distributes drug or biological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Outside the U.S.</w:t>
      </w:r>
    </w:p>
    <w:p>
      <w:pPr>
        <w:spacing w:after="0" w:line="24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 letters, injunctions, civil, administrative, or criminal penalties, monetary fines or imprisonment, suspension or withdrawal of regulatory approvals, suspension of ongoing clinical studies, refusal to approve pending applications or supplements to applications filed by us, suspension or the imposition of restrictions on operations, product recalls, the refusal to permit the import or export of our products or the seizure or detention of products.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Conflict Minerals</w:t>
      </w:r>
    </w:p>
    <w:p>
      <w:pPr>
        <w:spacing w:after="0" w:line="24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may be material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well as costs of possible changes to products processes, or sources of supply as a consequence of such verification activities.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Fraud and Abuse Laws</w:t>
      </w:r>
    </w:p>
    <w:p>
      <w:pPr>
        <w:spacing w:after="0" w:line="24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spacing w:after="0" w:line="20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federal healthcare program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 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spacing w:after="0" w:line="2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21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or HIPAA, as amended by the Health Information Technology for Economic and Clinical Health Act, or HITECH, among other things, imposes criminal and civil liability for knowingly and willfully executing a scheme to defraud any healthcare benefit program, including private third party payers and knowingly and willfully falsifying, concealing or covering up a material fact or making any materially false, fictitious or fraudulent statement in connection with the delivery of or payment for healthcare benefits, items or services.</w:t>
      </w:r>
    </w:p>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the Physician Payment Sunshine Act, implemented as the Open Payments program, requires manufacturers of certain products reimbursed by Medicare, Medicaid, or the Children’s Health Insurance Program to track and report information to the federal government on certain payments or transfers of value that they make to physicians (defined to include doctors, dentists, optometrists, podiatrists and chiropractors), physician assistants, nurse practitioners, clinical nurse specialists, certified registered nurse anesthetists, anesthesiologist assistants, certified nurse midwives and teaching hospitals, as well as ownership</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and investment interests held by physicians and their immediate family members. Manufacturers are also required to collect information regarding payments and other transfers of value to physician assistants, nurse practitioners, clinical nurse specialists, anesthesiologist assistants, certified registered nurse anesthetists and certified nurse-midwives for reporting. The reported data is made available in searchable form on a public website on an annual basis. Failure to submit required information may result in civil monetary penalties.</w:t>
      </w:r>
    </w:p>
    <w:p>
      <w:pPr>
        <w:spacing w:after="0" w:line="20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Many states have adopted analogous laws and regulations, including state anti-kickback and false claims laws, which may apply to items or services reimbursed under Medicaid and other state programs or, in several states, regardless of the payer.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countries, including a number of EU Member States, have laws of similar application.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and emerging industry expectations that may present a significant risk to the business, including laws or regulations relating to the manufacture or sale of products using plastics and evolving customer expectations with respect to environmental stewardship.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48" w:lineRule="exact"/>
        <w:rPr>
          <w:sz w:val="20"/>
          <w:szCs w:val="20"/>
          <w:color w:val="auto"/>
        </w:rPr>
      </w:pPr>
    </w:p>
    <w:p>
      <w:pPr>
        <w:jc w:val="both"/>
        <w:ind w:right="40"/>
        <w:spacing w:after="0" w:line="304" w:lineRule="auto"/>
        <w:rPr>
          <w:sz w:val="20"/>
          <w:szCs w:val="20"/>
          <w:color w:val="auto"/>
        </w:rPr>
      </w:pPr>
      <w:r>
        <w:rPr>
          <w:rFonts w:ascii="Times New Roman" w:cs="Times New Roman" w:eastAsia="Times New Roman" w:hAnsi="Times New Roman"/>
          <w:sz w:val="17"/>
          <w:szCs w:val="17"/>
          <w:color w:val="auto"/>
        </w:rPr>
        <w:t>We are committed to building a collaborative, performance-driven culture that attracts and retains top talent. As of March 30, 2024, we employed the full-time equivalent of 3,657 persons. Approximately 82% of our employees are located in North America and the remaining 18% are located across 19 other countries.</w:t>
      </w:r>
    </w:p>
    <w:p>
      <w:pPr>
        <w:spacing w:after="0" w:line="16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In our industry, there is substantial competition for key personnel in the regions in which we operate. Recruiting, developing, engaging and retaining talented employees is critical to both our strategy and our ability to compete effectively in the markets we serve. Our human capital strategy focuses on a complementary set of initiatives designed to support our corporate strategy and secure top talent, including the following:</w:t>
      </w:r>
    </w:p>
    <w:p>
      <w:pPr>
        <w:spacing w:after="0" w:line="202" w:lineRule="exact"/>
        <w:rPr>
          <w:sz w:val="20"/>
          <w:szCs w:val="20"/>
          <w:color w:val="auto"/>
        </w:rPr>
      </w:pPr>
    </w:p>
    <w:p>
      <w:pPr>
        <w:ind w:left="640" w:right="240" w:hanging="316"/>
        <w:spacing w:after="0" w:line="25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dedicate meaningful time and resources to employee development, training and succession planning. </w:t>
      </w:r>
      <w:r>
        <w:rPr>
          <w:rFonts w:ascii="Times New Roman" w:cs="Times New Roman" w:eastAsia="Times New Roman" w:hAnsi="Times New Roman"/>
          <w:sz w:val="18"/>
          <w:szCs w:val="18"/>
          <w:color w:val="auto"/>
        </w:rPr>
        <w:t>Pursuant to our Principles of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our Board of Directors plans for succession to the position of Chief Executive Officer as well as other senior leadership positions and reviews potential successors to these roles at least annually. We maintain a robust performance management review process for our permanent employees below the senior leadership level to help develop talent and ensure alignment of performance goals at every level of the organization throughout the fiscal year. Additionally, we offer a variety of programs and resources designed to facilitate our employees’ career development, training and networking, including:</w:t>
      </w:r>
    </w:p>
    <w:p>
      <w:pPr>
        <w:spacing w:after="0" w:line="213" w:lineRule="exact"/>
        <w:rPr>
          <w:rFonts w:ascii="Times New Roman" w:cs="Times New Roman" w:eastAsia="Times New Roman" w:hAnsi="Times New Roman"/>
          <w:sz w:val="18"/>
          <w:szCs w:val="18"/>
          <w:color w:val="auto"/>
        </w:rPr>
      </w:pPr>
    </w:p>
    <w:p>
      <w:pPr>
        <w:ind w:left="1280" w:right="520" w:hanging="320"/>
        <w:spacing w:after="0" w:line="257" w:lineRule="auto"/>
        <w:tabs>
          <w:tab w:leader="none" w:pos="127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development planning by employees, in consultation with their managers, to help define individual development goals and facilitate manager coaching and feedback;</w:t>
      </w:r>
    </w:p>
    <w:p>
      <w:pPr>
        <w:ind w:left="1280" w:right="40" w:hanging="320"/>
        <w:spacing w:after="0" w:line="245" w:lineRule="auto"/>
        <w:tabs>
          <w:tab w:leader="none" w:pos="127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development sessions focused on developing core leadership competencies, including performance management training, coaching and feedback and building trust;</w:t>
      </w:r>
    </w:p>
    <w:p>
      <w:pPr>
        <w:spacing w:after="0" w:line="1" w:lineRule="exact"/>
        <w:rPr>
          <w:rFonts w:ascii="Times New Roman" w:cs="Times New Roman" w:eastAsia="Times New Roman" w:hAnsi="Times New Roman"/>
          <w:sz w:val="18"/>
          <w:szCs w:val="18"/>
          <w:color w:val="auto"/>
        </w:rPr>
      </w:pPr>
    </w:p>
    <w:p>
      <w:pPr>
        <w:ind w:left="1280" w:right="480" w:hanging="320"/>
        <w:spacing w:after="0" w:line="245" w:lineRule="auto"/>
        <w:tabs>
          <w:tab w:leader="none" w:pos="127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 training for employees, including through our internal learning management platform, to promote individual development, strengthen our culture and drive compliance and quality across our organization;</w:t>
      </w:r>
    </w:p>
    <w:p>
      <w:pPr>
        <w:spacing w:after="0" w:line="1" w:lineRule="exact"/>
        <w:rPr>
          <w:rFonts w:ascii="Times New Roman" w:cs="Times New Roman" w:eastAsia="Times New Roman" w:hAnsi="Times New Roman"/>
          <w:sz w:val="18"/>
          <w:szCs w:val="18"/>
          <w:color w:val="auto"/>
        </w:rPr>
      </w:pPr>
    </w:p>
    <w:p>
      <w:pPr>
        <w:ind w:left="1280" w:hanging="320"/>
        <w:spacing w:after="0" w:line="245" w:lineRule="auto"/>
        <w:tabs>
          <w:tab w:leader="none" w:pos="127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programs that provide eligible U.S. and Canadian employees with the opportunity to be reimbursed (up to a set dollar limit) for tuition and certain other expenses associated with degree programs, certifications and continuing education courses that relate to their work at the Company; and</w:t>
      </w:r>
    </w:p>
    <w:p>
      <w:pPr>
        <w:spacing w:after="0" w:line="2"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recognition of employees across the organization who personify our core values.</w:t>
      </w:r>
    </w:p>
    <w:p>
      <w:pPr>
        <w:spacing w:after="0" w:line="208" w:lineRule="exact"/>
        <w:rPr>
          <w:rFonts w:ascii="Times New Roman" w:cs="Times New Roman" w:eastAsia="Times New Roman" w:hAnsi="Times New Roman"/>
          <w:sz w:val="18"/>
          <w:szCs w:val="18"/>
          <w:color w:val="auto"/>
        </w:rPr>
      </w:pPr>
    </w:p>
    <w:p>
      <w:pPr>
        <w:ind w:left="640" w:right="320" w:hanging="316"/>
        <w:spacing w:after="0" w:line="24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engage regularly with our employees. </w:t>
      </w:r>
      <w:r>
        <w:rPr>
          <w:rFonts w:ascii="Times New Roman" w:cs="Times New Roman" w:eastAsia="Times New Roman" w:hAnsi="Times New Roman"/>
          <w:sz w:val="18"/>
          <w:szCs w:val="18"/>
          <w:color w:val="auto"/>
        </w:rPr>
        <w:t>Our senior leadership team participates in scheduled meetings with our employees throughout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 including quarterly Town Halls with our global workforce – to reiterate strategic priorities, provide business updates, recognize employee contributions and answer employee questions. We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right="100"/>
        <w:spacing w:after="0" w:line="236" w:lineRule="auto"/>
        <w:rPr>
          <w:sz w:val="20"/>
          <w:szCs w:val="20"/>
          <w:color w:val="auto"/>
        </w:rPr>
      </w:pPr>
      <w:r>
        <w:rPr>
          <w:rFonts w:ascii="Times New Roman" w:cs="Times New Roman" w:eastAsia="Times New Roman" w:hAnsi="Times New Roman"/>
          <w:sz w:val="18"/>
          <w:szCs w:val="18"/>
          <w:color w:val="auto"/>
        </w:rPr>
        <w:t>also regularly solicit perspectives from our workforce through surveys and other communications channels. At least 90% of global employees participated in our annual engagement surveys conducted between fiscal 2019 and fiscal 2023. Feedback from these surveys was shared across the organization and informed both Company-sponsored initiatives and shared action plans between managers and direct reports. Beginning in fiscal 2024, we updated our strategic listening approach by transitioning to a biennial annual engagement survey and introducing short pulse surveys throughout the year that allow us to receive more real-time employee feedback and take prompt action as needed to enhance our talent attraction and retention capabilities.</w:t>
      </w:r>
    </w:p>
    <w:p>
      <w:pPr>
        <w:spacing w:after="0" w:line="221" w:lineRule="exact"/>
        <w:rPr>
          <w:sz w:val="20"/>
          <w:szCs w:val="20"/>
          <w:color w:val="auto"/>
        </w:rPr>
      </w:pPr>
    </w:p>
    <w:p>
      <w:pPr>
        <w:ind w:left="640" w:right="60" w:hanging="316"/>
        <w:spacing w:after="0" w:line="268"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seek to foster a diverse workforce and an inclusive culture. </w:t>
      </w:r>
      <w:r>
        <w:rPr>
          <w:rFonts w:ascii="Times New Roman" w:cs="Times New Roman" w:eastAsia="Times New Roman" w:hAnsi="Times New Roman"/>
          <w:sz w:val="17"/>
          <w:szCs w:val="17"/>
          <w:color w:val="auto"/>
        </w:rPr>
        <w:t>We recognize that the diversity of our teams and their ideas helps build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collaborative, performance-driven culture, and we are committed to providing an inclusive environment where every individual has the opportunity to thrive. Accordingly, we focus attention and purposeful investments on developing our diversity, equity and inclusion programs and practices and take steps to ensure consistent and fair pay practices. We also require that employees complete annual training on our Code of Conduct (which includes specific modules on how to promote an inclusive culture and help identify and prevent unlawful discrimination) as well as standalone anti-harassment and anti-discrimination training. Additionally, we maintain company-sponsored Colleague Resource Groups designed to provide a forum for employees with shared affinities to connect, advance business priorities and drive talent strategies with an inclusive focus.</w:t>
      </w:r>
    </w:p>
    <w:p>
      <w:pPr>
        <w:spacing w:after="0" w:line="207" w:lineRule="exact"/>
        <w:rPr>
          <w:rFonts w:ascii="Times New Roman" w:cs="Times New Roman" w:eastAsia="Times New Roman" w:hAnsi="Times New Roman"/>
          <w:sz w:val="17"/>
          <w:szCs w:val="17"/>
          <w:color w:val="auto"/>
        </w:rPr>
      </w:pPr>
    </w:p>
    <w:p>
      <w:pPr>
        <w:ind w:left="640" w:hanging="316"/>
        <w:spacing w:after="0" w:line="249" w:lineRule="auto"/>
        <w:tabs>
          <w:tab w:leader="none" w:pos="62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i w:val="1"/>
          <w:iCs w:val="1"/>
          <w:color w:val="auto"/>
        </w:rPr>
        <w:t>We offer market-competitive compensation opportunities and benefits that are designed to attract, retain and motivate exceptional employees and drive both individual and company performance</w:t>
      </w:r>
      <w:r>
        <w:rPr>
          <w:rFonts w:ascii="Times New Roman" w:cs="Times New Roman" w:eastAsia="Times New Roman" w:hAnsi="Times New Roman"/>
          <w:sz w:val="18"/>
          <w:szCs w:val="18"/>
          <w:color w:val="auto"/>
        </w:rPr>
        <w:t>. In addition to base salary, most of our employees have variable components to their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tied to achievement of corporate and individual performance goals, the fluctuations of our stock price, or a combination of both. We also offer a comprehensive package of global benefits to support the health and well-being of our employees and their families and continually introduce new and enhanced benefit offerings to meet the evolving needs of our workforce and to remain competitive in local markets, including a hybrid work offering for our corporate offices in the U.S. and certain other jurisdictions.</w:t>
      </w:r>
    </w:p>
    <w:p>
      <w:pPr>
        <w:spacing w:after="0" w:line="210" w:lineRule="exact"/>
        <w:rPr>
          <w:rFonts w:ascii="Times New Roman" w:cs="Times New Roman" w:eastAsia="Times New Roman" w:hAnsi="Times New Roman"/>
          <w:sz w:val="19"/>
          <w:szCs w:val="19"/>
          <w:color w:val="auto"/>
        </w:rPr>
      </w:pPr>
    </w:p>
    <w:p>
      <w:pPr>
        <w:ind w:left="640" w:right="60" w:hanging="316"/>
        <w:spacing w:after="0" w:line="25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maintain policies and practices to promote employee health and safety</w:t>
      </w:r>
      <w:r>
        <w:rPr>
          <w:rFonts w:ascii="Times New Roman" w:cs="Times New Roman" w:eastAsia="Times New Roman" w:hAnsi="Times New Roman"/>
          <w:sz w:val="18"/>
          <w:szCs w:val="18"/>
          <w:color w:val="auto"/>
        </w:rPr>
        <w:t>. As a Company, we are committed to making our workplaces safe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 This includes eliminating unsafe work practices and workplace injuries and illnesses and promoting the health, safety and well-being of all employees, contractors and visitors. Important objectives in achieving our vision include creating a positive safety culture, maintaining an effective safety management system and reducing risk in the workplace. Among other things, we utilize a third-party enterprise compliance and risk management solution at all of our locations to track incidents. We also require tailored health and safety compliance training for all site employees as well as annual training for all employees on our Code of Conduct, which includes a specific module on health and safety.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Reports and Other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Principles of Corporate Governance, Code of Conduct and the charters of the Audit, Compensation, Governance and Compliance and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Committees of our Board of Directors are published on the Investor Relations section of our website at </w:t>
      </w:r>
      <w:r>
        <w:rPr>
          <w:rFonts w:ascii="Times New Roman" w:cs="Times New Roman" w:eastAsia="Times New Roman" w:hAnsi="Times New Roman"/>
          <w:sz w:val="17"/>
          <w:szCs w:val="17"/>
          <w:u w:val="single" w:color="auto"/>
          <w:color w:val="0000FF"/>
        </w:rPr>
        <w:t>www.haemonetics.com</w:t>
      </w:r>
      <w:r>
        <w:rPr>
          <w:rFonts w:ascii="Times New Roman" w:cs="Times New Roman" w:eastAsia="Times New Roman" w:hAnsi="Times New Roman"/>
          <w:sz w:val="17"/>
          <w:szCs w:val="17"/>
          <w:color w:val="auto"/>
        </w:rPr>
        <w:t>. On this website the public can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access, free of charge, our annual, quarterly and current reports and other documents filed or furnished to the Securities and Exchange Commission,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as soon as reasonably practicable after we electronically file such material with, or furnish it to, the SEC. The SEC maintains an internet site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documents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4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2"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this report.</w:t>
      </w:r>
    </w:p>
    <w:p>
      <w:pPr>
        <w:spacing w:after="0" w:line="190"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long-term strategic and financial-improvement goals;</w:t>
      </w:r>
    </w:p>
    <w:p>
      <w:pPr>
        <w:spacing w:after="0" w:line="243" w:lineRule="exact"/>
        <w:rPr>
          <w:rFonts w:ascii="Times New Roman" w:cs="Times New Roman" w:eastAsia="Times New Roman" w:hAnsi="Times New Roman"/>
          <w:sz w:val="18"/>
          <w:szCs w:val="18"/>
          <w:color w:val="auto"/>
        </w:rPr>
      </w:pPr>
    </w:p>
    <w:p>
      <w:pPr>
        <w:ind w:left="640" w:right="40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89"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89"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89" w:lineRule="exact"/>
        <w:rPr>
          <w:rFonts w:ascii="Times New Roman" w:cs="Times New Roman" w:eastAsia="Times New Roman" w:hAnsi="Times New Roman"/>
          <w:sz w:val="18"/>
          <w:szCs w:val="18"/>
          <w:color w:val="auto"/>
        </w:rPr>
      </w:pPr>
    </w:p>
    <w:p>
      <w:pPr>
        <w:ind w:left="640" w:right="10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including the Company’s acquisitions of OpSens Inc. and Attune Medical, divestitures or other strategic investments by the Company may not be realized or may take longer to realize than expected;</w:t>
      </w:r>
    </w:p>
    <w:p>
      <w:pPr>
        <w:spacing w:after="0" w:line="204"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176" w:lineRule="exact"/>
        <w:rPr>
          <w:rFonts w:ascii="Times New Roman" w:cs="Times New Roman" w:eastAsia="Times New Roman" w:hAnsi="Times New Roman"/>
          <w:sz w:val="18"/>
          <w:szCs w:val="18"/>
          <w:color w:val="auto"/>
        </w:rPr>
      </w:pPr>
    </w:p>
    <w:p>
      <w:pPr>
        <w:ind w:left="640" w:right="40" w:hanging="316"/>
        <w:spacing w:after="0" w:line="23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spacing w:after="0" w:line="222"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anticipated benefits of restructuring programs that we have or may undertake, including the Operational Excellence Program and portfolio rationalization initiatives;</w:t>
      </w:r>
    </w:p>
    <w:p>
      <w:pPr>
        <w:spacing w:after="0" w:line="189"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impact of enhanced requirements to obtain regulatory approval in the U.S. and around the world and the associated timing and cost of product approval;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right="2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FCPA, EU MDR/EU IVDR and similar laws in other jurisdictions, as well as U.S. and foreign export and import restrictions and tariffs;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Taiwan, Russia, Ukraine, the Middle East and other foreign jurisdictions where we do business;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sales, expenses and resulting margins;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243"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impacting our stock price and/or our share repurchase program, and the possibility that such share repurchase program may be delayed, suspended or discontinued;</w:t>
      </w:r>
    </w:p>
    <w:p>
      <w:pPr>
        <w:spacing w:after="0" w:line="189"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against our corporate responsibility initiatives and meet evolving stakeholder expectations concerning corporate responsibility matters; and</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public health crises.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Please refer to the cautionary statements made under the heading “Cautionary Statement Regarding Forward-Looking Information” at the end of Item 1 of this Annual Report on Form 10-K for more information on the qualifications and limitations on forward-looking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4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business strategy does not yield the expected results or we fail to implement the necessary changes to our operations, we could see material adverse effects on our business, financial condition or results of operations.</w:t>
      </w:r>
    </w:p>
    <w:p>
      <w:pPr>
        <w:spacing w:after="0" w:line="18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 If we have not correctly identified the product categories with greatest growth potential, we will not allocate our resources appropriately which could have a material adverse effect on our business, financial condition or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reductions in purchasing from or loss of a significant customer could adversely affect our business.</w:t>
      </w:r>
    </w:p>
    <w:p>
      <w:pPr>
        <w:spacing w:after="0" w:line="24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fiscal 2024, our ten largest customers accounted for approximately 48% of our net revenues. As previously disclosed, our largest Plasma customer, CSL, informed us in April 2021 of its intent not to renew its supply agreement for the use of PCS2 plasma collection system devices and the purchase of disposable plasmapheresis kits in the U.S. following the expiration of the then current term of its contract, which was subsequently extended on a non-exclusive basis through December 2025. Any non-renewal, termination, material reduction in purchasing or material reduction in per unit pricing by any of our largest customers for any reason, including material decreases in demand for plasma or development of alternative processes, could have a material adverse effect on our business, financial condition or results or operations.</w:t>
      </w:r>
    </w:p>
    <w:p>
      <w:pPr>
        <w:spacing w:after="0" w:line="208"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successfully expand our product lines through internal research and new product development or keep pace with rapid technological changes in the healthcare industry, our business may be materially and adversely affected.</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 significant element of our strategy is to increase revenue growth by focusing on innovation and new product development. The medical device markets in which we participate, however, are highly competitive. We encounter significant competition across our product lines and in each market in which our products are sold from various medical device companies, some of whom have greater financial and marketing resources than we do. In addition, the medical device markets in which we participate and healthcare industry generally are characterized by extensive research and development and rapid technological change.</w:t>
      </w:r>
    </w:p>
    <w:p>
      <w:pPr>
        <w:spacing w:after="0" w:line="19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New product development requires significant investment in research and development, clinical trials and regulatory approvals. The results of our product development efforts may be affected by a number of factors, including our ability to anticipate customer needs, innovate and develop new products and technologies, effectively use artificial intelligence (AI) and machine learning capabilities, successfully complete clinical trials, obtain regulatory approvals in the United States and abroad, manufacture products in a cost-effective manner, obtain appropriate intellectual property protection for our products, and gain and maintain market acceptance of our products. In addition, patents attained by others could preclude or delay our commercialization of a product. There can be no assurance that any products now in development or that we may seek to develop in the future will achieve technological feasibility, obtain regulatory approval or gain market acceptance. If we fail to develop new products or enhance existing products, or if competitive technologies or therapeutic alternatives to plasma-derived pharmaceuticals in development, such as FcRn-targeted therapies, emerge and gain market acceptance, such events could have a material adverse effect on our business, financial condition or results of operations. In addition, a delay in the timing of the launch of next-generation products and the overall performance of, and continued customer confidence in, those products may result in declines in our market share and have an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quality issues associated with our products could adversely affect the results of operations.</w:t>
      </w:r>
    </w:p>
    <w:p>
      <w:pPr>
        <w:spacing w:after="0" w:line="24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serious and costly consequences of product failure. Manufacturing or design defects, component failures, 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w:t>
      </w:r>
    </w:p>
    <w:p>
      <w:pPr>
        <w:spacing w:after="0" w:line="213"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systems and subject to privacy and security laws and a cyber-attack or other breach of these systems could have a material adverse effect on our business, financial condition or results of operations.</w:t>
      </w:r>
    </w:p>
    <w:p>
      <w:pPr>
        <w:spacing w:after="0" w:line="18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increasingly rely on information technology systems, including cloud-based computing, to process, transmit and store electronic information for our day-to-day operations and for our customers, including sensitive personal information and proprietary or confidential information. Additionally, certain of our products collect data regarding patients and donors and connect to our systems for maintenance and other purposes or are actively managed by Haemonetics on behalf of specific customers. Similar to other large multi-national companies, the size and complexity of our information technology systems makes them vulnerable to a cyber-attack, malicious intrusion, breakdown, destruction, loss of data privacy, or other significant disruption. We also outsource certain elements of our information technology systems to third parties that, as a result of this outsourcing, could have access to certain confidential information and whose systems may also be vulnerable to these types of attacks or disruptions. While we conduct security risk assessments prior to engaging third party suppliers and other vendors and business partners to validate that they maintain appropriate safeguards to protect our and their information systems in connection with the services they provide, it is possible that they suffer a cyber-attack that impacts us. Security threats, including cyber and other attacks are becoming increasingly sophisticated, frequent, and adaptive and, like other large multi-national companies, we have experienced cyber incidents in the past and may experience them in the future. Accordingly,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Based on the information available as of the date of this Annual Report on Form 10-K, we are not aware of any risks from cybersecurity threats, including as a result of any previous cybersecurity incidents, that have materially affected or are reasonably likely to materially affect us, including our business strategy, results of operation or financial condition. While we have invested and continue to invest in the protection of personal information and proprietary or confidential information, there can be no assurance that our efforts will prevent cyber-attacks, intrusions, breakdowns or other incidents or ensure compliance with all applicable securities and privacy laws, regulations, standard standards. In addition, third parties may attempt to hack into our products to obtain data relating to patients with our products or our proprietary information. Emerging technologies such as generative AI may be used by malicious actors to create more targeted phishing narratives or otherwise strengthen social engineering capabilities, which may increase our threat landscape.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23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Additionally, the legal and regulatory environment surrounding information security and privacy is increasingly demanding, with the imposition of new and changing requirements across businesses, including rules requiring timely public disclosure of cybersecurity incidents. We are required to comply with increasingly complex and changing legal and regulatory requirements that govern the collection, use, storage, security, transfer, disclosure and other processing of personal data in the United States and in other countries, including, but not limited to, HIPAA, HITECH, the California Consumer Privacy Act, or CCPA, the California Privacy Rights Act, and the EU’s General Data Protection Regulation, or GDPR. The GDPR imposes stringent EU data protection requirements and provides for significant penalties for noncompliance. HIPAA also imposes stringent data</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privacy and security requirements and the regulatory authority has imposed significant fines and penalties on organizations found to be out of compliance. CCPA provides consumers with a private right of action against companies who have a security breach due to lack of appropriate security measures, and several other U.S. states have introduced or proposed similar privacy laws which may apply to us directly or indirectly through our customers, manufacturers, suppliers or other third-party partners. In addition, new information security and privacy laws have also come into effect in China and other countries where we conduct business. We or our third-party providers and business partners may also be subjected to audits or investigations by one or more domestic or foreign government agencies relating to compliance with information security and privacy laws and regulations, and noncompliance with the laws and regulations could results in material fines or litigation.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business development activities are unsuccessful, we may not realize the intended benefits.</w:t>
      </w:r>
    </w:p>
    <w:p>
      <w:pPr>
        <w:spacing w:after="0" w:line="24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sought and in the future may seek to supplement our organic growth through strategic acquisitions, investments and alliances, including our recent acquisitions of OpSens Inc. and Attune Medical. We have also sought and in the future may seek to divest certain assets deemed non-core to our long-term strategic objectives. Such transactions are inherently risky and require significant effort and management attention. The success of any acquisition, investment or alliance, or of any divestiture, may be affected by a number of factors, including our ability to properly assess and value the potential business opportunity or to successfully integrate any business we may acquire into our existing business.</w:t>
      </w:r>
    </w:p>
    <w:p>
      <w:pPr>
        <w:spacing w:after="0" w:line="19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Promising partnerships and acquisitions may also not be completed for reasons such as competition among prospective partners or buyers, the inability to reach satisfactory terms, the need for regulatory approvals or the existence of economic conditions affecting our access to capital for acquisitions and other capital investments. If we are successful in completing partnerships and acquisitions, we may be required to expend significant funds, incur additional debt or</w:t>
      </w:r>
    </w:p>
    <w:p>
      <w:pPr>
        <w:spacing w:after="0" w:line="1"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7"/>
          <w:szCs w:val="17"/>
          <w:color w:val="auto"/>
        </w:rPr>
        <w:t>other obligations, or issue additional securities, which may negatively affect our operating results and financial condition. If we spend significant funds or incur additional debt or obligations, our ability to obtain financing for working capital or other purposes could be adversely affected, and we may be more</w:t>
      </w:r>
    </w:p>
    <w:p>
      <w:pPr>
        <w:spacing w:after="0" w:line="1"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color w:val="auto"/>
        </w:rPr>
        <w:t>vulnerable to economic downturns and competitive pressures. In connection with our recent acquisitions of OpSens Inc. and Attune Medical, we incurred approximately $230.0 million in debt under our senior unsecured revolving credit facility that, after giving effect to our entry into a second amended and restated credit agreement in April 2024, reduces the available borrowing amount under our senior unsecured revolving credit facility to $520.0 million and must be repaid by April 2029.</w:t>
      </w:r>
    </w:p>
    <w:p>
      <w:pPr>
        <w:spacing w:after="0" w:line="219"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If our business development activities are unsuccessful, we may not realize the intended benefits of such activities, including that acquisition and integration costs may be greater than expected or the possibility that expected return on investment synergies and accretion, or on new growth opportunities funded in whole or part by divestitures, will not be realized or will not be realized within the expected timeframe.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outsource certain aspects of our business to a single third-party vendor that subjects us to risks, including disruptions in business and increased costs.</w:t>
      </w:r>
    </w:p>
    <w:p>
      <w:pPr>
        <w:spacing w:after="0" w:line="259"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Accordingly, we are subject to the risks associated with the vendor’s ability to successfully provide the necessary services to meet our needs.</w:t>
      </w:r>
    </w:p>
    <w:p>
      <w:pPr>
        <w:spacing w:after="0" w:line="207"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18"/>
          <w:szCs w:val="18"/>
          <w:color w:val="auto"/>
        </w:rPr>
        <w:t>If our vendor is unable to adequately protect our data or information is lost, if our ability to deliver our services is interrupted (including as a result of significant outbreaks of disease, natural disasters, extreme weather and other conditions caused by or related to climate change, strikes, terrorism attacks, cyber incidents or other adverse events in the countries in which the vendor operates), if our vendor's fees are higher than expected, if our vendor makes mistakes in the execution of operations support, or if the vendor terminates our relationship, then our business and operating results may be negatively affected.</w:t>
      </w:r>
    </w:p>
    <w:p>
      <w:pPr>
        <w:spacing w:after="0" w:line="208" w:lineRule="exact"/>
        <w:rPr>
          <w:sz w:val="20"/>
          <w:szCs w:val="20"/>
          <w:color w:val="auto"/>
        </w:rPr>
      </w:pPr>
    </w:p>
    <w:p>
      <w:pPr>
        <w:ind w:right="62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demand for whole blood disposable products in the U.S. continues to decrease due to sustained declines in transfusion rates caused by hospitals’ improved blood management techniques and protocols. In response to this trend, U.S. blood center collection groups are primarily focused on obtaining the lowest average selling prices for their whole blood collection products. We expect to see continued declines in transfusion rates and the market to remain price-focused and highly competitive for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foreseeable future. Continued declines in this market could have a material adverse effect on our liquidity and results of operations.</w:t>
      </w:r>
    </w:p>
    <w:p>
      <w:pPr>
        <w:spacing w:after="0" w:line="24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Consolidation of healthcare providers and blood collectors, healthcare cost containment pressures, government payment and delivery system reforms and changes in private payer policies could decrease demand for our products, the prices which customers are willing to pay for those products and/or the number of procedures performed using our devices, which could have an adverse effect on our business, financial condition and results of operations.</w:t>
      </w:r>
    </w:p>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are causing structural reforms in healthcare delivery, including the reduction in blood use and reduced payments for care. These trends have placed greater pricing pressure on suppliers and, in some cases, decreased average selling prices and increased the number of sole source relationships. This pressure impacts our Hospital and Blood Center businesses. Our vascular closure devices, for example, are often perceived as physician preference devices with a relatively higher price point compared to certain vascular closure alternatives such as sutures or manual compression, and purchases are commonly made by a hospital only after approval by its value analysis committee. If a hospital value analysis committee does not approve or revokes prior approval for any of the reasons set forth above, the demand for our vascular closure devices may decrease and we could experience an adverse effect on our results of operations or financial condition. Additionally, while Hospital capital purchase patterns have increased from initially depressed levels during the COVID-19 pandemic, it is difficult to predict the long-term impact of the pandemic on hospital spending patterns.</w:t>
      </w:r>
    </w:p>
    <w:p>
      <w:pPr>
        <w:spacing w:after="0" w:line="2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influence of integrated delivery networks, group purchasing organizations and large single accounts has the potential to put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207"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7"/>
          <w:szCs w:val="17"/>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8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 interruption in our ability to manufacture our products, obtain key components or raw materials, or the failure of a sole source supplier or sterilization service provider may adversely affect our business.</w:t>
      </w:r>
    </w:p>
    <w:p>
      <w:pPr>
        <w:spacing w:after="0" w:line="187"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We have a complex global supply chain that involves integrating key suppliers and our manufacturing capacity into a global movement of components and finished goods.</w:t>
      </w:r>
    </w:p>
    <w:p>
      <w:pPr>
        <w:spacing w:after="0" w:line="19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manufacture certain key disposables and devices at single locations with limited alternate facilities. If natural disasters, extreme weather and other conditions caused by or related to climate change, strikes, terrorism attacks or other adverse events occur that result in the closure of or damage to one or more of these facilities, we may be unable to supply the relevant products at previous levels or at all for some period. Additionally, for reasons of quality assurance or cost effectiveness, we purchase certain finished goods, components and raw materials from sole suppliers who have their own complex supply chains. We have experienced increased levels of unpredictability in the supply of certain raw materials and components, including semiconductor chips, used in the manufacturing of our products. While we continue to believe we will have access to the raw materials and components that we need, any disruption to one or more of our suppliers’ production or delivery of sufficient volumes of raw materials and components conforming to our specifications could disrupt or delay our ability to deliver finished products to our customers. For example, we purchase components in Asia for use in manufacturing in the U.S. and Mexico. We source all of our apheresis equipment from Asia and regularly ship finished goods from the U.S. and Mexico to the rest of the world.</w:t>
      </w:r>
    </w:p>
    <w:p>
      <w:pPr>
        <w:spacing w:after="0" w:line="204"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Many of our products also require sterilization prior to sale or distribution and we utilize a mix of internal resources and contract sterilizers to perform this service. To the extent we or our contract sterilizers are unable to sterilize our products, whether due to capacity, availability of materials for sterilization, regulatory or other constraints, including federal and state regulations on the use of ethylene oxide, we may be unable to transition to alternative internal or external resources or methods in a timely or cost effective manner, or at all, which could have a material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In addition, we manufacture our vascular closure devices under a shelter plan service agreement with Offshore International Incorporated (d/b/a Tetakawi) pursuant to which we lease our manufacturing facility in Guaymas, Mexico. Tetakawi is responsible for a number of ongoing services related to the facility, including provision of external security and maintenance, manufacturing personnel related human resource matters, recruiting support, government compliance, workforce transportation and cross-border shipping of raw components. We are reliant on Tetakawi to provide these services and any disruption in these services or our failure to maintain our contractual relationship with Tetakawi could significantly harm our ability to manufacture our vascular closure devices and maintain sufficient quality standards, which would negatively impact our business and results of operations.</w:t>
      </w:r>
    </w:p>
    <w:p>
      <w:pPr>
        <w:spacing w:after="0" w:line="21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Due to the high standards and stringent requirements of the FDA and other similar non-U.S. regulatory agencies applicable to manufacturing our products, such as the FDA’s QSR and cGMP regulations, we also may not be able to quickly establish additional or replacement sources for certain raw materials, components or finished goods. A reduction or interruption in manufacturing, or an inability to secure alternative sources of raw materials, components or finished goods on commercially reasonable terms or in a timely manner, could compromise our ability to manufacture our products on a timely and cost-competitive basis, which may have a material adverse effect on our business, financial condition and results of operations.</w:t>
      </w:r>
    </w:p>
    <w:p>
      <w:pPr>
        <w:spacing w:after="0" w:line="208"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the cost, composition or availability of the plastics and resins we purchase, or of other raw materials and components used in our products, could adversely affect our business, financial condition and results of operations.</w:t>
      </w:r>
    </w:p>
    <w:p>
      <w:pPr>
        <w:spacing w:after="0" w:line="18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face risks related to the price, composition and availability of plastic raw materials used in our disposable products, which represent a substantial portion of our revenues. Material or sustained increases in the price of petroleum or petroleum derivatives could have an adverse impact on the costs to procure plastic raw materials. Additionally, our results of operations could be negatively impacted by volatility in the cost or availability of these and other raw materials and components used in our products that, in turn, increase the costs of producing and distributing our products. In recent years, we have experienced inflationary pressures that have significantly increased the cost of raw materials, transportation, construction, services and energy necessary for the production and distribution of our products. Continued uncertainty around inflationary pressures, rising interest rates and macroeconomic conditions have increased the risk of creating new, or exacerbating existing, economic challenges we face. While we have implemented cost containment measures, selective price increases and taken other actions to offset these inflationary pressures in our global supply chain, we may not be able to completely offset all the increases in our operational costs. Additionally, climate change (including laws or regulations passed in response thereto) could increase our supply costs, including energy and transportation/freight-related expenses, or reduce the availability of raw materials.</w:t>
      </w:r>
    </w:p>
    <w:p>
      <w:pPr>
        <w:spacing w:after="0" w:line="2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composition of the plastic we purchase is also important. Due to regulatory changes and evolving customer expectations, we may be required to remove materials such as phthalates or PFAS from our devices, find alternative materials which then need to be validated or obtain regulatory approvals from the regulatory authorities for a number of products.</w:t>
      </w:r>
    </w:p>
    <w:p>
      <w:pPr>
        <w:spacing w:after="0" w:line="20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While we have not experienced significant shortages in the past, any interruption in the supply for certain plastics could have a material impact on our business by limiting our ability to manufacture and sell the products that represent a significant portion of our revenues. These outcomes may in turn result in customers transitioning to available competitive products, loss of market share, negative publicity, reputational damage, loss of customer confidence or other negative consequences (including a decline in stock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we expect from our Operational Excellence Program.</w:t>
      </w:r>
    </w:p>
    <w:p>
      <w:pPr>
        <w:spacing w:after="0" w:line="2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July 2019, our Board of Directors approved the Operational Excellence Program, also referred to in this report as the 2020 Program, and delegated authority to management to determine the detail of the initiatives that will comprise the program. While cost savings from the 2020 Program to date have been consistent with our expectations, it is possible that events and circumstances, such as rising interest rates, macroeconomic uncertainty and the related impacts on us, our customers and suppliers could result in our not realizing all of the anticipated benefits or our not realizing the anticipated benefits on our expected timetable. Additionally, any material reduction in purchases by significant customers and any actions we take in response to such anticipated reduction could result in a decrease in benefits we realize under the 2020 Program. Our inability to realize all of the anticipated benefits from the 2020 Program could have a material adverse effect on our business, results of operations, cash flows and financial condition.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42"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a medical device and drug manufacturer, we operate in a highly regulated industry, and non-compliance with applicable laws or regulations could adversely affect our financial condition and results of operations.</w:t>
      </w:r>
    </w:p>
    <w:p>
      <w:pPr>
        <w:spacing w:after="0" w:line="18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The manufacture, distribution and marketing of our products are subject to extensive regulation by the FDA and other state and non-U.S. regulatory bodies. Our operations are also subject to review and monitoring by the FDA and other regulatory authorities. Government regulation of medical devices is meant to assure their safety and effectiveness, and includes regulation of, among other things, the product’s development, testing, premarket clearance, de novo classification or approval, manufacture, marketing, labeling, post-market surveillance, reporting, and imports and exports. Before a new medical device, or a new use of an existing product can be marketed in the United States, it must first receive either premarket clearance under Section 510(k) of the U.S. Federal Food, Drug, and Cosmetic Act, or FDCA, a grant of a request for de novo classification or a Premarket Approval, or PMA, from the FDA, unless an exemption applies. Similarly, before a new drug can be marketed in the U.S., it must first receive approval of a new drug application or abbreviated new drug application under the FDCA. The process of obtaining regulatory authorization to market a medical device or a drug can be costly and time-consuming, and we may not be able to obtain these authorizations on a timely basis, if at all.</w:t>
      </w:r>
    </w:p>
    <w:p>
      <w:pPr>
        <w:spacing w:after="0" w:line="20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Many of our currently commercialized products have received 510(k) clearance. In the future, the FDA may determine that our products will require more costly, lengthy and uncertain de novo classification or PMA processes. Modifications to Class III devices, like our vascular closure products, may require additional clinical studies or supplemental PMA submissions. If the FDA requires us to go through a lengthier, more rigorous process for future products or modifications to existing products, our product introductions or modifications could be delayed or canceled, which could adversely affect our revenue. In particular, the FDA has recently placed increased scrutiny on cybersecurity for medical devices, which may necessitate additional time and cost for product development, submission and approval, de novo classification or clearance. In addition, even if we do obtain clearance, de novo classification or approval, the FDA may not authorize these products for the indications that we requested. Any delay in, or failure to receive or maintain, clearances, de novo classifications or approvals for our products under development could prevent us from generating revenue from these products.</w:t>
      </w:r>
    </w:p>
    <w:p>
      <w:pPr>
        <w:spacing w:after="0" w:line="2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Failure to substantially comply with applicable regulations could subject our products to recall or seizure of our products by government authorities, or an order to suspend manufacturing and distribution activities. If our products were determined to have design or manufacturing flaws, this could also result in their recall or seizure. Either of these situations could also result in administrative actions like untitled or warning letters or in the imposition of fines and other penalties or sanctions.</w:t>
      </w:r>
    </w:p>
    <w:p>
      <w:pPr>
        <w:spacing w:after="0" w:line="20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Our products are also subject to approval and regulation by foreign regulatory and safety agencies. For example, the EU has adopted the EU Medical Device Regulation, or EU MDR, and the EU In Vitro Diagnostic Regulation, or EU IVDR, each of which impose stricter requirements for the marketing and sale of medical devices beyond those of the current medical device directives they replace, including in the area of clinical evaluation requirements, quality systems and post-market surveillance. Complying with the requirements of these regulations may require us to incur significant expenditures and we may experience delays that negatively impact the ability to sell our full suite of products in certain jurisdictions. Similarly, the separation of states from participation in the EU, such as through the cessation of the UK’s membership in the EU (commonly known as “Brexit”) and the separation of the Swiss and EU medical product markets with the adoption of the EU MDR (commonly referred to as “Swexit”), may result in further regulatory risk and complexity as the former EU member or participant state establishes separate laws and regulations governing medical products. More stringent regulations have also been introduced in many countries outside of Europe that previously did not have medical device regulations, had minimal regulations or relied on reciprocal recognition of approval in other markets. Failure to meet these requirements could adversely impact our business in the EU and other applicable regions.</w:t>
      </w:r>
    </w:p>
    <w:p>
      <w:pPr>
        <w:spacing w:after="0" w:line="196"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laws and regulations governing the manufacture and production of our products, our products could be subject to restrictions or withdrawal from the market.</w:t>
      </w:r>
    </w:p>
    <w:p>
      <w:pPr>
        <w:spacing w:after="0" w:line="18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Any product for which we obtain clearance, de novo classification or approval, and the manufacturing processes, reporting requirements, post-approval clinical data and promotional activities for such product, will be subject to continued regulatory review and oversight, and our facilities will be subject to periodic inspection (both routine and unannounced) by the FDA and other domestic and foreign regulatory bodies. In particular, we and our third-party suppliers must comply with the FDA’s QSR or cGMP requirements (depending on the products at issue), which address, among other things, the methods of documentation of the design, testing, production, control, quality assurance, labeling, packaging, sterilization, storage and shipping of our products.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Any future failure by us or one of our suppliers to comply with applicable statutes and regulations administered by the FDA or other regulatory authority could result in administrative actions, field actions, or civil or criminal enforcement actions.</w:t>
      </w:r>
    </w:p>
    <w:p>
      <w:pPr>
        <w:spacing w:after="0" w:line="19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Furthermore, our key component suppliers may not currently be or may not continue to be in compliance with all applicable regulatory requirements, which could result in our failure to produce our products on a timely basis and in the required quantities, if at all. Any sanctions by the FDA or other regulatory authority could have a material adverse effect on our reputation, business, results of operations and financial condition.</w:t>
      </w:r>
    </w:p>
    <w:p>
      <w:pPr>
        <w:spacing w:after="0" w:line="20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also subject to environmental laws, which are becoming more stringent throughout the world. For example, the U.S. Environmental Protection Agency regulates the use of ethylene oxide for sterilization of medical devices, and is increasingly focused on reducing emissions from the ethylene oxide sterilization process, which could increase our costs of operations and necessitate changes to our manufacturing plants and processes. Other environmental laws may have similar consequences to us or our suppliers, or result in liability to us. Additionally, increased environmental regulation, including the enactment of laws and regulations to address climate change, may increase our compliance costs or restrict certain aspects of our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medical device and drug manufacturer, we are subject to safety reporting requirements.</w:t>
      </w:r>
    </w:p>
    <w:p>
      <w:pPr>
        <w:spacing w:after="0" w:line="24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Under the FDA’s medical device reporting regulations, medical device manufacturers are required to report to the FDA information of which they become aware that a device has or may have caused or contributed to a death or serious injury or malfunctioned in a way that would likely cause or contribute to a death or serious injury if the malfunction of the device or one of our similar devices were to recur. In addition, drug manufacturers are required to report adverse drug experiences associated with the use of a drug and submit field alert reports for instances of contamination, change or deterioration of the distributed product or failure to meet specifications. Similar reporting requirements exist in some of the other jurisdictions in which we operate. Failure to report these events to the FDA or other applicable regulatory authorities within the required timeframes, or at all, could lead to enforcement actions, fines and criminal sanctions against us.</w:t>
      </w:r>
    </w:p>
    <w:p>
      <w:pPr>
        <w:spacing w:after="0" w:line="20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payers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201"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spacing w:after="0" w:line="2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 or pharmaceutical company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or anti-bribery laws such as the Foreign Corrupt Practices Act of 1977, or equivalent laws in other jurisdictions.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1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have a material impact on our financial condition, results of operations and/or liquidity.</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subject to income taxes, non-income based taxes and tax audits in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 known tax exposures. However, the calculation of such tax exposures involves the application of complex</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19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7"/>
          <w:szCs w:val="17"/>
          <w:color w:val="auto"/>
        </w:rPr>
        <w:t>The tax regimes we are subject to or operate under are unsettled and may be subject to significant change. Changes in applicable tax laws and regulations, or their interpretation and application, including the possibility of retroactive effect, could affect our income tax expense and profitability, as they did in fiscal 2017 and fiscal 2018 upon passage of the U.S. Tax Cuts and Jobs Act, and in 2020 with the passage of the Coronavirus Aid, Relief, and Economic Security Act. Certain provisions of the Inflation Reduction Act passed in 2022, including a 15% corporate alternative minimum tax, as well as the similar 15% global minimum tax under the Organization for Economic Cooperation and Development's Pillar Two Global Anti-Base Erosion Rules, may impact our income tax</w:t>
      </w:r>
    </w:p>
    <w:p>
      <w:pPr>
        <w:spacing w:after="0" w:line="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expense, profitability, and capital allocation decisions. The Pillar Two Global Anti-Base Erosion Rules will be effective for fiscal 2025. We are still evaluating the impact of Pillar Two on the effective tax rate.</w:t>
      </w:r>
    </w:p>
    <w:p>
      <w:pPr>
        <w:spacing w:after="0" w:line="19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As we expand the scale of our international business activities, any changes in the U.S. or foreign taxation of such activities may increase our worldwide effective tax rate and harm our business, financial condition and results of operations. Such changes may also apply retroactively to our historical operations and result in taxes greater than the amounts estimated and recorded in our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Obligations and Indebtedness</w:t>
      </w:r>
    </w:p>
    <w:p>
      <w:pPr>
        <w:spacing w:after="0" w:line="24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that may decrease our business flexibility, access to capital, and/or increase our borrowing costs, and we may still incur additional debt in the future, which may adversely affect our operations and financial results.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April 2024, subsequent to the fiscal year ended March 30, 2024, the Company entered into a second amended and restated credit agreement with certain lenders to refinance the existing senior unsecured term loan and senior unsecured revolving credit facility and extend their maturity date through April 2029. The second amended and restated credit agreement provides for a $250.0 million senior unsecured term loan and a $750.0 million senior unsecured revolving credit facility (together, the “2024 Revised Credit Facilities”). As of April 30, 2024, in addition to our $500.0 million aggregate principal amount of indebtedness under our convertible senior notes due 2026 (the “2026 Notes”), the Company had $250.0 million of debt outstanding under the senior unsecured term loan and $230.0 million outstanding under the senior unsecured revolving credit facility.</w:t>
      </w:r>
    </w:p>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Our 2024 Revised Credit Facilities contain financial covenants that require us to maintain specified financial ratios that may limit our ability to borrow additional funds and that require us to make interest and principal payments. As of April 30, 2024, we were in compliance with the covenants pursuant to our 2024 Revised Credit Facilities, and we currently forecast that we will be in compliance with these covenants through the period ending March 29,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if triggered, may adversely affect our financial condition and operating results.</w:t>
      </w:r>
    </w:p>
    <w:p>
      <w:pPr>
        <w:spacing w:after="0" w:line="24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Under certain circumstances, the noteholders may convert their 2026 Notes at their option prior to the scheduled maturities. If one or more noteholders elect to convert their 2026 Notes, we would be required to settle a portion or all of our conversion obligation through the payment of cash, which could adversely affect our liquidity. In addition, holders of our 2026 Notes will have the right to require us to repurchase their 2026 Notes upon the occurrence of a fundamental change (as defined in the indenture, dated as of March 5, 2021, between U.S. Bank National Association, as trustee (the “Trustee”) and us (the “Indenture”)), at a repurchase price equal to the principal amount of the 2026 Notes to be repurchased, plus accrued and unpaid special interest, if any, to but not including, the fundamental change repurchase date. We may not have enough available cash or be able to obtain financing at the time we are required to repurchase the 2026 Notes or pay the cash amounts due upon conversion. In addition, applicable law, regulatory authorities and the agreements governing our other indebtedness may restrict our ability to repurchase the 2026 Notes or pay the cash amounts due upon conversion. Our failure to repurchase the 2026 Notes or to pay the cash amounts due upon conversion when required will constitute a default under the Indenture. A default under the Indenture or the fundamental change itself could also lead to a default under agreements governing our other indebtedness, including our 2024 Revised Credit Facilities, which may result in that other indebtedness becoming immediately payable in full. We may not have sufficient funds to satisfy all amounts due under the other indebtedness and the Notes.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Even if holders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2026 Notes and our common stock.</w:t>
      </w: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2026 Notes issuance, we entered into privately negotiated capped call transactions (the “Capped Call Transactions”) with certain financial institutions (the “Option Counterparties”). The Capped Call Transactions are expected generally to reduce the potential dilution to our common stock upon any conversion of the 2026 Notes and/or offset any potential cash payments we are required to make in excess of the principal amount of converted Notes, as the case may be, with such reduction and/or offset subject to a cap.</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From time to time,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This activity could also cause or avoid an increase or a decrease in the market price of our common stock or the 2026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4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are subject to the risk that one or more of the Option Counterparties may default or otherwise fail to perform, or may exercise certain rights to terminate, their obligations under the Capped Call Transactions. Our exposure to the credit risk of the option counterparties is not secured by any collateral. Past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the time under such transactions with such Option Counterparty. Our exposure depends on many factors, but our exposure will generally increase if the market price or the volatility of our common stock increases. In addition, upon default by an Option Counterparty, we may suffer more dilution than we currently anticipate with respect to our common stock. We can provide no assurances as to the financial stability or viability of the Option Counterparties.</w:t>
      </w:r>
    </w:p>
    <w:p>
      <w:pPr>
        <w:spacing w:after="0" w:line="2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provisions in the 2026 Notes and the Indenture could make a third party attempt to acquire us more difficult or expensive. For example, if a takeover constitutes a fundamental change, then noteholders will have the right to require us to repurchase their 2026 Notes for cash. In addition, if a takeover constitutes a make-whole fundamental change, then we may be required to temporarily increase the conversion rate. In either case, and in other cases, our obligations under the 2026 Notes and the Indenture could increase the cost of acquiring us or otherwise discourage a third party from acquiring us or removing incumbent management, including in a transaction that noteholders or holders of our common stock may view as favorable.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2026 Notes may dilute the ownership interest of existing stockholders.</w:t>
      </w:r>
    </w:p>
    <w:p>
      <w:pPr>
        <w:spacing w:after="0" w:line="248"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The conversion of some or all of the Notes will dilute the ownership interests of existing stockholders to the extent we deliver shares of our common stock upon conversion of any of the 2026 Notes. Any sales in the public market of the common stock issuable upon such conversion could adversely affect our common stock’s prevailing market prices. In addition, the existence of the 2026 Notes may encourage short selling by market participants because the conversion of the 2026 Notes could be used to satisfy short positions, or anticipated conversion of the 2026 Notes into shares of our common stock could depress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Internationally</w:t>
      </w:r>
    </w:p>
    <w:p>
      <w:pPr>
        <w:spacing w:after="0" w:line="242" w:lineRule="exact"/>
        <w:rPr>
          <w:sz w:val="20"/>
          <w:szCs w:val="20"/>
          <w:color w:val="auto"/>
        </w:rPr>
      </w:pPr>
    </w:p>
    <w:p>
      <w:pPr>
        <w:jc w:val="both"/>
        <w:ind w:right="7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spacing w:after="0" w:line="20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We do business in over 90 countries and have distributors in approximately 80 of these countries. This exposes us to currency fluctuation, geopolitical risk, economic volatility, anti-corruption laws, export and import restrictions, local regulatory authorities and the laws and medical practices in foreign jurisdictions.</w:t>
      </w:r>
    </w:p>
    <w:p>
      <w:pPr>
        <w:spacing w:after="0" w:line="2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U.S. legislation aimed at boosting competitiveness of U.S. businesses may have unintended effects on our business. Tariffs and other protectionist measures directed at China and other markets, as well as prolonged uncertainty regarding such measures as administrations change, may have adverse effects on our ability to source, manufacture and distribute products, or receive payments, in a timely and cost effective manner, thereby adversely affecting our business. In addition to fluctuations in foreign exchange rates, discussed below, our business in markets outside the United States is subject to changing political, social and geopolitical conditions, such as tensions between China and Taiwan and the wars in Ukraine and the Middle East, including any political instability resulting from war, terrorism, insurrections and civil unrest, and changing economic conditions in these markets, such as inflation, deflation, interest rate volatility and credit availability. Additionally, a number of factors, including U.S. relations with the governments of the foreign countries in which we operate, changes to international trade agreements and treaties, changes in tax laws and regulations, economic sanctions (including those imposed by the U.S. and other governments against Russia), export controls, restrictions on the ability to transfer capital across borders, tariffs and other increases in trade protectionism and barriers to market participation, or the weakening or loss of certain intellectual property protection rights in some countries, may affect our business, financial condition and results of operations. Many of these risks are rapidly evolving and subject to an accelerating pace of change. We are continuing to monitor the situation in Ukraine and globally as well as assess its potential impact on our business. Although our business in Russia accounted for only about 1% of fiscal 2024 net revenues, a significant escalation or further expansion of the conflict’s current scope or related disruptions to the global markets could have a material adverse effect on our results of operations.</w:t>
      </w:r>
    </w:p>
    <w:p>
      <w:pPr>
        <w:spacing w:after="0" w:line="22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Our international operations are governed by the U.S. Foreign Corrupt Practices Act, or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80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Export of U.S. technology or goods manufactured in the U.S. to some jurisdictions requires special U.S. export authorization or local market controls that may be influenced by factors, including political dynamics, outside our control.</w:t>
      </w:r>
    </w:p>
    <w:p>
      <w:pPr>
        <w:spacing w:after="0" w:line="21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186"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spacing w:after="0" w:line="18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There are risks with doing business in emerging economies, such as Brazil, Russia, India and China. These economies tend to have less mature product regulatory systems and more volatile financial markets. In addition, the government controlled healthcare system’s ability to invest in our products and systems may abruptly shift due to changing government priorities, geopolitical events or funding capacity. Our ability to sell products in these economies is dependent upon, among other factors,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also exposed to a higher degree of financial risk if we extend credit to customers in these economies.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spacing w:after="0" w:line="18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adversely affect our cash flows and results of operations.</w:t>
      </w:r>
    </w:p>
    <w:p>
      <w:pPr>
        <w:spacing w:after="0" w:line="24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International revenues and expenses account for a substantial portion of our operations. In fiscal 2024, our international revenues accounted for 25.9%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24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Litigation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our intellectual property may be subject to misappropriation in some countries.</w:t>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countries, particularly China and Russia, do not enforce compliance with laws that protect intellectual property rights with the same degree of vigor as is available under the U.S. and European systems of justice. 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intellectual property litigation could be costly and disruptive to us.</w:t>
      </w:r>
    </w:p>
    <w:p>
      <w:pPr>
        <w:spacing w:after="0" w:line="23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 xml:space="preserve">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 As described in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to the Consolidated Financial Statements in Item 8 of this Annual Report on Form 10-K, we are currently party to intellectual property litigation.</w:t>
      </w:r>
    </w:p>
    <w:p>
      <w:pPr>
        <w:spacing w:after="0" w:line="218"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determined to infringe another party’s patent, which could lead to financial losses or adversely affect our ability to market our products.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 or otherwise have an adverse effect on our results of operations. In addition, competitors may patent technological advances that may give them a competitive advantage or create barriers to entry.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order to guard against the risk of infringement of intellectual property rights held by third parties we conduct freedom to operate studies through qualified counsel on all newly developed or acquired technologies. While we believe this practice is reasonable and adequate, there is risk that third party patents or trademarks were not identified in such studies or that litigation outcomes regarding infringement or validity may be contrary to our understanding of the facts or the established law.</w:t>
      </w:r>
    </w:p>
    <w:p>
      <w:pPr>
        <w:spacing w:after="0" w:line="20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susceptible to significant product liability claims. Pending and future product liability claims and other litigation may adversely affect our financial condition and results of operations or liquidity, and they also have the potential to damage our reputation, impair our ability to market our products and impact our ability to maintain applicable insurance coverage on reasonable terms or at all.</w:t>
      </w:r>
    </w:p>
    <w:p>
      <w:pPr>
        <w:spacing w:after="0" w:line="20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products are relied upon by medical personnel in connection with the treatment of patients and the collection of blood or blood components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we may be subject to claims against us even if the apparent injury is due to the actions of others or the pre-existing health of the patient. For example, we rely on physicians and healthcare providers to properly and correctly use our products on patients. If these physicians or healthcare providers are not properly trained, are negligent in using our products or use our products “off-label,” the capabilities of our products may be diminished or the patient may suffer critical injury. We cannot prevent a physician from using our products for off-label applications. In addition, we cannot guarantee that physicians are trained by us or their peers prior to utilizing our products. Complications resulting from the use of our products off-label or use by physicians who have not been trained appropriately, or at all, may expose us to product liability claims and harm our reputation. Any such complications or adverse safety outcomes following use of VASCADE or VASCADE MVP may result in higher payments to our customers under a Performance Guarantee program applicable to those products, which would harm our business and results of operations. In addition, product liability claims may be asserted against us in the future based on events we are not aware of at the present time.</w:t>
      </w:r>
    </w:p>
    <w:p>
      <w:pPr>
        <w:spacing w:after="0" w:line="21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If we cannot successfully defend ourselves against pending or future product liability claims and other litigation (including class actions and stockholder derivative actions), we may incur substantial liabilities or be required to limit or halt commercialization of our products. Even successful defenses require significant financial and management resources. Regardless of the merits or eventual outcome, such litigation could have a material adverse effect on our financial condition, results of operations or liquidity and further could damage our reputation and, therefore, impair our ability to market our products and make applicable insurance coverage more costly or difficult to obtain. While we believe that our current product liability insurance coverage is sufficient, there is no assurance that such coverage will be adequate to cover incurred liabilities or that we will be able to obtain acceptable product and professional liability coverage in the future. Additionally, we do not maintain third-party insurance coverage for all categories of potential liability, which increases our exposure to unanticipated claims and adverse decisions and these losses could have a material adverse effect on our financial condition, results of operations or liquidity.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42"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personnel needed to successfully operate the business and to plan for future executive transitions.</w:t>
      </w:r>
    </w:p>
    <w:p>
      <w:pPr>
        <w:spacing w:after="0" w:line="1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ability to compete effectively depends on our ability to attract and retain key employees, including people in senior management, sales, marketing and R&amp;D positions, and to facilitate seamless leadership transitions for key positions. Our ability to recruit and retain key talent will depend on a number of factors, including hiring practices of our competitors, compensation and benefits, work location, work environment, hybrid work environment policies and industry economic conditions. If we fail to attract and retain key personnel in senior management and other positions, or if our succession planning efforts are not effective, it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volatile and may fluctuate, and accordingly, the value of an investment in our common stock may also fluctuate.</w:t>
      </w:r>
    </w:p>
    <w:p>
      <w:pPr>
        <w:spacing w:after="0" w:line="2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Risk Factors, as well as economic and geopolitical conditions in general and to variability in the prevailing sentiment regarding our operations or business prospects, as well as, among other</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things, changing investment priorities of our shareholders. Because the market price of our common stock fluctuates significantly, shareholders may not be able sell their shares at attractive prices.</w:t>
      </w:r>
    </w:p>
    <w:p>
      <w:pPr>
        <w:spacing w:after="0" w:line="186"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programs, including under our existing share repurchase authorization, could affect the price of our common stock and increase volatility and may be suspended or terminated at any time, which may result in a decrease in the trading price of our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2022, we announced that our Board of Directors had approved a new three-year share repurchase program authorizing the repurchase of up to</w:t>
      </w:r>
    </w:p>
    <w:p>
      <w:pPr>
        <w:spacing w:after="0" w:line="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$300.0 million of outstanding shares of our common stock through August 2025. Under the share repurchase program, we are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is determined by us and depends on a number of factors, including market conditions, applicable legal requirements and compliance with the terms of loan covenants. The share repurchase program may be suspended, modified or discontinued at any time and we have no obligation to repurchase any amount of our common stock under the programs. Repurchases pursuant to our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program’s effectiveness. Refer to Note 7,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to the Consolidated Financial Statements in Item 8 of this Annual Report on Form 10-K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responsibility matters.</w:t>
      </w:r>
    </w:p>
    <w:p>
      <w:pPr>
        <w:spacing w:after="0" w:line="24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There has been increased focus from certain regulatory bodies, investors, customers, employees and other stakeholders concerning corporate responsibility matters, including topics identified under the framework of Environmental, Social and Governance, or ESG. Customer preferences or requirements may be influenced by company progress across various ESG topics related to, among other things, human capital and environmental impact matters. From time to time, we may announce certain initiatives, including goals, regarding corporate responsibility focus areas for our company. We may not achieve, or may be perceived as not achieving, against such initiatives, including as a result of changes in our business. The standards by which corporate responsibility efforts and related matters are measured are developing and evolving. For example, organizations that provide information to investors on corporate governance and related matters have developed ratings processes for evaluating companies on their respective approaches to corporate responsibility matters, which are increasingly being employed by investors, lenders, and customers to inform their investment, financing or purchasing decisions. Any failure, or perceived failure, to achieve against our corporate responsibility initiatives or to establish goals that align with stakeholder expectations could result in declines in our market share and have an adverse impact on our business, financial condition or results of operations, including as a result of reputational harm, an inability to attract customers, and an inability to attract and retain top talent.</w:t>
      </w:r>
    </w:p>
    <w:p>
      <w:pPr>
        <w:spacing w:after="0" w:line="214"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could adversely affect our business, results of operations and financial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long-term effects of climate change are difficult to predict and may be widespread. Extreme weather or other conditions could adversely impact our</w:t>
      </w:r>
    </w:p>
    <w:p>
      <w:pPr>
        <w:spacing w:after="0" w:line="4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operations and supply chain, including the variability and cost of raw materials and components required for the operation of our business. In addition, access to and pricing of certain natural resources, such as water, could impact our manufacturing operations. There has been increased focus by federal, international, state and local regulatory and legislative bodies to combat and/or limit the effects of climate change. If legislation or regulations are enacted in jurisdictions in which we do business that are more stringent than our current obligations, we and companies in our supply chain may experience increased compliance burdens and costs to meet these obligations, which could cause disruption in the sourcing, manufacturing and distribution of our products and adversely affect</w:t>
      </w:r>
    </w:p>
    <w:p>
      <w:pPr>
        <w:ind w:right="800"/>
        <w:spacing w:after="0" w:line="335" w:lineRule="auto"/>
        <w:rPr>
          <w:sz w:val="20"/>
          <w:szCs w:val="20"/>
          <w:color w:val="auto"/>
        </w:rPr>
      </w:pPr>
      <w:r>
        <w:rPr>
          <w:rFonts w:ascii="Times New Roman" w:cs="Times New Roman" w:eastAsia="Times New Roman" w:hAnsi="Times New Roman"/>
          <w:sz w:val="18"/>
          <w:szCs w:val="18"/>
          <w:color w:val="auto"/>
        </w:rPr>
        <w:t>our business, financial condition or results of operations. Additionally, the impacts of climate change may further include customer preferences and requirements. Failure to meet these preferences or requirements could potentially result in loss of market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or threatened public health crises could harm our business.</w:t>
      </w:r>
    </w:p>
    <w:p>
      <w:pPr>
        <w:spacing w:after="0" w:line="2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Global pandemics or other public health crises, such as the COVID-19 pandemic, could adversely impact our business, financial condition or results of operations, and those of our customers and suppliers, and any such future pandemics or public health crises could include disruptions in global economic activity, global supply chains and labor markets, operational challenges such as site shutdowns, workplace disruptions or limited provider capacity to perform procedures using our products, volatile financial market dynamics and significant volatility in price and availability of goods and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assess, identify and manage risks from cybersecurity threats through our global cybersecurity program. The program is managed by a full-time Chief Information Security Officer (“CISO”) whose organization manages our cybersecurity strategy, architecture, policies, standards and processes for the security of Haemonetics’ enterprise network and information assets. The CISO reports to our Chief Information Officer (“CIO”) and is supported by a dedicated security operations team. Our current CISO has over 20 years of information technology experience, including positions of increasing responsibility with respect to security architecture, software engineering, security operations and incident response.</w:t>
      </w:r>
    </w:p>
    <w:p>
      <w:pPr>
        <w:spacing w:after="0" w:line="21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CISO’s organization monitors, manages and works to identify and assess, cybersecurity risks through various technologies, resources, processes and policies that are regularly updated to align with the changing threat landscape, our evolving business needs as well as global regulatory requirements. Our global cybersecurity program is aligned to the National Institute of Standards and Technology (NIST) Cybersecurity Framework and is certified to the ISO 27001 global standard on Information Security Management. Our cybersecurity program is closely integrated with our QMS under the ISO 13485 standard. Our program utilizes layered defenses to help protect against cybersecurity threats and to work to secure our assets, reduce detection time and improve recoverability. Among other things, this includes ongoing systems monitoring with support from a managed detection and response service provider and other third-party vendors to augment our monitoring and response capabilities, as well as a standardized incident response program with incident response team members participating in regularly scheduled management reviews and tabletop exercises. Our CISO and CIO conduct regular cross-functional management reviews of our programs, including with members of senior leadership. All employees and those contractors of the Company with access to our information systems receive annual cybersecurity awareness training, and we have integrated cybersecurity and data protection topics into our Code of Conduct. All critical information systems have a written business continuity plan that is exercised at least annually. The entire program is audited annually by both internal and third-party auditors.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Cybersecurity is also included in our product development life cycle and part of our vendor and business partner evaluation process. Our product development approach considers cybersecurity best practices and builds security controls into our product design. Haemonetics is a member of MedISAO, an industry organization dedicated to improving the security of medical devices, where security issues can be reported securely. We monitor our products for vulnerabilities and follow bulletins, patches and alerts posted to our download center or communicated directly to customers. Additionally, we conduct security risk assessments prior to engaging third party suppliers and other vendors and business partners to validate that they maintain appropriate safeguards to protect our and their information systems in connection with services they provide. This risk assessment is heightened with respect to vendors or business partners that have access to personal information that we collect, maintain or use.</w:t>
      </w:r>
    </w:p>
    <w:p>
      <w:pPr>
        <w:spacing w:after="0" w:line="21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evaluate cybersecurity risk as part of our broader enterprise risk framework. Our Board oversees Haemonetics’ enterprise-wide approach to risk management while our management team is responsible for managing risk on a day-to-day basis and for bringing to the Board’s attention material risks facing the Company, including with respect to cybersecurity threats. The Board focuses on the quality and scope of the Company’s risk management strategies and considers the most significant areas of risk inherent in the Company’s business strategies and operations as well as the steps that management is taking to mitigate those risks. We conduct an annual enterprise risk assessment – including consideration of cybersecurity risks – that is reviewed with the Board and Audit Committee and informs strategic priorities throughout the Company. Additionally, certain Board committees consider discrete categories of cybersecurity risk relating to their respective areas of responsibility. Our CISO reports at least annually on Haemonetics’ threat landscape and security programs to our Governance and Compliance Committee, which oversees Haemonetics’ compliance programs and policies regarding data privacy and cybersecurity risks associated with our information technology systems. Management also reports on these programs to the Audit Committee as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960"/>
        <w:spacing w:after="0" w:line="274" w:lineRule="auto"/>
        <w:rPr>
          <w:sz w:val="20"/>
          <w:szCs w:val="20"/>
          <w:color w:val="auto"/>
        </w:rPr>
      </w:pPr>
      <w:r>
        <w:rPr>
          <w:rFonts w:ascii="Times New Roman" w:cs="Times New Roman" w:eastAsia="Times New Roman" w:hAnsi="Times New Roman"/>
          <w:sz w:val="18"/>
          <w:szCs w:val="18"/>
          <w:color w:val="auto"/>
        </w:rPr>
        <w:t>needed and periodically reviews with our Technology Committee certain aspects of new and existing products as they relate to quality, safety and cybersecurity.</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Based on the information available as of the date of this Annual Report on Form 10-K, we are not aware of any risks from cybersecurity threats, including as a result of any previous cybersecurity incidents, that have materially affected or are reasonably likely to materially affect us, including our business strategy, results of operations or financial condition. Despite our security measures, however, there can be no assurance that we, or the third parties with which we interact, will not experience a cybersecurity incident in the future that may materially affect us. For additional information, see Item 1A. “Risk Factors” for a discussion of cybersecurity-related risks.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March 30, 2024, our global headquarters are located in Boston, Massachusetts and our principal manufacturing centers are located in Pennsylvania and California within the U.S., as well as internationally in Mexico, Malaysia and Canada. Our products are distributed worldwide from primary distribution centers in Tennessee, Utah and Switzerland, as well as smaller locations globally. We believe all of these facilities are well-maintained and suitable for the operations conducted in them. These facilities produce and manufacture products for more than one of our business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facilities as of March 30, 2024 (in approximate square feet):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40" w:type="dxa"/>
            <w:vAlign w:val="bottom"/>
            <w:shd w:val="clear" w:color="auto" w:fill="CCEEFF"/>
          </w:tcPr>
          <w:p>
            <w:pPr>
              <w:spacing w:after="0"/>
              <w:rPr>
                <w:sz w:val="17"/>
                <w:szCs w:val="17"/>
                <w:color w:val="auto"/>
              </w:rPr>
            </w:pP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160" w:type="dxa"/>
            <w:vAlign w:val="bottom"/>
          </w:tcPr>
          <w:p>
            <w:pPr>
              <w:jc w:val="right"/>
              <w:ind w:right="1396"/>
              <w:spacing w:after="0"/>
              <w:rPr>
                <w:sz w:val="20"/>
                <w:szCs w:val="20"/>
                <w:color w:val="auto"/>
              </w:rPr>
            </w:pPr>
            <w:r>
              <w:rPr>
                <w:rFonts w:ascii="Times New Roman" w:cs="Times New Roman" w:eastAsia="Times New Roman" w:hAnsi="Times New Roman"/>
                <w:sz w:val="18"/>
                <w:szCs w:val="18"/>
                <w:color w:val="auto"/>
              </w:rPr>
              <w:t>165,385</w:t>
            </w: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638,749</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804,134</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rPr>
              <w:t>378,000</w:t>
            </w:r>
          </w:p>
        </w:tc>
        <w:tc>
          <w:tcPr>
            <w:tcW w:w="11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303,903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681,903</w:t>
            </w:r>
          </w:p>
        </w:tc>
      </w:tr>
      <w:tr>
        <w:trPr>
          <w:trHeight w:val="218"/>
        </w:trPr>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Pr>
          <w:p>
            <w:pPr>
              <w:jc w:val="right"/>
              <w:ind w:right="1396"/>
              <w:spacing w:after="0"/>
              <w:rPr>
                <w:sz w:val="20"/>
                <w:szCs w:val="20"/>
                <w:color w:val="auto"/>
              </w:rPr>
            </w:pPr>
            <w:r>
              <w:rPr>
                <w:rFonts w:ascii="Times New Roman" w:cs="Times New Roman" w:eastAsia="Times New Roman" w:hAnsi="Times New Roman"/>
                <w:sz w:val="18"/>
                <w:szCs w:val="18"/>
                <w:color w:val="auto"/>
              </w:rPr>
              <w:t>543,385</w:t>
            </w: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942,652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1,486,037</w:t>
            </w:r>
          </w:p>
        </w:tc>
      </w:tr>
      <w:tr>
        <w:trPr>
          <w:trHeight w:val="20"/>
        </w:trPr>
        <w:tc>
          <w:tcPr>
            <w:tcW w:w="47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4"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xml:space="preserve"> to the Consolidated Financial Statements in Item 8 of this Annual Report on Form 10-K, which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63"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Information</w:t>
      </w:r>
    </w:p>
    <w:p>
      <w:pPr>
        <w:spacing w:after="0" w:line="24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Our common stock is quoted on the New York Stock Exchange under the symbol “HAE.” As of March 30, 2024, we had 101 stockholders of record. We have not historically paid cash dividends and do not currently anticipate paying cash dividends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Issuer Purchases of Equity Securities</w:t>
      </w:r>
    </w:p>
    <w:p>
      <w:pPr>
        <w:spacing w:after="0" w:line="24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 August 2022, the Company’s Board of Directors approved a three-year share repurchase program authorizing the repurchase of up to $300.0 million of the Company’s common stock from time to time, based on market conditions, through August 2025. Under the Company’s share repurchase program, shares may be repurchased in accordance with applicable laws both on the open market, including under trading plans established pursuant to Rule 10b5-1 under the Exchange Act, and in privately negotiated transactions. In November 2022, the Company completed a $75.0 million repurchase of its common stock pursuant to an accelerated share repurchase agreement (“ASR”) entered into with Citibank N.A. in August 2022. As of March 30, 2024, the total remaining authorization for repurchases of the Company’s common stock under the share repurchase program was $225.0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Haemonetics is a global healthcare company dedicated to providing a suite of innovative medical technology solutions that improve the quality, effectiveness and efficiency of care. We challenge ourselves to think big and make new possibilities a reality, so that our customers can make it matter for patients, every single day. Our technology addresses important medical markets: blood and plasma component collection, the surgical suite and hospital transfusion services.</w:t>
      </w:r>
    </w:p>
    <w:p>
      <w:pPr>
        <w:spacing w:after="0" w:line="17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red cells, platelets and whole blood. “Hospital” is comprised of Interventional Technologies, which includes Vascular Closure and Sensor Guided Technologies products, and Blood Management Technologies, which includes Hemostasis Management, Cell Salvage and Transfusion Management products.</w:t>
      </w:r>
    </w:p>
    <w:p>
      <w:pPr>
        <w:spacing w:after="0" w:line="219" w:lineRule="exact"/>
        <w:rPr>
          <w:sz w:val="20"/>
          <w:szCs w:val="20"/>
          <w:color w:val="auto"/>
        </w:rPr>
      </w:pPr>
    </w:p>
    <w:p>
      <w:pPr>
        <w:jc w:val="both"/>
        <w:ind w:right="360"/>
        <w:spacing w:after="0" w:line="304"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Attune Medical</w:t>
      </w:r>
    </w:p>
    <w:p>
      <w:pPr>
        <w:spacing w:after="0" w:line="24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On March 5, 2024, the Company entered into a definitive agreement to acquire Advanced Cooling Therapy, Inc., d/b/a Attune Medical (“Attune Medical”), the manufacturer of the ensoETM® proactive esophageal cooling device, based in Chicago, Illinois. The acquisition closed on April 1, 2024, subsequent to our fiscal year end. The Company acquired Attune Medical for total upfront consideration of $160.0 million. The agreement also provides for additional contingent consideration based on sales growth over the next three years and the achievement of certain other milestones. The Company financed the acquisition through a combination of cash on hand and borrowings under its senior unsecured revolving credit facility. The addition of Attune Medical expands the Hospital business unit’s presence in electrophysiology and complements its Vascular Closure product line.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OpSens Inc.</w:t>
      </w:r>
    </w:p>
    <w:p>
      <w:pPr>
        <w:spacing w:after="0" w:line="24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 $254.5 million, or $243.9 million, net of cash acquired. The Company financed the acquisition through a combination of cash on hand and borrowings under its senior unsecured revolving credit facility.</w:t>
      </w:r>
    </w:p>
    <w:p>
      <w:pPr>
        <w:spacing w:after="0" w:line="21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sensor-guided 3-in-1 guidewire for TAVR procedures, advancing the workflow of the procedure and enabling potentially shorter hospital stays for patients; and the OptoWire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Rationalization Initiatives</w:t>
      </w:r>
    </w:p>
    <w:p>
      <w:pPr>
        <w:spacing w:after="0" w:line="24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In November 2023, the Company announced its plans to end of life the ClotPro analyzer system within the Hospital business unit and certain products within the Blood Center business unit, primarily in Whole Blood, including the associated</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operations and closure of certain other facilities. The Company incurred charges of $13.9 million in fiscal 2024 related to these initiatives.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 Market</w:t>
      </w:r>
    </w:p>
    <w:p>
      <w:pPr>
        <w:spacing w:after="0" w:line="246"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There are two key aspects to the market for our plasma products - the growth in demand for plasma-derived biopharmaceuticals and the limited number of significant biopharmaceutical companies in this market.</w:t>
      </w:r>
    </w:p>
    <w:p>
      <w:pPr>
        <w:spacing w:after="0" w:line="190"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spacing w:after="0" w:line="204" w:lineRule="exact"/>
        <w:rPr>
          <w:sz w:val="20"/>
          <w:szCs w:val="20"/>
          <w:color w:val="auto"/>
        </w:rPr>
      </w:pPr>
    </w:p>
    <w:p>
      <w:pPr>
        <w:ind w:left="640" w:right="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Biopharmaceutical companies are seeking more yield from each plasma collection to meet growing demand for biopharmaceuticals without requiring an equivalent increase in plasma donations.</w:t>
      </w:r>
    </w:p>
    <w:p>
      <w:pPr>
        <w:spacing w:after="0" w:line="189" w:lineRule="exact"/>
        <w:rPr>
          <w:rFonts w:ascii="Times New Roman" w:cs="Times New Roman" w:eastAsia="Times New Roman" w:hAnsi="Times New Roman"/>
          <w:sz w:val="18"/>
          <w:szCs w:val="18"/>
          <w:color w:val="auto"/>
        </w:rPr>
      </w:pPr>
    </w:p>
    <w:p>
      <w:pPr>
        <w:ind w:left="640" w:right="46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approved indications for auto-immune diseases treated with plasma-derived therapies, the growing understanding and diagnosis of these diseases, longer lifespans and a growing aging patient population increase the demand for plasma.</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expansion of biopharmaceuticals also increases demand for plasma.</w:t>
      </w:r>
    </w:p>
    <w:p>
      <w:pPr>
        <w:spacing w:after="0" w:line="24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Despite the overall growth in the market, the number of biopharmaceutical companies that collect and fractionate source plasma is low and industry consolidation is ongoing. Significant barriers to entry exist for new entrants due to high capital outlay requirements for fractionation, long regulatory pathways to the licensing of collection centers and fractionation facilities and approval of plasma-derived biopharmaceuticals. As a result, there are relatively few customers for our Plasma products, especially in the U.S. where approximately two-thirds of the world’s source plasma is collected and only a few customers provide the majority of our Plasma revenue. However, certain jurisdictions such as Egypt and the United Kingdom have begun to collect or are considering collection of plasma for fractionation for their local needs, which could expand the Plasma market.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 Market</w:t>
      </w:r>
    </w:p>
    <w:p>
      <w:pPr>
        <w:spacing w:after="0" w:line="246"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In the Blood Center market, we sell automated blood component and manual whole blood collection systems. While we sell products around the world, a significant portion of our sales are to a limited number of customers due to relatively limited number of blood collectors.</w:t>
      </w:r>
    </w:p>
    <w:p>
      <w:pPr>
        <w:spacing w:after="0" w:line="19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Within the Blood Center market, we have seen three trends that have negatively impacted growth of the overall marketplace despite the overall increase in aging populations. Overall, we expect a flat to low single-digit decline in this business.</w:t>
      </w:r>
    </w:p>
    <w:p>
      <w:pPr>
        <w:spacing w:after="0" w:line="190" w:lineRule="exact"/>
        <w:rPr>
          <w:sz w:val="20"/>
          <w:szCs w:val="20"/>
          <w:color w:val="auto"/>
        </w:rPr>
      </w:pPr>
    </w:p>
    <w:p>
      <w:pPr>
        <w:ind w:left="640" w:right="28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transfusion rates in mature markets due to the development of more minimally invasive procedures with lower associated blood loss, as well as better blood management.</w:t>
      </w:r>
    </w:p>
    <w:p>
      <w:pPr>
        <w:spacing w:after="0" w:line="189"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multi-unit collection technology for automated blood component collection systems has intensified and has negatively impacted our sales in markets where these collections are prevalent.</w:t>
      </w:r>
    </w:p>
    <w:p>
      <w:pPr>
        <w:spacing w:after="0" w:line="190" w:lineRule="exact"/>
        <w:rPr>
          <w:sz w:val="20"/>
          <w:szCs w:val="20"/>
          <w:color w:val="auto"/>
        </w:rPr>
      </w:pPr>
    </w:p>
    <w:p>
      <w:pPr>
        <w:ind w:left="640" w:right="120" w:hanging="316"/>
        <w:spacing w:after="0" w:line="274"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 through group purchasing organizations has intensified pricing competition particularly in the manual whole blood collection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 Markets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Interventional Technologies:</w:t>
      </w:r>
    </w:p>
    <w:p>
      <w:pPr>
        <w:spacing w:after="0" w:line="244"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Vascular Closure Market - </w:t>
      </w:r>
      <w:r>
        <w:rPr>
          <w:rFonts w:ascii="Times New Roman" w:cs="Times New Roman" w:eastAsia="Times New Roman" w:hAnsi="Times New Roman"/>
          <w:sz w:val="18"/>
          <w:szCs w:val="18"/>
          <w:color w:val="auto"/>
        </w:rPr>
        <w:t>The target markets for our Vascular Closure products used in coronary, structural heart, peripheral and electrophysiology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are highly concentrated in the U.S. The mature market of coronary and peripheral procedures consists of interventions to diagnose and treat vascular diseases. Our products also address many of the vascular closure needs for the structural heart (contralateral access sites) and electrophysiology procedures. Our Vascular Closure market continues to grow with the VASCADE MVP launch in Japan in September 2023. In addition, our VASCADE and VASCADE MVP</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vascular closure systems received CE mark clearance in fiscal 2023, providing a pathway for country-specific introduction of these products in the EU.</w:t>
      </w:r>
    </w:p>
    <w:p>
      <w:pPr>
        <w:spacing w:after="0" w:line="24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Sensor Guided Technologies Market - </w:t>
      </w:r>
      <w:r>
        <w:rPr>
          <w:rFonts w:ascii="Times New Roman" w:cs="Times New Roman" w:eastAsia="Times New Roman" w:hAnsi="Times New Roman"/>
          <w:sz w:val="18"/>
          <w:szCs w:val="18"/>
          <w:color w:val="auto"/>
        </w:rPr>
        <w:t>The market for sensor-guided technologies reflects varying dynamics across different interventional cardiology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In the transcatheter aortic valve replacement (TAVR) market, characterized by high growth, the demand for innovative solutions like SavvyWire is driven by an aging population and increasing prevalence of aortic valve diseases globally. Conversely, in the more mature percutaneous coronary intervention (PCI) market, the steady demand for sensor-guided technologies such as OptoWire remains driven by persistent prevalence of coronary artery disease, emphasizing the need for advanced diagnostic and therapeutic interventions. Our strategic investment in sensor-guided technologies positions us to capitalize on these trends, leveraging innovation to address evolving needs in both high-growth and mature markets while expanding our global market presence through initiatives like obtaining CE mark clearance for our vascular closure systems.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Blood Management Technologies:</w:t>
      </w:r>
    </w:p>
    <w:p>
      <w:pPr>
        <w:spacing w:after="0" w:line="24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Hemostasis Management Market - </w:t>
      </w:r>
      <w:r>
        <w:rPr>
          <w:rFonts w:ascii="Times New Roman" w:cs="Times New Roman" w:eastAsia="Times New Roman" w:hAnsi="Times New Roman"/>
          <w:sz w:val="18"/>
          <w:szCs w:val="18"/>
          <w:color w:val="auto"/>
        </w:rPr>
        <w:t>The use of routine coagulation testing is well established throughout the world in various medical procedures,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cardiovascular surgery, organ transplantation, trauma, post-partum hemorrhage and percutaneous coronary intervention. While standard tests like prothrombin time, partial thromboplastin time and platelet count have limited 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spacing w:after="0" w:line="21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Haemonetics’ TEG and HAS hemostasis analyzer systems are advanced diagnostic tools that provide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standard of care in liver transplants. In more recent years, interest has grown into the utilization of TEG in trauma and other procedures in which the risk of hemorrhage and thrombosis are high.</w:t>
      </w:r>
    </w:p>
    <w:p>
      <w:pPr>
        <w:spacing w:after="0" w:line="21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Geographically, TEG systems have achieved the highest market penetration in North America, Europe and China. However, there are considerable growth opportunities in these as well as other markets, as TEG systems become more established as the standard of care around the world. The HAS-100 and HAS-300 are currently commercialized in China.</w:t>
      </w:r>
    </w:p>
    <w:p>
      <w:pPr>
        <w:spacing w:after="0" w:line="20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Cell Salvage Market </w:t>
      </w:r>
      <w:r>
        <w:rPr>
          <w:rFonts w:ascii="Times New Roman" w:cs="Times New Roman" w:eastAsia="Times New Roman" w:hAnsi="Times New Roman"/>
          <w:sz w:val="18"/>
          <w:szCs w:val="18"/>
          <w:color w:val="auto"/>
        </w:rPr>
        <w:t>- In recent years, more efficient blood use and less invasive surgeries have reduced demand for autotransfusion in these procedures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to intense competition in mature markets, while increased access to healthcare in emerging economies has provided new markets and sources of growth. Orthopedic procedures have seen similar changes with improved blood management practices, including the use of tranexamic acid to treat and prevent postoperative bleeding, significantly reducing the number of transfusions and autotransfusion. Geographically, the Cell Saver has achieved the highest market penetration in North America, Europe and Japan. We believe there are growth opportunities in Asia Pacific as the use of autotransfusion is becoming accepted as a standard of care.</w:t>
      </w:r>
    </w:p>
    <w:p>
      <w:pPr>
        <w:spacing w:after="0" w:line="212"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Transfusion Management Market - </w:t>
      </w:r>
      <w:r>
        <w:rPr>
          <w:rFonts w:ascii="Times New Roman" w:cs="Times New Roman" w:eastAsia="Times New Roman" w:hAnsi="Times New Roman"/>
          <w:sz w:val="17"/>
          <w:szCs w:val="17"/>
          <w:color w:val="auto"/>
        </w:rPr>
        <w:t>Revenues from BloodTrack have increased in the U.S. and Europe in recent years as hospitals seek means to improve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efficiencies and meet compliance guidelines for tracking and dispositioning blood components to patients. SafeTrace Tx’s leading market share in the U.S. remains steady and in fiscal 2021 launched in the United Kingdom. We continue to explore opportunities to expand the portfolio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Increase/(Decrease)</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1,309,055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1,168,660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691,548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615,097</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12.4 %</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526,665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459,064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14.7 %</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164,883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156,033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5.7 %</w:t>
            </w:r>
          </w:p>
        </w:tc>
        <w:tc>
          <w:tcPr>
            <w:tcW w:w="0" w:type="dxa"/>
            <w:vAlign w:val="bottom"/>
          </w:tcPr>
          <w:p>
            <w:pPr>
              <w:spacing w:after="0"/>
              <w:rPr>
                <w:sz w:val="1"/>
                <w:szCs w:val="1"/>
                <w:color w:val="auto"/>
              </w:rPr>
            </w:pP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13.4 %</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(14,630)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151,865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141,403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26,002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31.9 %</w:t>
            </w:r>
          </w:p>
        </w:tc>
        <w:tc>
          <w:tcPr>
            <w:tcW w:w="0" w:type="dxa"/>
            <w:vAlign w:val="bottom"/>
          </w:tcPr>
          <w:p>
            <w:pPr>
              <w:spacing w:after="0"/>
              <w:rPr>
                <w:sz w:val="1"/>
                <w:szCs w:val="1"/>
                <w:color w:val="auto"/>
              </w:rPr>
            </w:pP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18.4 %</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117,558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115,401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0" w:type="dxa"/>
            <w:vAlign w:val="bottom"/>
          </w:tcPr>
          <w:p>
            <w:pPr>
              <w:spacing w:after="0"/>
              <w:rPr>
                <w:sz w:val="1"/>
                <w:szCs w:val="1"/>
                <w:color w:val="auto"/>
              </w:rPr>
            </w:pP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0" w:type="dxa"/>
            <w:vAlign w:val="bottom"/>
          </w:tcPr>
          <w:p>
            <w:pPr>
              <w:spacing w:after="0"/>
              <w:rPr>
                <w:sz w:val="1"/>
                <w:szCs w:val="1"/>
                <w:color w:val="auto"/>
              </w:rPr>
            </w:pPr>
          </w:p>
        </w:tc>
      </w:tr>
      <w:tr>
        <w:trPr>
          <w:trHeight w:val="23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the Saturday closest to the last day of March. Fiscal years 2024 and 2023 included 52 weeks with each quarter having 13 weeks.</w:t>
      </w:r>
    </w:p>
    <w:p>
      <w:pPr>
        <w:spacing w:after="0" w:line="24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Net revenues for fiscal 2024 increased 12.0% compared with fiscal 2023. Without the effects of foreign exchange, net revenues increased 12.7% compared with fiscal 2023. Revenue increases in our Plasma and Hospital businesses, primarily related to volume and price, drove the overall increase in revenue during the fiscal year ended March 30, 2024.</w:t>
      </w:r>
    </w:p>
    <w:p>
      <w:pPr>
        <w:spacing w:after="0" w:line="20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Operating income increased 5.7% during fiscal 2024 as compared with fiscal 2023, primarily due to increased revenues in Plasma and Hospital and savings from the Operational Excellence Program (“2020 Program”), partially offset by spend on portfolio rationalization initiatives, continuous growth investments, digital transformation costs incurred as part of the upgrade of our enterprise resource planning system and transaction and integration costs related to the acquisition of OpSens.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2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4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xml:space="preserve">growth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842,897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339,048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325,763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1,309,055</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168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ind w:left="20" w:right="80" w:firstLine="4"/>
        <w:spacing w:after="0" w:line="222" w:lineRule="auto"/>
        <w:tabs>
          <w:tab w:leader="none" w:pos="15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Constant currency growth, a non-GAAP financial measure, measures the change in revenue between the current and prior year periods using a constant currency. See </w:t>
      </w:r>
      <w:r>
        <w:rPr>
          <w:rFonts w:ascii="Times New Roman" w:cs="Times New Roman" w:eastAsia="Times New Roman" w:hAnsi="Times New Roman"/>
          <w:sz w:val="13"/>
          <w:szCs w:val="13"/>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-185420</wp:posOffset>
            </wp:positionV>
            <wp:extent cx="1691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91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Operations and the Impact of Foreign Exchange</w:t>
      </w:r>
    </w:p>
    <w:p>
      <w:pPr>
        <w:spacing w:after="0" w:line="24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Our principal operations are in the United States, Europe, Japan and other parts of Asia. Our products are marketed in approximately 90 countries around the world through a combination of our direct sales force and independent distributors and agents.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revenue generated in our principal operating regions is summarized below:</w:t>
      </w:r>
    </w:p>
    <w:p>
      <w:pPr>
        <w:spacing w:after="0" w:line="39"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4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25"/>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5"/>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25"/>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on certain foreign currencies to mitigate our exposure to foreign currency fluctuations.</w:t>
      </w:r>
    </w:p>
    <w:p>
      <w:pPr>
        <w:spacing w:after="0" w:line="202"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 xml:space="preserve">Please see the section entitled </w:t>
      </w:r>
      <w:r>
        <w:rPr>
          <w:rFonts w:ascii="Times New Roman" w:cs="Times New Roman" w:eastAsia="Times New Roman" w:hAnsi="Times New Roman"/>
          <w:sz w:val="18"/>
          <w:szCs w:val="18"/>
          <w:i w:val="1"/>
          <w:iCs w:val="1"/>
          <w:color w:val="auto"/>
        </w:rPr>
        <w:t>“Foreign Exchange”</w:t>
      </w:r>
      <w:r>
        <w:rPr>
          <w:rFonts w:ascii="Times New Roman" w:cs="Times New Roman" w:eastAsia="Times New Roman" w:hAnsi="Times New Roman"/>
          <w:sz w:val="18"/>
          <w:szCs w:val="18"/>
          <w:color w:val="auto"/>
        </w:rPr>
        <w:t xml:space="preserve"> in this discussion for a more complete explanation of how foreign currency affects our business and our strategy for managing this exposure.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0"/>
                <w:szCs w:val="10"/>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4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business unit</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496,923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13.9 %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13.8 %</w:t>
            </w:r>
          </w:p>
        </w:tc>
        <w:tc>
          <w:tcPr>
            <w:tcW w:w="0" w:type="dxa"/>
            <w:vAlign w:val="bottom"/>
          </w:tcPr>
          <w:p>
            <w:pPr>
              <w:spacing w:after="0"/>
              <w:rPr>
                <w:sz w:val="1"/>
                <w:szCs w:val="1"/>
                <w:color w:val="auto"/>
              </w:rPr>
            </w:pPr>
          </w:p>
        </w:tc>
      </w:tr>
      <w:tr>
        <w:trPr>
          <w:trHeight w:val="146"/>
        </w:trPr>
        <w:tc>
          <w:tcPr>
            <w:tcW w:w="4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Apheresis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4.9 %</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Whole Blood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(8.7)%</w:t>
            </w:r>
          </w:p>
        </w:tc>
        <w:tc>
          <w:tcPr>
            <w:tcW w:w="0" w:type="dxa"/>
            <w:vAlign w:val="bottom"/>
          </w:tcPr>
          <w:p>
            <w:pPr>
              <w:spacing w:after="0"/>
              <w:rPr>
                <w:sz w:val="1"/>
                <w:szCs w:val="1"/>
                <w:color w:val="auto"/>
              </w:rPr>
            </w:pPr>
          </w:p>
        </w:tc>
      </w:tr>
      <w:tr>
        <w:trPr>
          <w:trHeight w:val="225"/>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279,962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1.0 %</w:t>
            </w:r>
          </w:p>
        </w:tc>
        <w:tc>
          <w:tcPr>
            <w:tcW w:w="0" w:type="dxa"/>
            <w:vAlign w:val="bottom"/>
          </w:tcPr>
          <w:p>
            <w:pPr>
              <w:spacing w:after="0"/>
              <w:rPr>
                <w:sz w:val="1"/>
                <w:szCs w:val="1"/>
                <w:color w:val="auto"/>
              </w:rPr>
            </w:pPr>
          </w:p>
        </w:tc>
      </w:tr>
      <w:tr>
        <w:trPr>
          <w:trHeight w:val="146"/>
        </w:trPr>
        <w:tc>
          <w:tcPr>
            <w:tcW w:w="4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480"/>
              <w:spacing w:after="0" w:line="225"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37.5 %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37.7 %</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Hemostasis Management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0" w:type="dxa"/>
            <w:vAlign w:val="bottom"/>
          </w:tcPr>
          <w:p>
            <w:pPr>
              <w:spacing w:after="0"/>
              <w:rPr>
                <w:sz w:val="1"/>
                <w:szCs w:val="1"/>
                <w:color w:val="auto"/>
              </w:rPr>
            </w:pPr>
          </w:p>
        </w:tc>
      </w:tr>
      <w:tr>
        <w:trPr>
          <w:trHeight w:val="225"/>
        </w:trPr>
        <w:tc>
          <w:tcPr>
            <w:tcW w:w="4640" w:type="dxa"/>
            <w:vAlign w:val="bottom"/>
          </w:tcPr>
          <w:p>
            <w:pPr>
              <w:ind w:left="480"/>
              <w:spacing w:after="0" w:line="225"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5.4 %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445,362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371,731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20.3 %</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business unit revenues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1,148,616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12.8 %</w:t>
            </w:r>
          </w:p>
        </w:tc>
        <w:tc>
          <w:tcPr>
            <w:tcW w:w="0" w:type="dxa"/>
            <w:vAlign w:val="bottom"/>
          </w:tcPr>
          <w:p>
            <w:pPr>
              <w:spacing w:after="0"/>
              <w:rPr>
                <w:sz w:val="1"/>
                <w:szCs w:val="1"/>
                <w:color w:val="auto"/>
              </w:rPr>
            </w:pPr>
          </w:p>
        </w:tc>
      </w:tr>
      <w:tr>
        <w:trPr>
          <w:trHeight w:val="225"/>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7.8 %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0.5 %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1,309,055</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1,168,660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12.0 %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ind w:left="20" w:right="80" w:firstLine="4"/>
        <w:spacing w:after="0" w:line="222" w:lineRule="auto"/>
        <w:tabs>
          <w:tab w:leader="none" w:pos="15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Constant currency growth, a non-GAAP financial measure, measures the change in revenue between the current and prior year periods using a constant currency. See </w:t>
      </w:r>
      <w:r>
        <w:rPr>
          <w:rFonts w:ascii="Times New Roman" w:cs="Times New Roman" w:eastAsia="Times New Roman" w:hAnsi="Times New Roman"/>
          <w:sz w:val="13"/>
          <w:szCs w:val="13"/>
          <w:i w:val="1"/>
          <w:iCs w:val="1"/>
          <w:color w:val="auto"/>
        </w:rPr>
        <w:t>“Management's Use of Non-GAAP Measures.”</w:t>
      </w:r>
    </w:p>
    <w:p>
      <w:pPr>
        <w:spacing w:after="0" w:line="43" w:lineRule="exact"/>
        <w:rPr>
          <w:rFonts w:ascii="Times New Roman" w:cs="Times New Roman" w:eastAsia="Times New Roman" w:hAnsi="Times New Roman"/>
          <w:sz w:val="16"/>
          <w:szCs w:val="16"/>
          <w:color w:val="auto"/>
          <w:vertAlign w:val="superscript"/>
        </w:rPr>
      </w:pPr>
    </w:p>
    <w:p>
      <w:pPr>
        <w:ind w:left="160" w:hanging="136"/>
        <w:spacing w:after="0"/>
        <w:tabs>
          <w:tab w:leader="none" w:pos="16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Interventional Technologies includes Vascular Closure and Sensor Guided Technologies product lines of the Hospital business unit.</w:t>
      </w:r>
    </w:p>
    <w:p>
      <w:pPr>
        <w:spacing w:after="0" w:line="30" w:lineRule="exact"/>
        <w:rPr>
          <w:rFonts w:ascii="Times New Roman" w:cs="Times New Roman" w:eastAsia="Times New Roman" w:hAnsi="Times New Roman"/>
          <w:sz w:val="17"/>
          <w:szCs w:val="17"/>
          <w:color w:val="auto"/>
          <w:vertAlign w:val="superscript"/>
        </w:rPr>
      </w:pPr>
    </w:p>
    <w:p>
      <w:pPr>
        <w:ind w:left="160" w:hanging="136"/>
        <w:spacing w:after="0" w:line="206" w:lineRule="auto"/>
        <w:tabs>
          <w:tab w:leader="none" w:pos="16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includes the Cell Salvage and Transfusion Management product lines of the Hospital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-463550</wp:posOffset>
            </wp:positionV>
            <wp:extent cx="1682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24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Plasma revenue increased 13.9% during fiscal 2024 as compared with fiscal 2023. Without the effect of foreign exchange, Plasma revenue increased 13.8% during fiscal 2024 as compared with fiscal 2023. This revenue increase was primarily driven by volume and price.</w:t>
      </w:r>
    </w:p>
    <w:p>
      <w:pPr>
        <w:spacing w:after="0" w:line="19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During the third quarter of fiscal 2022, we amended our supply agreement with CSL, which CSL had previously notified us of its intent not to renew and was initially set to expire in June 2022, to allow CSL to continue to use our PCS2 plasma collection system devices and purchase disposable plasmapheresis kits on a non-exclusive basis through December 2023. During the third quarter of fiscal 2023, we further amended our supply agreement with CSL to extend the term through December 2025. CSL has a minimum purchase commitment under the non-exclusive supply agreement of approximately $85 million in fiscal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246"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Blood Center revenue decreased 1.4% during fiscal 2024 as compared with fiscal 2023. Without the effect of foreign exchange, Blood Center revenue increased 1.0% during fiscal 2024. The decrease in Blood Center’s reported revenue was primarily driven by declines in whole blood disposables and the impact of foreign exchange, partially offset by an increase in apheresis disposables.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24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Hospital revenue increased 19.8% during fiscal 2024 as compared with fiscal 2023. Without the effect of foreign exchange, Hospital revenue increased 20.3% during fiscal 2024. The increase was primarily attributable to Vascular Closure revenue and Hemostasis Management disposables revenue, as well as increases in Transfusion Management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691,548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615,097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12.4 %</w:t>
            </w:r>
          </w:p>
        </w:tc>
        <w:tc>
          <w:tcPr>
            <w:tcW w:w="0" w:type="dxa"/>
            <w:vAlign w:val="bottom"/>
          </w:tcPr>
          <w:p>
            <w:pPr>
              <w:spacing w:after="0"/>
              <w:rPr>
                <w:sz w:val="1"/>
                <w:szCs w:val="1"/>
                <w:color w:val="auto"/>
              </w:rPr>
            </w:pPr>
          </w:p>
        </w:tc>
      </w:tr>
      <w:tr>
        <w:trPr>
          <w:trHeight w:val="233"/>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52.6 %</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Gross profit increased 12.4% during fiscal 2024 as compared with fiscal 2023. Without the effects of foreign exchange, gross profit increased 16.5% during fiscal 2024. The increase was primarily driven by volume, product mix and productivity savings from the 2020 Program, partially offset by spend on portfolio rationalization initiatives and amortization of inventory fair value step-up related to the OpSens acquisition.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0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 Increase/(Decrease)</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50,131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8.6 %</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431,780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376,675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32.2 %</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32,031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32,640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divestiture and sale of assets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(382)</w:t>
            </w:r>
          </w:p>
        </w:tc>
        <w:tc>
          <w:tcPr>
            <w:tcW w:w="1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526,665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459,064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14.7 %</w:t>
            </w:r>
          </w:p>
        </w:tc>
        <w:tc>
          <w:tcPr>
            <w:tcW w:w="0" w:type="dxa"/>
            <w:vAlign w:val="bottom"/>
          </w:tcPr>
          <w:p>
            <w:pPr>
              <w:spacing w:after="0"/>
              <w:rPr>
                <w:sz w:val="1"/>
                <w:szCs w:val="1"/>
                <w:color w:val="auto"/>
              </w:rPr>
            </w:pPr>
          </w:p>
        </w:tc>
      </w:tr>
      <w:tr>
        <w:trPr>
          <w:trHeight w:val="23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39.3 %</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32"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18"/>
          <w:szCs w:val="18"/>
          <w:color w:val="auto"/>
        </w:rPr>
        <w:t>Research and development expenses increased 8.6% during fiscal 2024 as compared with fiscal 2023. Without the effects of foreign exchange, research and development expenses increased 8.1% during fiscal 2024. The increase in fiscal 2024 was primarily due to increased investments into product innovation as well as increased costs associated with the acquisition of OpSens.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46" w:lineRule="exact"/>
        <w:rPr>
          <w:sz w:val="20"/>
          <w:szCs w:val="20"/>
          <w:color w:val="auto"/>
        </w:rPr>
      </w:pPr>
    </w:p>
    <w:p>
      <w:pPr>
        <w:jc w:val="both"/>
        <w:ind w:right="44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14.6% during fiscal 2024 as compared with fiscal 2023. Without the effects of foreign exchange, selling, general and administrative expenses increased 14.5% during fiscal 2024. The increase in fiscal 2024 was primarily driven by spend on portfolio rationalization initiatives, continuous growth investments, digital transformation costs incurred as part of the upgrade of our enterprise resource planning system and transaction and integration costs related to the acquisition of OpSens, partially offset by operating leverage.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246" w:lineRule="exact"/>
        <w:rPr>
          <w:sz w:val="20"/>
          <w:szCs w:val="20"/>
          <w:color w:val="auto"/>
        </w:rPr>
      </w:pPr>
    </w:p>
    <w:p>
      <w:pPr>
        <w:jc w:val="both"/>
        <w:ind w:right="720"/>
        <w:spacing w:after="0" w:line="259" w:lineRule="auto"/>
        <w:rPr>
          <w:sz w:val="20"/>
          <w:szCs w:val="20"/>
          <w:color w:val="auto"/>
        </w:rPr>
      </w:pPr>
      <w:r>
        <w:rPr>
          <w:rFonts w:ascii="Times New Roman" w:cs="Times New Roman" w:eastAsia="Times New Roman" w:hAnsi="Times New Roman"/>
          <w:sz w:val="18"/>
          <w:szCs w:val="18"/>
          <w:color w:val="auto"/>
        </w:rPr>
        <w:t>We recognized amortization expense related to our acquired intangible assets of $32.0 million and $32.6 million during fiscal 2024 and fiscal 2023, respectively. The decrease in fiscal 2024 is primarily the result of intangible assets that became fully amortized during fiscal 2023, partially offset by amortization of intangibles acquired as part of the OpSens acquisition during fiscal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Divestiture and sale of assets</w:t>
      </w:r>
    </w:p>
    <w:p>
      <w:pPr>
        <w:spacing w:after="0" w:line="24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We recognized gains on divestiture and sale of assets of $2.0 million and $0.4 million during fiscal 2024 and fiscal 2023, respectively. During fiscal 2024, we recognized a gain on the sale of certain licenses and during fiscal 2023, we recognized a gain for contingent consideration earned on the sale of U.S. blood donor management software.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246"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We recognized a $10.4 million impairment of intangible assets in fiscal 2024 related to the enicor GmbH acquisition completed in fiscal 2021 within our Hospital business unit.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46"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Interest and other expenses decreased 11.0% during fiscal 2024 as compared with fiscal 2023. Without the effects of foreign exchange, interest and other expenses decreased 10.1% during fiscal 2024. The decrease was primarily driven by increased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interest income on investments due to higher interest rates, lower interest paid on interest rate swaps due to market and rate volatility, partially offset by higher interest incurred on our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580" w:type="dxa"/>
            <w:vAlign w:val="bottom"/>
          </w:tcPr>
          <w:p>
            <w:pPr>
              <w:spacing w:after="0"/>
              <w:rPr>
                <w:sz w:val="16"/>
                <w:szCs w:val="16"/>
                <w:color w:val="auto"/>
              </w:rPr>
            </w:pPr>
          </w:p>
        </w:tc>
      </w:tr>
      <w:tr>
        <w:trPr>
          <w:trHeight w:val="24"/>
        </w:trPr>
        <w:tc>
          <w:tcPr>
            <w:tcW w:w="72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6"/>
        </w:trPr>
        <w:tc>
          <w:tcPr>
            <w:tcW w:w="62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 Increase/(Decrease)</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income tax rate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Reported Tax Rate</w:t>
      </w:r>
    </w:p>
    <w:p>
      <w:pPr>
        <w:spacing w:after="0" w:line="24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U.S. Our reported tax rate is impacted by the jurisdictional mix of earnings in any given period as the foreign jurisdictions in which we operate have tax rates that differ from the U.S. statutory tax rate.</w:t>
      </w:r>
    </w:p>
    <w:p>
      <w:pPr>
        <w:spacing w:after="0" w:line="20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As of March 30, 2024, we maintain a valuation allowance against certain U.S. state and foreign tax credit carryforwards that are not more-likely-than-not realizable as well as a valuation allowance against the net deferred tax assets of certain foreign subsidiaries.</w:t>
      </w:r>
    </w:p>
    <w:p>
      <w:pPr>
        <w:spacing w:after="0" w:line="19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For the year ended March 30, 2024, we recorded income tax expense of $34.3 million on our worldwide pre-tax income of $151.9 million, resulting in a reported tax rate of 22.6%. Our effective tax rate for the year ended March 30, 2024 is higher than our effective tax rate of 18.4% for fiscal 2023, primarily due to the release of valuation allowance related to U.S. state deferred tax assets in fiscal 2023 that did not recur in fiscal 2024, partially offset by a tax benefit recorded in fiscal 2024 related to the impact of foreign tax law changes, an increase in stock compensation tax benefit and an unfavorable impact of the jurisdictional mix of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Pr>
          <w:p>
            <w:pPr>
              <w:spacing w:after="0"/>
              <w:rPr>
                <w:sz w:val="13"/>
                <w:szCs w:val="13"/>
                <w:color w:val="auto"/>
              </w:rPr>
            </w:pP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284,466</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468,520</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517,906</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debt position</w:t>
            </w:r>
            <w:r>
              <w:rPr>
                <w:rFonts w:ascii="Times New Roman" w:cs="Times New Roman" w:eastAsia="Times New Roman" w:hAnsi="Times New Roman"/>
                <w:sz w:val="22"/>
                <w:szCs w:val="22"/>
                <w:color w:val="auto"/>
                <w:vertAlign w:val="superscript"/>
              </w:rPr>
              <w:t>(1)</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(481,420)</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sales outstanding (DSO)</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1"/>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Net debt position is the sum of cash and cash equivalents less total debt.</w:t>
      </w:r>
    </w:p>
    <w:p>
      <w:pPr>
        <w:spacing w:after="0" w:line="343"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convertible senior notes due March 1, 2026. Our expected cash outlays relate primarily to acquisitions, investments, capital expenditures, including enhancements to our North American manufacturing facilities, share repurchases, portfolio rationalization initiatives and cash principal and interest payments under our revised credit agreements.</w:t>
      </w:r>
    </w:p>
    <w:p>
      <w:pPr>
        <w:spacing w:after="0" w:line="21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Company has $500.0 million aggregate principal amount of 0% convertible senior notes due in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0.5% as of March 30, 2024.</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As of March 30, 2024, we had $178.8 million in cash and cash equivalents, the majority of which is held in the U.S. or in countries from which it can be repatriated to the U.S. On July 26, 2022, we entered into an amended and restated credit agreement with certain lenders to refinance our prior credit agreement entered into on June 15, 2018, which consisted of a $350.0 million term loan and a $350.0 million revolving credit facility (together, as amended from time to time, the “2018 Credit Facilities”), and extend the maturity date through June 2025. The amended and restated credit agreement includes a $280.0 million senior unsecured term loan, the proceeds of which have been used to retire the balance of the term loan under the 2018 Credit Facilities, and a $420.0 million senior unsecured revolving credit facility (together, the “2022 Revised Credit Facilities”). Loans under the 2022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2022 Revised Credit Facilities, the Company is required to maintain certain leverage and interest coverage ratios specified in the amended and restated credit agreement as well as other customary non-financial affirmative and negative covenants.</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As of March 30, 2024, $262.5 million was outstanding under the term loan with an effective interest rate of 6.9% and $50.0 million in outstanding borrowings under the revolving credit facility with an effective interest rate of 6.8%. We also had $18.7 million of uncommitted operating lines of credit to fund our global operations under which there were no outstanding borrowings as of March 30, 2024. Additionally, the Company was in compliance with the leverage and interest coverage ratios specified in the credit agreement as well as all other bank covenants as of March 30, 2024.</w:t>
      </w:r>
    </w:p>
    <w:p>
      <w:pPr>
        <w:spacing w:after="0" w:line="20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In April 2024, subsequent to the fiscal year ended March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have been used to retire the balance of the term loan under the 2022 Revised Credit Facilities, and a $750.0 million senior unsecured revolving credit facility (together, the “2024 Revised Credit Facilities”), which constitutes a $330.0 million increase from the revolving credit facility under the 2022 Revised Credit Facilities. Loans under the 2024 Revised Credit Facilities will initially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Adjusted Term SOFR Rate loans are also subject to a credit spread adjustment of 0% per annum.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 As of April 30, 2024, the outstanding balance under the revolving credit facility was $230.0 million, which increased from the end of fiscal 2024, primarily due to borrowings associated with the acquisition of Attune Medical on April 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scheduled principal payments, adjusted for the impact of the debt refinancing in April 2024, of $17.3 million required during fiscal 2025.</w:t>
      </w:r>
    </w:p>
    <w:p>
      <w:pPr>
        <w:spacing w:after="0" w:line="24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During fiscal 2022, our Board of Directors approved a revised Operational Excellence Program. We estimate that we will incur aggregate charges between $85 million and $95 million in connection with the Operational Excellence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fiscal years ended March 30, 2024 and April 1, 2023, the Company incurred $9.8 million and $11.5 million, respectively, of restructuring and restructuring related costs under this program.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273,058</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(143,788)</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(100,364)</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20" w:right="180" w:firstLine="4"/>
        <w:spacing w:after="0" w:line="251" w:lineRule="auto"/>
        <w:tabs>
          <w:tab w:leader="none" w:pos="15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$181.8 million during fiscal 2024, a decrease of $91.3 million as compared with fiscal 2023. The decrease in cash provided by operating activities was primarily the result of replenishment of NexSys PCS devices during fiscal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was $322.4 million during fiscal 2024, an increase of $178.6 million as compared with fiscal 2023. The increase in cash used in investing activities was primarily the result of the acquisition of OpSens in fiscal 2024, partially offset by lower capital expenditures driven by NexSys PCS device placements that occurred during fiscal 2023 and decreased cash outflows for other investments compared to fiscal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Net cash provided by financing activities was $38.2 million during fiscal 2024, an increase of $138.5 million as compared with fiscal 2023, primarily due to the borrowings under the revolving credit facility in fiscal 2024 in connection with the OpSens acquisition as well as cash outflows in fiscal 2023 for share repurchases and higher contingent consideration payments.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4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 summary of our contractual and commercial commitments as of March 30, 2024, which includes the impact of the April 2024 refinancing of the term loan under our 2024 Revised Credit Facilities, is as follows:</w:t>
      </w: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26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6"/>
                <w:szCs w:val="16"/>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430,519</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retirement plan benefit payments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381,638</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571,902</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117715" cy="151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7715" cy="151765"/>
                    </a:xfrm>
                    <a:prstGeom prst="rect">
                      <a:avLst/>
                    </a:prstGeom>
                    <a:noFill/>
                  </pic:spPr>
                </pic:pic>
              </a:graphicData>
            </a:graphic>
          </wp:anchor>
        </w:drawing>
      </w:r>
    </w:p>
    <w:p>
      <w:pPr>
        <w:ind w:left="20" w:right="260" w:firstLine="4"/>
        <w:spacing w:after="0" w:line="226" w:lineRule="auto"/>
        <w:tabs>
          <w:tab w:leader="none" w:pos="15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payments reflect the contractual interest payments on outstanding debt related to the term loan under our 2024 Revised Credit Facilities and exclude the impact of interest rate swap agreements. Interest payments are projected using interest rates in effect as of April 30, 2024, the date the term loan was refinanced. Certain of these projected interest payments may differ in the future based on changes in market interest rates.</w:t>
      </w:r>
    </w:p>
    <w:p>
      <w:pPr>
        <w:spacing w:after="0" w:line="15" w:lineRule="exact"/>
        <w:rPr>
          <w:rFonts w:ascii="Times New Roman" w:cs="Times New Roman" w:eastAsia="Times New Roman" w:hAnsi="Times New Roman"/>
          <w:sz w:val="16"/>
          <w:szCs w:val="16"/>
          <w:color w:val="auto"/>
          <w:vertAlign w:val="superscript"/>
        </w:rPr>
      </w:pPr>
    </w:p>
    <w:p>
      <w:pPr>
        <w:ind w:left="20" w:right="240" w:firstLine="4"/>
        <w:spacing w:after="0" w:line="227" w:lineRule="auto"/>
        <w:tabs>
          <w:tab w:leader="none" w:pos="15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amounts we are committed to spend on purchase orders entered in the normal course of business for capital equipment as well as commitments with contractors for the manufacture of certain disposable products and equipment. The majority of our operating expense spending does not require any advance commitment.</w:t>
      </w:r>
    </w:p>
    <w:p>
      <w:pPr>
        <w:spacing w:after="0" w:line="3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above table does not reflect our long-term liabilities associated with unrecognized tax benefits of $2.9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80"/>
        <w:spacing w:after="0" w:line="304" w:lineRule="auto"/>
        <w:rPr>
          <w:sz w:val="20"/>
          <w:szCs w:val="20"/>
          <w:color w:val="auto"/>
        </w:rPr>
      </w:pPr>
      <w:r>
        <w:rPr>
          <w:rFonts w:ascii="Times New Roman" w:cs="Times New Roman" w:eastAsia="Times New Roman" w:hAnsi="Times New Roman"/>
          <w:sz w:val="17"/>
          <w:szCs w:val="17"/>
          <w:color w:val="auto"/>
        </w:rPr>
        <w:t>Subsequent to our fiscal year ended March 30, 2024, we entered into a definitive agreement to acquire Attune Medical that includes additional contingent consideration we may be required to pay in the future based on sales growth over the next three years and the achievement of certain other milestones.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4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While approximately 48% of our revenue during fiscal 2024 was generated by our ten largest customers, 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1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4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U.S. GAAP, we record a liability in our consolidated financial statements for legal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xml:space="preserve"> to the Consolidated Financial Statements in Item 8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continue to monitor inflationary pressures generally and raw materials indices that may affect our procurement and production costs. Increases in the price of petroleum derivatives could result in corresponding increases in our costs to procure plastic raw materials.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4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During fiscal 2024, 25.9%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spacing w:after="0" w:line="21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7"/>
          <w:szCs w:val="17"/>
          <w:color w:val="auto"/>
        </w:rPr>
        <w:t>Franc and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4"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 Item 8 of this Annual Report on Form 10-K for a discussion of recently issued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Our significant accounting policies are summarized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 We consider an estimate to be a “critical accounting estimate” when (i) the nature of the estimate is material due to the level of subjectivity and judgment necessary to account for highly uncertain matters or the susceptibility of such matters to change; and (ii) the impact of the estimate on financial condition or operating performance is material. The accounting policies and estimates identified as critical are as follows: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 xml:space="preserve">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Our estimates take into consideration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to the Consolidated Financial Statements in Item 8 of this Annual Report on Form 10-K for further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use consistent methodologies in developing the assumptions and estimates underlying the fair value calculations used in our impairment tests, these estimates are uncertain by nature and can vary from actual results. The use of alternative valuation assumptions, including estimated revenue projections, growth rates, cash flows and discount rates could result in different fair value estimates.</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Future events that could have a negative impact on the levels of excess fair value over carrying value of our reporting units include, but are not limited to, the following:</w:t>
      </w:r>
    </w:p>
    <w:p>
      <w:pPr>
        <w:spacing w:after="0" w:line="190" w:lineRule="exact"/>
        <w:rPr>
          <w:sz w:val="20"/>
          <w:szCs w:val="20"/>
          <w:color w:val="auto"/>
        </w:rPr>
      </w:pPr>
    </w:p>
    <w:p>
      <w:pPr>
        <w:ind w:left="640" w:right="20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estimated market sizes or market growth rates due to greater-than-expected declines in procedural volumes, pricing pressures, product actions and/or competitive technology developments,</w:t>
      </w:r>
    </w:p>
    <w:p>
      <w:pPr>
        <w:spacing w:after="0" w:line="189" w:lineRule="exact"/>
        <w:rPr>
          <w:rFonts w:ascii="Times New Roman" w:cs="Times New Roman" w:eastAsia="Times New Roman" w:hAnsi="Times New Roman"/>
          <w:sz w:val="18"/>
          <w:szCs w:val="18"/>
          <w:color w:val="auto"/>
        </w:rPr>
      </w:pPr>
    </w:p>
    <w:p>
      <w:pPr>
        <w:jc w:val="both"/>
        <w:ind w:left="640" w:right="260" w:hanging="316"/>
        <w:spacing w:after="0" w:line="259"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our market share and penetration assumptions due to increased competition, an inability to develop or launch new and next-generation products and technology features in line with our commercialization strategies and market and/or regulatory conditions that may cause significant launch delays or product recalls,</w:t>
      </w:r>
    </w:p>
    <w:p>
      <w:pPr>
        <w:spacing w:after="0" w:line="204"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forecasted profitability due to an inability to implement successfully and achieve timely and sustainable cost improvement measures consistent with our expectations,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right="68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reporting units or in the structure of our business as a result of future reorganizations, acquisitions or divestitures of assets or businesses and</w:t>
      </w:r>
    </w:p>
    <w:p>
      <w:pPr>
        <w:spacing w:after="0" w:line="189"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market-participant risk-adjusted weighted average cost of capital and increases in our market-participant tax rate and/or changes in tax laws or macroeconomic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changes in one or more of these factors, among others, could result in future impairment charges.</w:t>
      </w:r>
    </w:p>
    <w:p>
      <w:pPr>
        <w:spacing w:after="0" w:line="24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Refer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Goodwill &amp; Intangible Assets,</w:t>
      </w:r>
      <w:r>
        <w:rPr>
          <w:rFonts w:ascii="Times New Roman" w:cs="Times New Roman" w:eastAsia="Times New Roman" w:hAnsi="Times New Roman"/>
          <w:sz w:val="18"/>
          <w:szCs w:val="18"/>
          <w:color w:val="auto"/>
        </w:rPr>
        <w:t xml:space="preserve"> to the Consolidated Financial Statements in Item 8 of this Annual Report on Form 10-K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Provisions</w:t>
      </w:r>
    </w:p>
    <w:p>
      <w:pPr>
        <w:spacing w:after="0" w:line="24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 the Consolidated Financial Statements in Item 8 of this Annual Report on Form 10-K for further information and discussion of our income tax provision and balances.</w:t>
      </w:r>
    </w:p>
    <w:p>
      <w:pPr>
        <w:spacing w:after="0" w:line="19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 With respect to the specific legal proceedings and claims described below, unless otherwise noted, the amount or range of possible losses is not reasonably estimable. There can be no assurance that the settlement, resolution, or other outcome of one or more matters, including the matters set forth below, during any subsequent reporting period will not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material adverse effect on the Company’s results of operations or cash flows for that period or on the Company’s financial condition.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4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record tangible and intangible assets acquired and liabilities assumed in business combinations under the purchase method of accounting. Amounts paid for each acquisition are allocated to the assets acquired and liabilities assumed based on their fair values at the dates of acquisition. The fair value of identifiable intangible assets is based on detailed valuations that use information and assumptions including forecasted cash flows, revenues attributable to existing technology and discount rates. When estimating the significant assumptions to be used in the valuation we included a consideration of current industry information, market and economic trends, historical results of the acquired business and other relevant factors. These significant assumptions are forward-looking and could be affected by future economic and market conditions. We allocate any excess purchase price over the fair value of the net tangible and intangible assets acquired and liabilities assumed to goodwill.</w:t>
      </w:r>
    </w:p>
    <w:p>
      <w:pPr>
        <w:spacing w:after="0" w:line="21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Contingent consideration is recorded at fair value as measured on the date of acquisition using an appropriate valuation model, such as the Monte Carlo simulation model. The value recorded is based on estimates of future financial projections under various potential scenarios, in which the model runs many simulations based on comparable companies’ growth rates and their implied volatility. Our estimates of forecasted revenues in the earn out period include a consideration of current industry information, market and economic trends, historical results of the acquired business and other relevant factors. These cash flow projections are discounted with a risk adjusted rate. Each quarter until such contingent amounts are earned, the fair value of the liability is remeasured at each reporting period and adjusted as a component of operating expenses based on changes to the underlying assumptions. The estimates used to determine the fair value of the contingent consideration liability are subject to significant judgment and given the inherent uncertainties in making these estimates, actual results are likely to differ from the amounts originally recorded and could be materially different.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exposures relative to market risk are due to foreign exchange risk and interest rate risk.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4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March 30, 2024, in the event of a 10% strengthening of the U.S. Dollar, the change in fair value of all forward contracts would result in a $4.4 million increase in the fair value of the forward contracts, whereas a 10% weakening of the U.S. Dollar would result in a $5.4 million decrease in the fair value of the forward contracts.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under our credit facilities, all of which is variable rate debt. Total outstanding debt under our senior unsecured term loan as of March 30, 2024 was $262.5 million with an effective interest rate of 6.9% based on prevailing Term SOFR rates. An increase of 100 basis points in Term SOFR rates would result in additional annual interest expense of $0.5 million. In addition, as of March 30, 2024, there was $50.0 million outstanding on our senior unsecured revolving credit facility with an effective interest rate of 6.8%, also based on prevailing Term SOFR rates. As of March 30, 2024, the notional amount on our two active interest rate swap agreements to effectively convert borrowings under our 2022 Revised Credit Facilities from a variable rate to a fixed rate were $211.4 million. These interest rate swaps are intended to mitigate the exposure to fluctuations in interest rates and qualify for hedge accounting treatment as cash flow hedges.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Haemonetics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Haemonetics Corporation and subsidiaries (the Company) as of March 30, 2024 and April 1, 2023, the related consolidated statements of income, comprehensive income, stockholders' equity and cash flows for each of the three years in the period ended March 30, 2024, and the related notes (collectively referred to as the “consolidated financial statements”). In our opinion, the consolidated financial statements present fairly, in all material respects, the financial position of the Company at March 30, 2024 and April 1, 2023, and the results of its operations and its cash flows for each of the three years in the period ended March 30, 2024, in conformity with U.S. generally accepted accounting principles.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March 30, 2024, based on criteria established in Internal Control—Integrated Framework issued by the Committee of Sponsoring Organizations of the Treadway Commission (2013 framework) and our report dated May 20, 2024 expressed an unqualified opinion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right="180"/>
        <w:spacing w:after="0" w:line="25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during fiscal year 2024, the Company completed the acquisition of OpSens Inc. for a purchase price of $254.5 million. The acquisition was accounted for as a business combination. The financial statement accounts primarily affected by this transaction were intangible assets and goodwill.</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Auditing the Company’s accounting for the business combination was complex due to the significant estimation required by management to determine the fair value of certain identified intangible assets, which totaled $172 million and principally consisted of developed technology. The significant estimation was primarily due to the judgmental nature of the inputs to the valuation model used to measure the fair value of the developed technology intangible asset, as well as the sensitivity of the respective fair value to the underlying significant assumptions. The Company used the income approach to measure the fair value of the intangible asset. The significant assumptions used to estimate the fair value of the intangible asset included discount rates and certain assumptions that form the basis of the forecasted results, specifically certain revenue growth rates and EBITDA margin. When estimating the significant assumptions to be used in the valuation the Company considered current industry information, market and economic trends, historical results of the acquired business, and other relevant factors. These significant assumptions are forward-looking and could be affected by future economic and market conditions.</w:t>
      </w:r>
    </w:p>
    <w:p>
      <w:pPr>
        <w:spacing w:after="0" w:line="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controls over the Company’s accounting for the business combination. We tested controls over the valuation of intangible assets, including the valuation models and underlying assumptions used to develop such estimates.</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test the fair value of the acquired intangible assets, our audit procedures included, among others, evaluating the significant assumptions used, and the testing of the completeness and accuracy of underlying data. We tested the valuation models used to value the acquired intangible assets. Our testing procedures over the significant assumptions included, among others, comparing them to current industry, market and economic trends, historical results of the acquired business and to other relevant factors. We also performed sensitivity analyses of the significant assumptions to evaluate the change in the fair value resulting from changes in the assumptions. In addition, we involved valuation professionals to assist in our evaluation of the methodology, computations, and certain significant assumptions used by the Company within the valuation.</w:t>
      </w:r>
    </w:p>
    <w:p>
      <w:pPr>
        <w:spacing w:after="0" w:line="200" w:lineRule="exact"/>
        <w:rPr>
          <w:sz w:val="20"/>
          <w:szCs w:val="20"/>
          <w:color w:val="auto"/>
        </w:rPr>
      </w:pPr>
    </w:p>
    <w:p>
      <w:pPr>
        <w:sectPr>
          <w:pgSz w:w="11900" w:h="16838" w:orient="portrait"/>
          <w:cols w:equalWidth="0" w:num="2">
            <w:col w:w="1820" w:space="260"/>
            <w:col w:w="914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6"/>
        </w:trPr>
        <w:tc>
          <w:tcPr>
            <w:tcW w:w="6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Pr>
          <w:p>
            <w:pPr>
              <w:spacing w:after="0"/>
              <w:rPr>
                <w:sz w:val="10"/>
                <w:szCs w:val="10"/>
                <w:color w:val="auto"/>
              </w:rPr>
            </w:pPr>
          </w:p>
        </w:tc>
        <w:tc>
          <w:tcPr>
            <w:tcW w:w="132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80" w:type="dxa"/>
            <w:vAlign w:val="bottom"/>
          </w:tcPr>
          <w:p>
            <w:pPr>
              <w:spacing w:after="0"/>
              <w:rPr>
                <w:sz w:val="10"/>
                <w:szCs w:val="10"/>
                <w:color w:val="auto"/>
              </w:rPr>
            </w:pPr>
          </w:p>
        </w:tc>
        <w:tc>
          <w:tcPr>
            <w:tcW w:w="1140" w:type="dxa"/>
            <w:vAlign w:val="bottom"/>
          </w:tcPr>
          <w:p>
            <w:pPr>
              <w:jc w:val="right"/>
              <w:ind w:right="393"/>
              <w:spacing w:after="0" w:line="126"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993,196</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487,694</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505,502</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340,140</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47,414</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divestiture and sale of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526,665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459,064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424,752</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80,750</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63,629</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43,375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65"/>
        </w:trPr>
        <w:tc>
          <w:tcPr>
            <w:tcW w:w="6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w:t>
            </w:r>
          </w:p>
        </w:tc>
      </w:tr>
      <w:tr>
        <w:trPr>
          <w:trHeight w:val="231"/>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51,353</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3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6"/>
        </w:trPr>
        <w:tc>
          <w:tcPr>
            <w:tcW w:w="6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Pr>
          <w:p>
            <w:pPr>
              <w:spacing w:after="0"/>
              <w:rPr>
                <w:sz w:val="10"/>
                <w:szCs w:val="10"/>
                <w:color w:val="auto"/>
              </w:rPr>
            </w:pPr>
          </w:p>
        </w:tc>
        <w:tc>
          <w:tcPr>
            <w:tcW w:w="126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80" w:type="dxa"/>
            <w:vAlign w:val="bottom"/>
          </w:tcPr>
          <w:p>
            <w:pPr>
              <w:spacing w:after="0"/>
              <w:rPr>
                <w:sz w:val="10"/>
                <w:szCs w:val="10"/>
                <w:color w:val="auto"/>
              </w:rPr>
            </w:pPr>
          </w:p>
        </w:tc>
        <w:tc>
          <w:tcPr>
            <w:tcW w:w="1100" w:type="dxa"/>
            <w:vAlign w:val="bottom"/>
          </w:tcPr>
          <w:p>
            <w:pPr>
              <w:jc w:val="right"/>
              <w:ind w:right="376"/>
              <w:spacing w:after="0" w:line="126"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2"/>
        </w:trPr>
        <w:tc>
          <w:tcPr>
            <w:tcW w:w="6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1"/>
        </w:trPr>
        <w:tc>
          <w:tcPr>
            <w:tcW w:w="6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43,375</w:t>
            </w:r>
          </w:p>
        </w:tc>
      </w:tr>
      <w:tr>
        <w:trPr>
          <w:trHeight w:val="265"/>
        </w:trPr>
        <w:tc>
          <w:tcPr>
            <w:tcW w:w="6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defined benefit plans, net of tax</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25"/>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r>
      <w:tr>
        <w:trPr>
          <w:trHeight w:val="225"/>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cash flow hedges, net of tax</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r>
      <w:tr>
        <w:trPr>
          <w:trHeight w:val="225"/>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Reclassifications into earnings of cash flow hedge (gains) losses,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18"/>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w:t>
            </w: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3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Pr>
          <w:p>
            <w:pPr>
              <w:spacing w:after="0"/>
              <w:rPr>
                <w:sz w:val="13"/>
                <w:szCs w:val="13"/>
                <w:color w:val="auto"/>
              </w:rPr>
            </w:pPr>
          </w:p>
        </w:tc>
        <w:tc>
          <w:tcPr>
            <w:tcW w:w="11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4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178,800</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284,466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$5,695 at March 30, 2024 and $4,932 at April 1, 2023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179,142</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259,379</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46,735</w:t>
            </w: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768,903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769,722</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310,885</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less accumulated amortization of $455,213 at March 30, 2024 and $417,422 at April 1, 2023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275,771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466,231</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106,975</w:t>
            </w:r>
          </w:p>
        </w:tc>
        <w:tc>
          <w:tcPr>
            <w:tcW w:w="0" w:type="dxa"/>
            <w:vAlign w:val="bottom"/>
          </w:tcPr>
          <w:p>
            <w:pPr>
              <w:spacing w:after="0"/>
              <w:rPr>
                <w:sz w:val="1"/>
                <w:szCs w:val="1"/>
                <w:color w:val="auto"/>
              </w:rPr>
            </w:pPr>
          </w:p>
        </w:tc>
      </w:tr>
      <w:tr>
        <w:trPr>
          <w:trHeight w:val="207"/>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2,195,591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1,934,825</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2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11,784</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63,929</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111,628</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300,383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251,816</w:t>
            </w:r>
          </w:p>
        </w:tc>
        <w:tc>
          <w:tcPr>
            <w:tcW w:w="0" w:type="dxa"/>
            <w:vAlign w:val="bottom"/>
          </w:tcPr>
          <w:p>
            <w:pPr>
              <w:spacing w:after="0"/>
              <w:rPr>
                <w:sz w:val="1"/>
                <w:szCs w:val="1"/>
                <w:color w:val="auto"/>
              </w:rPr>
            </w:pP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754,102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36,195</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74,715</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w w:val="99"/>
              </w:rPr>
              <w:t>Common stock, $0.01 par value; Authorized — 150,000,000 shares; Issued and outstanding — 50,787,859 shares at March 30,</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and 50,448,519 shares at April 1, 2023</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594,706</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253,168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(30,381)</w:t>
            </w: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959,959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817,997</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2,195,591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1,934,825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3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74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3"/>
                <w:szCs w:val="13"/>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9"/>
        </w:trPr>
        <w:tc>
          <w:tcPr>
            <w:tcW w:w="45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40"/>
              <w:spacing w:after="0" w:line="60"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tcPr>
          <w:p>
            <w:pPr>
              <w:jc w:val="center"/>
              <w:ind w:right="240"/>
              <w:spacing w:after="0" w:line="60"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40" w:type="dxa"/>
            <w:vAlign w:val="bottom"/>
          </w:tcPr>
          <w:p>
            <w:pPr>
              <w:spacing w:after="0"/>
              <w:rPr>
                <w:sz w:val="5"/>
                <w:szCs w:val="5"/>
                <w:color w:val="auto"/>
              </w:rPr>
            </w:pPr>
          </w:p>
        </w:tc>
        <w:tc>
          <w:tcPr>
            <w:tcW w:w="960" w:type="dxa"/>
            <w:vAlign w:val="bottom"/>
          </w:tcPr>
          <w:p>
            <w:pPr>
              <w:jc w:val="center"/>
              <w:ind w:right="91"/>
              <w:spacing w:after="0" w:line="60"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79"/>
        </w:trPr>
        <w:tc>
          <w:tcPr>
            <w:tcW w:w="452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Income/(Loss)</w:t>
            </w:r>
          </w:p>
        </w:tc>
        <w:tc>
          <w:tcPr>
            <w:tcW w:w="140" w:type="dxa"/>
            <w:vAlign w:val="bottom"/>
          </w:tcPr>
          <w:p>
            <w:pPr>
              <w:spacing w:after="0"/>
              <w:rPr>
                <w:sz w:val="15"/>
                <w:szCs w:val="15"/>
                <w:color w:val="auto"/>
              </w:rPr>
            </w:pPr>
          </w:p>
        </w:tc>
        <w:tc>
          <w:tcPr>
            <w:tcW w:w="960" w:type="dxa"/>
            <w:vAlign w:val="bottom"/>
          </w:tcPr>
          <w:p>
            <w:pPr>
              <w:jc w:val="center"/>
              <w:ind w:right="9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3,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602,727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20" w:type="dxa"/>
            <w:vAlign w:val="bottom"/>
            <w:tcBorders>
              <w:top w:val="single" w:sz="8" w:color="CCEEFF"/>
            </w:tcBorders>
            <w:vMerge w:val="continue"/>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0" w:type="dxa"/>
            <w:vAlign w:val="bottom"/>
          </w:tcPr>
          <w:p>
            <w:pPr>
              <w:spacing w:after="0"/>
              <w:rPr>
                <w:sz w:val="1"/>
                <w:szCs w:val="1"/>
                <w:color w:val="auto"/>
              </w:rPr>
            </w:pPr>
          </w:p>
        </w:tc>
      </w:tr>
      <w:tr>
        <w:trPr>
          <w:trHeight w:val="191"/>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24,359</w:t>
            </w:r>
          </w:p>
        </w:tc>
        <w:tc>
          <w:tcPr>
            <w:tcW w:w="0" w:type="dxa"/>
            <w:vAlign w:val="bottom"/>
          </w:tcPr>
          <w:p>
            <w:pPr>
              <w:spacing w:after="0"/>
              <w:rPr>
                <w:sz w:val="1"/>
                <w:szCs w:val="1"/>
                <w:color w:val="auto"/>
              </w:rPr>
            </w:pPr>
          </w:p>
        </w:tc>
      </w:tr>
      <w:tr>
        <w:trPr>
          <w:trHeight w:val="191"/>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Cumulative effect of change in accounting standards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(60,121)</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43,375</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2,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572,476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749,424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20" w:type="dxa"/>
            <w:vAlign w:val="bottom"/>
            <w:tcBorders>
              <w:top w:val="single" w:sz="8" w:color="CCEEFF"/>
            </w:tcBorders>
            <w:vMerge w:val="continue"/>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0" w:type="dxa"/>
            <w:vAlign w:val="bottom"/>
          </w:tcPr>
          <w:p>
            <w:pPr>
              <w:spacing w:after="0"/>
              <w:rPr>
                <w:sz w:val="1"/>
                <w:szCs w:val="1"/>
                <w:color w:val="auto"/>
              </w:rPr>
            </w:pPr>
          </w:p>
        </w:tc>
      </w:tr>
      <w:tr>
        <w:trPr>
          <w:trHeight w:val="191"/>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repurchased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25,583</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115,401</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594,706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817,997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20" w:type="dxa"/>
            <w:vAlign w:val="bottom"/>
            <w:tcBorders>
              <w:top w:val="single" w:sz="8" w:color="CCEEFF"/>
            </w:tcBorders>
            <w:vMerge w:val="continue"/>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191"/>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0" w:type="dxa"/>
            <w:vAlign w:val="bottom"/>
          </w:tcPr>
          <w:p>
            <w:pPr>
              <w:spacing w:after="0"/>
              <w:rPr>
                <w:sz w:val="1"/>
                <w:szCs w:val="1"/>
                <w:color w:val="auto"/>
              </w:rPr>
            </w:pPr>
          </w:p>
        </w:tc>
      </w:tr>
      <w:tr>
        <w:trPr>
          <w:trHeight w:val="191"/>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28,332</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117,558</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959,959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3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6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80" w:type="dxa"/>
            <w:vAlign w:val="bottom"/>
          </w:tcPr>
          <w:p>
            <w:pPr>
              <w:spacing w:after="0"/>
              <w:rPr>
                <w:sz w:val="11"/>
                <w:szCs w:val="11"/>
                <w:color w:val="auto"/>
              </w:rPr>
            </w:pPr>
          </w:p>
        </w:tc>
        <w:tc>
          <w:tcPr>
            <w:tcW w:w="1140" w:type="dxa"/>
            <w:vAlign w:val="bottom"/>
          </w:tcPr>
          <w:p>
            <w:pPr>
              <w:jc w:val="right"/>
              <w:ind w:right="409"/>
              <w:spacing w:after="0" w:line="128"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1"/>
        </w:trPr>
        <w:tc>
          <w:tcPr>
            <w:tcW w:w="6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117,558</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115,401</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43,375</w:t>
            </w:r>
          </w:p>
        </w:tc>
      </w:tr>
      <w:tr>
        <w:trPr>
          <w:trHeight w:val="20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 operating activities: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items: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97,747</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24,359</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assets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7,953</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divestiture and sale of assets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10,461</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fair value inventory step-up</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benefit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(benefit) for losses on inventory</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w:t>
            </w:r>
          </w:p>
        </w:tc>
      </w:tr>
      <w:tr>
        <w:trPr>
          <w:trHeight w:val="20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operating assets and liabilities: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accounts receivable</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(34,974)</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inventories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24,307</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prepaid income taxes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other assets and other liabilities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(15,022)</w:t>
            </w:r>
          </w:p>
        </w:tc>
      </w:tr>
      <w:tr>
        <w:trPr>
          <w:trHeight w:val="192"/>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Change in accounts payable and accrued expenses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7,642</w:t>
            </w:r>
          </w:p>
        </w:tc>
      </w:tr>
      <w:tr>
        <w:trPr>
          <w:trHeight w:val="19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181,751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172,263</w:t>
            </w: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(110,191)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(96,509)</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divestiture and sale of assets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10,642</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(86,345)</w:t>
            </w:r>
          </w:p>
        </w:tc>
      </w:tr>
      <w:tr>
        <w:trPr>
          <w:trHeight w:val="20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Term loan borrowings</w:t>
            </w:r>
          </w:p>
        </w:tc>
        <w:tc>
          <w:tcPr>
            <w:tcW w:w="2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 loan redemption</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term loan borrowings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revolving facility</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revolving facility</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 consideration payments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used to net share settle employee equity awards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repurchases</w:t>
            </w:r>
          </w:p>
        </w:tc>
        <w:tc>
          <w:tcPr>
            <w:tcW w:w="2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5"/>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(15,749)</w:t>
            </w:r>
          </w:p>
        </w:tc>
      </w:tr>
      <w:tr>
        <w:trPr>
          <w:trHeight w:val="20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r>
      <w:tr>
        <w:trPr>
          <w:trHeight w:val="18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67,191</w:t>
            </w:r>
          </w:p>
        </w:tc>
      </w:tr>
      <w:tr>
        <w:trPr>
          <w:trHeight w:val="19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284,466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259,496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192,305</w:t>
            </w:r>
          </w:p>
        </w:tc>
      </w:tr>
      <w:tr>
        <w:trPr>
          <w:trHeight w:val="19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Year</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178,800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284,466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259,496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91"/>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20,901</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w:t>
            </w: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24,298</w:t>
            </w: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Transfers from inventory to fixed assets for placement of Haemonetics equipment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51,800</w:t>
            </w: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BASIS OF PRESENTATION</w:t>
      </w:r>
    </w:p>
    <w:p>
      <w:pPr>
        <w:spacing w:after="0" w:line="24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a suite of innovative medical technology solutions that improve the quality, effectiveness and efficiency of care. We challenge ourselves to think big and make new possibilities a reality, so that our customers can make it matter for patients, every single day. Our technology addresses important medical markets: blood and plasma component collection, the surgical suite and hospital transfusion services. When used in this report, the terms “we,” “us,” “our,” “Haemonetics” and the “Company” mean Haemonetics Corporation.</w:t>
      </w:r>
    </w:p>
    <w:p>
      <w:pPr>
        <w:spacing w:after="0" w:line="194"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Haemonetics manages its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red cells, platelets and whole blood. “Hospital” is comprised of Interventional Technologies, which includes vascular closure devices and sensor-guided technologies, and Blood Management Technologies, which includes devices and methodologies for measuring coagulation characteristics of blood, specialized blood cell processing systems and disposables, surgical blood salvage systems and blood transfusion management software.</w:t>
      </w:r>
    </w:p>
    <w:p>
      <w:pPr>
        <w:spacing w:after="0" w:line="220"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present separately the Company’s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w:t>
      </w:r>
    </w:p>
    <w:p>
      <w:pPr>
        <w:spacing w:after="0" w:line="2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except as described in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 xml:space="preserve">Property, Plant &amp; Equipment </w:t>
      </w:r>
      <w:r>
        <w:rPr>
          <w:rFonts w:ascii="Times New Roman" w:cs="Times New Roman" w:eastAsia="Times New Roman" w:hAnsi="Times New Roman"/>
          <w:sz w:val="18"/>
          <w:szCs w:val="18"/>
          <w:color w:val="auto"/>
        </w:rPr>
        <w:t>and Note 12,</w:t>
      </w:r>
      <w:r>
        <w:rPr>
          <w:rFonts w:ascii="Times New Roman" w:cs="Times New Roman" w:eastAsia="Times New Roman" w:hAnsi="Times New Roman"/>
          <w:sz w:val="18"/>
          <w:szCs w:val="18"/>
          <w:i w:val="1"/>
          <w:iCs w:val="1"/>
          <w:color w:val="auto"/>
        </w:rPr>
        <w:t xml:space="preserve"> Notes Payable and Long-Term Debt</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48"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Haemonetics’ fiscal year ends on the Saturday closest to the last day of March. Fiscal years 2024, 2023 and 2022 include 52 weeks with each quarter having 13 weeks.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4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all accounts including those of its subsidiaries. All significant intercompany accounts and transactions have been eliminated in consolidation. In addition, we assess our strategic investments to determine whether they meet the definition of a variable interest entity (“VIE”), and if so, whether the Company has controlling financial interest. Controlling financial interest occurs if the Company has both the power to direct activities of the VIE that most significantly impact the VIE’s economic performance and an obligation to absorb losses of or the right to receive benefits from the VIE that could potentially be significant to the VIE. The Company’s strategic investments did not meet the controlling financial interest criteria, as such no VIEs were consolidated during fiscal 2024, 2023 or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its estimates and assumptions. The Company considers estimates to be critical if they are required to make assumptions about material matters that are uncertain at the time of estimation or if materially different estimates could have been made or it is reasonably likely that the accounting estimate will change from period to period. The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following are areas considered to be critical and require management’s judgment: revenue recognition, inventory provisions, intangible asset and goodwill valuation, legal and other judgmental accruals and income taxes.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The Company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the Company records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the best estimate is changed to a lower amount.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 xml:space="preserve">The Company's revenue recognition policy is to recognize revenues from product sales, software and services in accordance with the Financial Accounting Standards Board (“FASB”) issued Accounting Standards Codification (“ASC”) Update No. 2014-19,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the Company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Revenues</w:t>
      </w:r>
    </w:p>
    <w:p>
      <w:pPr>
        <w:spacing w:after="0" w:line="24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majority of the Company’s performance obligations related to product sales are satisfied at a point in time. Product revenue consists of the sale of its disposable products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spacing w:after="0" w:line="207" w:lineRule="exact"/>
        <w:rPr>
          <w:sz w:val="20"/>
          <w:szCs w:val="20"/>
          <w:color w:val="auto"/>
        </w:rPr>
      </w:pPr>
    </w:p>
    <w:p>
      <w:pPr>
        <w:ind w:right="240"/>
        <w:spacing w:after="0" w:line="304" w:lineRule="auto"/>
        <w:rPr>
          <w:sz w:val="20"/>
          <w:szCs w:val="20"/>
          <w:color w:val="auto"/>
        </w:rPr>
      </w:pPr>
      <w:r>
        <w:rPr>
          <w:rFonts w:ascii="Times New Roman" w:cs="Times New Roman" w:eastAsia="Times New Roman" w:hAnsi="Times New Roman"/>
          <w:sz w:val="17"/>
          <w:szCs w:val="17"/>
          <w:color w:val="auto"/>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and Other Revenues</w:t>
      </w:r>
    </w:p>
    <w:p>
      <w:pPr>
        <w:spacing w:after="0" w:line="2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significant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the Company’s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Judgments</w:t>
      </w:r>
    </w:p>
    <w:p>
      <w:pPr>
        <w:spacing w:after="0" w:line="2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the Company is unable to estimate the expected rebates reasonably, it records a liability for the maximum potential rebate or discount that could be earned. In circumstances where the Company provides upfront rebate payments to customers, it capitalizes the rebate payments and amortizes the resulting asset as a reduction of revenue using a systematic method over the life of the contract.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4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contract assets, as well as customer advances, customer deposits and deferred revenue (contract liabilities) on the consolidated balance sheets. The difference in timing between billing and revenue recognition primarily occurs in software licensing arrangements, resulting in contract assets and contract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Practical Expedients</w:t>
      </w:r>
    </w:p>
    <w:p>
      <w:pPr>
        <w:spacing w:after="0" w:line="244"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4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income. The impact of foreign exchange on long-term intercompany loans, for which repayment has not been scheduled or planned, are recorded in accumulated other comprehensive loss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30, 2024, cash and cash equivalents consisted primarily of investments in United States Government Agency and institutional money market funds.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establishes a specific allowance for customers when it is probable that they will not be able to meet their financial obligations. Customer accounts are reviewed individually on a regular basis and reserves are established as deemed appropriate. The Company also maintains a general reserve using a percentage that is established based upon the age of its receivables and its collection history. The Company establishes allowances for balances not yet due and past due accounts based on past experience.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4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and include the cost of material, labor and manufacturing overhead. Cost is determined with the first-in, first-out method. The Company has based its provisions for excess, expired and obsolete inventory primarily on its estimates of forecasted net sales. Significant changes in the timing or level of demand for the Company’s products result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the Company’s estimates related to excess, expired and obsolete inventory.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48"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Property, plant and equipment is recorded at historical cost. The Company provides for depreciation and amortization by charges to operations using the straight-line method in amounts estimated to recover the cost of the building and improvements, equipment and furniture and fixtures over their estimated useful lives as follows:</w:t>
      </w:r>
    </w:p>
    <w:tbl>
      <w:tblPr>
        <w:tblLayout w:type="fixed"/>
        <w:tblInd w:w="0" w:type="dxa"/>
        <w:tblCellMar>
          <w:top w:w="0" w:type="dxa"/>
          <w:left w:w="0" w:type="dxa"/>
          <w:bottom w:w="0" w:type="dxa"/>
          <w:right w:w="0" w:type="dxa"/>
        </w:tblCellMar>
      </w:tblPr>
      <w:tr>
        <w:trPr>
          <w:trHeight w:val="145"/>
        </w:trPr>
        <w:tc>
          <w:tcPr>
            <w:tcW w:w="6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4500" w:type="dxa"/>
            <w:vAlign w:val="bottom"/>
            <w:shd w:val="clear" w:color="auto" w:fill="CCEEFF"/>
          </w:tcPr>
          <w:p>
            <w:pPr>
              <w:jc w:val="center"/>
              <w:ind w:left="3157"/>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1"/>
        </w:trPr>
        <w:tc>
          <w:tcPr>
            <w:tcW w:w="6700" w:type="dxa"/>
            <w:vAlign w:val="bottom"/>
            <w:tcBorders>
              <w:bottom w:val="single" w:sz="8" w:color="auto"/>
            </w:tcBorders>
            <w:vMerge w:val="continue"/>
            <w:shd w:val="clear" w:color="auto" w:fill="CCEEFF"/>
          </w:tcPr>
          <w:p>
            <w:pPr>
              <w:spacing w:after="0"/>
              <w:rPr>
                <w:sz w:val="16"/>
                <w:szCs w:val="16"/>
                <w:color w:val="auto"/>
              </w:rPr>
            </w:pPr>
          </w:p>
        </w:tc>
        <w:tc>
          <w:tcPr>
            <w:tcW w:w="4500" w:type="dxa"/>
            <w:vAlign w:val="bottom"/>
            <w:tcBorders>
              <w:bottom w:val="single" w:sz="8" w:color="auto"/>
            </w:tcBorders>
            <w:shd w:val="clear" w:color="auto" w:fill="CCEEFF"/>
          </w:tcPr>
          <w:p>
            <w:pPr>
              <w:jc w:val="center"/>
              <w:ind w:left="3157"/>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500" w:type="dxa"/>
            <w:vAlign w:val="bottom"/>
          </w:tcPr>
          <w:p>
            <w:pPr>
              <w:jc w:val="center"/>
              <w:ind w:left="3157"/>
              <w:spacing w:after="0"/>
              <w:rPr>
                <w:sz w:val="20"/>
                <w:szCs w:val="20"/>
                <w:color w:val="auto"/>
              </w:rPr>
            </w:pPr>
            <w:r>
              <w:rPr>
                <w:rFonts w:ascii="Times New Roman" w:cs="Times New Roman" w:eastAsia="Times New Roman" w:hAnsi="Times New Roman"/>
                <w:sz w:val="18"/>
                <w:szCs w:val="18"/>
                <w:color w:val="auto"/>
                <w:w w:val="97"/>
              </w:rPr>
              <w:t>30-40 Years</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500" w:type="dxa"/>
            <w:vAlign w:val="bottom"/>
            <w:shd w:val="clear" w:color="auto" w:fill="CCEEFF"/>
          </w:tcPr>
          <w:p>
            <w:pPr>
              <w:jc w:val="center"/>
              <w:ind w:left="3137"/>
              <w:spacing w:after="0"/>
              <w:rPr>
                <w:sz w:val="20"/>
                <w:szCs w:val="20"/>
                <w:color w:val="auto"/>
              </w:rPr>
            </w:pPr>
            <w:r>
              <w:rPr>
                <w:rFonts w:ascii="Times New Roman" w:cs="Times New Roman" w:eastAsia="Times New Roman" w:hAnsi="Times New Roman"/>
                <w:sz w:val="18"/>
                <w:szCs w:val="18"/>
                <w:color w:val="auto"/>
                <w:w w:val="95"/>
              </w:rPr>
              <w:t>5-20 Years</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4500" w:type="dxa"/>
            <w:vAlign w:val="bottom"/>
          </w:tcPr>
          <w:p>
            <w:pPr>
              <w:jc w:val="center"/>
              <w:ind w:left="3137"/>
              <w:spacing w:after="0"/>
              <w:rPr>
                <w:sz w:val="20"/>
                <w:szCs w:val="20"/>
                <w:color w:val="auto"/>
              </w:rPr>
            </w:pPr>
            <w:r>
              <w:rPr>
                <w:rFonts w:ascii="Times New Roman" w:cs="Times New Roman" w:eastAsia="Times New Roman" w:hAnsi="Times New Roman"/>
                <w:sz w:val="18"/>
                <w:szCs w:val="18"/>
                <w:color w:val="auto"/>
                <w:w w:val="95"/>
              </w:rPr>
              <w:t>3-15 Years</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4500" w:type="dxa"/>
            <w:vAlign w:val="bottom"/>
            <w:shd w:val="clear" w:color="auto" w:fill="CCEEFF"/>
          </w:tcPr>
          <w:p>
            <w:pPr>
              <w:jc w:val="center"/>
              <w:ind w:left="3137"/>
              <w:spacing w:after="0"/>
              <w:rPr>
                <w:sz w:val="20"/>
                <w:szCs w:val="20"/>
                <w:color w:val="auto"/>
              </w:rPr>
            </w:pPr>
            <w:r>
              <w:rPr>
                <w:rFonts w:ascii="Times New Roman" w:cs="Times New Roman" w:eastAsia="Times New Roman" w:hAnsi="Times New Roman"/>
                <w:sz w:val="18"/>
                <w:szCs w:val="18"/>
                <w:color w:val="auto"/>
                <w:w w:val="95"/>
              </w:rPr>
              <w:t>3-10 Years</w:t>
            </w:r>
          </w:p>
        </w:tc>
        <w:tc>
          <w:tcPr>
            <w:tcW w:w="0" w:type="dxa"/>
            <w:vAlign w:val="bottom"/>
          </w:tcPr>
          <w:p>
            <w:pPr>
              <w:spacing w:after="0"/>
              <w:rPr>
                <w:sz w:val="1"/>
                <w:szCs w:val="1"/>
                <w:color w:val="auto"/>
              </w:rPr>
            </w:pPr>
          </w:p>
        </w:tc>
      </w:tr>
      <w:tr>
        <w:trPr>
          <w:trHeight w:val="23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4500" w:type="dxa"/>
            <w:vAlign w:val="bottom"/>
          </w:tcPr>
          <w:p>
            <w:pPr>
              <w:jc w:val="center"/>
              <w:ind w:left="3137"/>
              <w:spacing w:after="0"/>
              <w:rPr>
                <w:sz w:val="20"/>
                <w:szCs w:val="20"/>
                <w:color w:val="auto"/>
              </w:rPr>
            </w:pPr>
            <w:r>
              <w:rPr>
                <w:rFonts w:ascii="Times New Roman" w:cs="Times New Roman" w:eastAsia="Times New Roman" w:hAnsi="Times New Roman"/>
                <w:sz w:val="18"/>
                <w:szCs w:val="18"/>
                <w:color w:val="auto"/>
                <w:w w:val="96"/>
              </w:rPr>
              <w:t>3-7 Years</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Company evaluates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Company’s installed base of devices includes devices owned by the Company and devices sold to the customer. The asset on its balance sheet classified as Haemonetics equipment consists of medical devices installed at customer sites but owned by Haemonetics. Generally, the customer has the right to use it for a period of time as long as they meet the conditions the Company has established, which among other things, generally include one or more of the following:</w:t>
      </w:r>
    </w:p>
    <w:p>
      <w:pPr>
        <w:spacing w:after="0" w:line="185"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consumption of a certain level of disposable products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monthly rental fees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utilization performance metric, such as performing a minimum level of procedures per month per device</w:t>
      </w:r>
    </w:p>
    <w:p>
      <w:pPr>
        <w:spacing w:after="0" w:line="22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Consistent with the impairment tests noted below for other intangible assets subject to amortization, the Company reviews Haemonetics equipment and the related useful lives of such equipment at least once a year, or more frequently if certain conditions arise, to determine if any adverse conditions exist that would indicate the carrying value of these assets may not be recoverable. To conduct these reviews, the Company estimates the future amount and timing of demand for disposables used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with these devices, from which it generates revenues. The Company also considers product life cycle in its evaluation of useful life and recoverability. Changes in expected demand can result in additional depreciation expense, which is classified as cost of goods sold. Any significant unanticipated changes in demand could impact the value of the Company’s devices and its reported operating results.</w:t>
      </w:r>
    </w:p>
    <w:p>
      <w:pPr>
        <w:spacing w:after="0" w:line="20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Goodwill represents the excess purchase price over the fair value of the net tangible and other identifiable intangible assets acquired. Goodwill is not amortized and is instead reviewed for impairment at least annually, or on an interim basis between annual tests when events or circumstances indicate that it is more likely than not that the fair value of a reporting unit is less than its carrying value. The Company performs its annual impairment test on the first day of the fiscal fourth quarter for each of its reporting units.</w:t>
      </w:r>
    </w:p>
    <w:p>
      <w:pPr>
        <w:spacing w:after="0" w:line="20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 reporting unit is defined as an operating segment or one level below an operating segment, referred to as a component. The Company determines its reporting units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The Company’s reportable segments and reporting units are as follows: Plasma, Blood Center and Hospital. When the Company completes business combinations, the Company assigns goodwill to the reporting units that it expects to benefit from the respective business combination at the time of acquisition.</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Under ASC Update No.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entities perform their goodwill impairment test by comparing the fair value of a reporting unit with its carrying amount by either performing a qualitative or quantitative assessment. The Company may elect to perform only a qualitative assessment for its annual impairment test when certain qualitative criteria are met that indicate that it is more likely than not the fair values of each reporting unit exceed their carrying values.</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Company elects to perform a quantitative test, it determines carrying values of each reporting unit by allocating assets and liabilities, including corporate assets, which relate to a reporting unit’s operations and would be considered in determining its fair value, to the individual reporting units. The Company allocates assets and liabilities not directly related to a specific reporting unit, but from which the reporting unit benefits, based primarily on the respective revenue contribution of each reporting unit.</w:t>
      </w:r>
    </w:p>
    <w:p>
      <w:pPr>
        <w:spacing w:after="0" w:line="2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addition, when performing a quantitative test, the Company uses the income approach, specifically the discounted cash flow method, to derive the fair value of each of its reporting units in preparing its goodwill impairment assessments. This approach calculates fair value by estimating the after-tax cash flows attributable to a reporting unit and then discounting these after-tax cash flows to a present value using a risk-adjusted discount rate. The Company selected this method as being the most meaningful in preparing its goodwill assessments because the use of the income approach typically generates a more precise measurement of fair value than the market approach. In applying the income approach to its accounting for goodwill, the Company makes assumptions about the amount and timing of future expected cash flows, terminal value growth rates and appropriate discount rates. The amount and timing of future cash flows within the Company’s discounted cash flow analysis is based on its most recent operational budgets, long range strategic plans and other estimates. The terminal value growth rate is used to calculate the value of cash flows beyond the last projected period in the Company’s discounted cash flow analysis and reflects the Company’s best estimates for stable, perpetual growth of its reporting units. The Company uses estimates of market-participant risk adjusted weighted average cost of capital as a basis for determining the discount rates to apply to its reporting units’ future expected cash flows. The Company corroborates the valuations that arose from the discounted cash flow approach by performing both a market multiple valuation and by reconciling the aggregate fair value of its reporting units to its market capitalization at the time of the test. An impairment charge, if any, would then be recognized for the amount by which the carrying value exceeds the reporting unit’s fair value.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2024, the Company elected to perform a qualitative assessment for its annual impairment test whereas in fiscal 2023 and 2022, the Company performed quantitative assessments. In fiscal 2024, 2023 and 2022, the results of the goodwill impairment test performed indicated that the estimated fair value of all of its reporting units exceeded their respective carrying values and there were no reporting units at risk of impairment as of the annual test dates.</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reviews intangible assets subject to amortization for impairment indicators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its products or the size of the market for its products.</w:t>
      </w:r>
    </w:p>
    <w:p>
      <w:pPr>
        <w:spacing w:after="0" w:line="21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When an impairment indicator exists, the Company tests the intangible asset for recoverability. For purposes of the recoverability test, the Company groups its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the Company will write the carrying value down to the fair value in the period identified.</w:t>
      </w:r>
    </w:p>
    <w:p>
      <w:pPr>
        <w:spacing w:after="0" w:line="2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Company generally calculates the fair value of its intangible assets as the present value of estimated future cash flows it expects to generate from the asset using a risk-adjusted discount rate. In determining its estimated future cash flows associated with its intangible assets, the Company uses estimates and assumptions about future revenue contributions, cost structures and remaining useful lives of the asset (asset group).</w:t>
      </w:r>
    </w:p>
    <w:p>
      <w:pPr>
        <w:spacing w:after="0" w:line="20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If the Company determines the estimate of an intangible asset’s remaining useful life should be reduced based on its expected use of the asset, the remaining carrying amount of the asset is amortized prospectively over the revised estimated useful life.</w:t>
      </w:r>
    </w:p>
    <w:p>
      <w:pPr>
        <w:spacing w:after="0" w:line="17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 has in-process research and development (“IPR&amp;D”) intangible assets with indefinite lives. IPR&amp;D assets are not amortized. The Company reviews these assets for impairment at least annually, or on an interim basis between annual tests when events or circumstances indicate that it is more likely than not that the fair value of the asset is less than its carrying value. The Company performs its annual impairment test on the first day of the fiscal fourth quarter for its IPR&amp;D assets. The Company makes assumptions about future cash flows, terminal value growth, costs for completion and appropriate discount rates. The Company elected qualitative assessments in fiscal 2024, 2023 and 2022, which all indicated that the estimated fair value of the in-process research and development intangible asset exceeded its carrying value and it was not at risk of impairment as of the annual test dates.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Costs of Computer Software to be Sold, Leased, or Otherwise Marketed</w:t>
      </w:r>
    </w:p>
    <w:p>
      <w:pPr>
        <w:spacing w:after="0" w:line="24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 xml:space="preserve">ASC Topic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5 to 10 years. Technological feasibility is established when it has a detailed design of the software and when research and development activities on the underlying device, if applicable, are completed. The Company capitalizes costs associated with both software that it sells as a separate product and software that is embedded in a device.</w:t>
      </w:r>
    </w:p>
    <w:p>
      <w:pPr>
        <w:spacing w:after="0" w:line="214"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Company reviews the net realizable value of capitalized assets periodically to assess the recoverability of amounts capitalized. There were no impairment charges recorded during fiscal 2024, 2023 and 2022. In the future, the net realizable value may be adversely affected by the loss of a significant customer or a significant change in the market place, which could result in an impairment being recorded.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current liabilities represent items payable or expected to settle within the next twelve months. The items included in the fiscal year end balances were: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Pr>
          <w:p>
            <w:pPr>
              <w:spacing w:after="0"/>
              <w:rPr>
                <w:sz w:val="13"/>
                <w:szCs w:val="13"/>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30,209</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81,419</w:t>
            </w: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111,628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represent items that are not payable or expected to settle within the next twelve months.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research and development costs are expensed as incurred.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advertising costs are expensed as incurred and are included in selling, general and administrative expenses in the consolidated statements of income.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$7.1 million, $7.2 million and $4.4 million in fiscal 2024, 2023 and 2022,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included in selling, general and administrative expenses.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 xml:space="preserve">The income tax provision is calculated for all jurisdictions in which the Company operates.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the Company’s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information and discussion of the Company’s income tax provision and balances.</w:t>
      </w:r>
    </w:p>
    <w:p>
      <w:pPr>
        <w:spacing w:after="0" w:line="21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 files income tax returns in all jurisdictions in which it operates. The Company records a liability for uncertain tax positions taken or expected to be taken in income tax returns. The Company’s financial statements reflect expected future tax consequences of such positions presuming the taxing authorities’ full knowledge of the position and all relevant facts. The Company records a liability for the portion of unrecognized tax benefits claimed that it has determined are not more-likely-than-not realizable. These tax reserves have been established based on management’s assessment as to the potential exposure attributable to the Company’s uncertain tax positions as well as interest and penalties attributable to these uncertain tax positions. All tax reserves are analyzed quarterly and adjustments are made as events occur that result in changes in judgment.</w:t>
      </w: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evaluates at the end of each reporting period whether some or all of the undistributed earnings of its foreign subsidiaries are permanently reinvested. The Company recognizes deferred income tax liabilities to the extent that management asserts that undistributed earnings of its foreign subsidiaries are not permanently reinvested or will not be permanently reinvested in the future. The Company’s position is based upon several factors including management’s evaluation of the Haemonetics and its subsidiaries’ financial requirements, the short-term and long-term operational and fiscal objectives of the Company and the tax consequences associated with the repatriation of earnings.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Effective April 4, 2021, the Company accounted for convertible senior notes as a single liability measured at its amortized cost. See </w:t>
      </w:r>
      <w:r>
        <w:rPr>
          <w:rFonts w:ascii="Times New Roman" w:cs="Times New Roman" w:eastAsia="Times New Roman" w:hAnsi="Times New Roman"/>
          <w:sz w:val="18"/>
          <w:szCs w:val="18"/>
          <w:i w:val="1"/>
          <w:iCs w:val="1"/>
          <w:color w:val="auto"/>
        </w:rPr>
        <w:t>Recent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Pronouncements </w:t>
      </w:r>
      <w:r>
        <w:rPr>
          <w:rFonts w:ascii="Times New Roman" w:cs="Times New Roman" w:eastAsia="Times New Roman" w:hAnsi="Times New Roman"/>
          <w:sz w:val="18"/>
          <w:szCs w:val="18"/>
          <w:color w:val="auto"/>
        </w:rPr>
        <w:t>below. At issuance, the carrying amount is calculated as the proceeds, net of initial debt issuance costs. The difference between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and carrying value is amortized to interest expense over the term of the convertible senior notes using the effective interest rate method.</w:t>
      </w:r>
    </w:p>
    <w:p>
      <w:pPr>
        <w:spacing w:after="0" w:line="201"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A detailed analysis of the terms of the convertible senior notes transactions is required to determine existence of any derivatives that may require separate mark-to-market accounting under applicable accounting guidance.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4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The Company accounts for its derivative financial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accordance with ASC 815, the Company records all derivatives on the balance sheet at fair value. The accounting for the change in the fair value of derivatives depends on the intended use of the derivative, whether the Company has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The Company does not use derivative financial instruments for trading or speculation purposes.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When the underlying hedged transaction affects earnings, the gains or losses on the forward foreign exchange rate contracts designated as hedges are recorded in net revenues, cost of goods sold, operating expenses and other expense, net in the Company’s consolidated statements of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the Company records the gains or losses in earnings currently. These gains and losses are intended to offset the gains and losses recorded on net monetary assets or liabilities that are denominated in foreign currencies. The Company recorded foreign currency losses of $4.0 million, $1.0 million and $1.5 million in fiscal 2024, 2023 and 2022, respectively.</w:t>
      </w:r>
    </w:p>
    <w:p>
      <w:pPr>
        <w:spacing w:after="0" w:line="21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a quarterly basis, the Company assesses whether the cash flow hedges are highly effective in offsetting changes in the cash flow of the hedged item. The Company manages the credit risk of its counterparties by dealing only with institutions that it considers financially sound and considers the risk of non-performance to be remote. Additionally,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Company’s derivative instruments do not subject its earnings or cash flows to material risk, as gains and losses on these derivatives are intended to offset losses and gains on the item being hedged. The Company does not enter into derivative transactions for speculative purposes and it does not have any non-derivative instruments that are designated as hedging instruments pursuant to ASC 815.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 Company expenses the fair value of share-based awards granted to employees, board members and others, net of estimated forfeitures. To calculate the grant-date fair value of its stock options the Company uses the Black-Scholes option-pricing model and for performance share units it uses Monte Carlo simulation models.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Exit Activities</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records employee termination costs in accordance with ASC Topic 712</w:t>
      </w:r>
      <w:r>
        <w:rPr>
          <w:rFonts w:ascii="Times New Roman" w:cs="Times New Roman" w:eastAsia="Times New Roman" w:hAnsi="Times New Roman"/>
          <w:sz w:val="18"/>
          <w:szCs w:val="18"/>
          <w:i w:val="1"/>
          <w:iCs w:val="1"/>
          <w:color w:val="auto"/>
        </w:rPr>
        <w:t>, Compensation - Nonretirement and Postemployment Benefits</w:t>
      </w:r>
      <w:r>
        <w:rPr>
          <w:rFonts w:ascii="Times New Roman" w:cs="Times New Roman" w:eastAsia="Times New Roman" w:hAnsi="Times New Roman"/>
          <w:sz w:val="18"/>
          <w:szCs w:val="18"/>
          <w:color w:val="auto"/>
        </w:rPr>
        <w:t>, if it pays the benefits as part of an on-going benefit arrangement, which includes benefits provided as part of its established severance policies or that it provides in accordance with international statutory requirements. The Company accrues employee termination costs associated with an on-going benefit arrangement if the obligation is attributable to prior services rendered, the rights to the benefits have vested, the payment is probable and the liability can be reasonably estimated. The Company accounts for employee termination benefits that represent a one-time benefit in accordance with ASC Topic 420</w:t>
      </w:r>
      <w:r>
        <w:rPr>
          <w:rFonts w:ascii="Times New Roman" w:cs="Times New Roman" w:eastAsia="Times New Roman" w:hAnsi="Times New Roman"/>
          <w:sz w:val="18"/>
          <w:szCs w:val="18"/>
          <w:i w:val="1"/>
          <w:iCs w:val="1"/>
          <w:color w:val="auto"/>
        </w:rPr>
        <w:t>, Exit or Disposal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Obligation</w:t>
      </w:r>
      <w:r>
        <w:rPr>
          <w:rFonts w:ascii="Times New Roman" w:cs="Times New Roman" w:eastAsia="Times New Roman" w:hAnsi="Times New Roman"/>
          <w:sz w:val="18"/>
          <w:szCs w:val="18"/>
          <w:color w:val="auto"/>
        </w:rPr>
        <w:t>s. It records such costs into expense over the employee’s future service period, if any.</w:t>
      </w:r>
    </w:p>
    <w:p>
      <w:pPr>
        <w:spacing w:after="0" w:line="21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Other costs associated with exit activities may include contract termination costs, including costs related to leased facilities to be abandoned or subleased, consultant fees and impairments of long-lived assets. The costs are expensed in accordance with ASC Topic 420 and ASC Topic 360</w:t>
      </w:r>
      <w:r>
        <w:rPr>
          <w:rFonts w:ascii="Times New Roman" w:cs="Times New Roman" w:eastAsia="Times New Roman" w:hAnsi="Times New Roman"/>
          <w:sz w:val="18"/>
          <w:szCs w:val="18"/>
          <w:i w:val="1"/>
          <w:iCs w:val="1"/>
          <w:color w:val="auto"/>
        </w:rPr>
        <w:t>, 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and are included in costs of goods sold and selling, general and administrative costs in its consolidated statement of income. Additionally,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directly related to the Company’s active restructuring initiatives, including program management costs, accelerated depreciation and costs to transfer product lines among facilities are included within costs of goods sold and selling, general and administrative costs in its consolidated statement of income. Refer to Note 5,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further information and discussion of its restructuring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Acquisitions</w:t>
      </w:r>
    </w:p>
    <w:p>
      <w:pPr>
        <w:spacing w:after="0" w:line="24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allocates the amounts it pays for each acquisition to the assets acquired and liabilities assumed based on their estimated fair values at the dates of acquisition, including acquired identifiable intangible assets. The Company bases the estimated fair value of identifiable intangible assets on detailed valuations that use significant assumptions including forecasted cash flows, revenues attributable to existing technology and discount rates. When estimating the significant assumptions to be used in the valuation, the Company includes a consideration of current industry information, market and economic trends, historical results of the acquired business, and other relevant factors. These significant assumptions are forward-looking and could be affected by future economic and market conditions. The Company allocates any excess purchase price over the fair value of the net tangible and intangible assets acquired to goodwill.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4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Company holds strategic investments, including preferred stock and a special share, in privately held entities. The special share allows the Company to acquire the related entity in accordance with an agreement between the parties. As these equity instruments do not have readily determinable fair values, they have been measured using the measurement alternative, at cost less impairment. The carrying amount for these instruments would be subsequently adjusted for observable price changes, or prices in orderly transactions for an identical investment or similar investment of the same issuer. In addition, these investments are periodically evaluated for impairment. The investments are classified as other long-term assets on the Company’s Consolidated Balance Sheets and the Company did not record any adjustments to the carrying value of strategic investments in fiscal 2024 or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24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primarily of cash equivalents and accounts receivable. In fiscal 2024, 2023 and 2022, the Company’s ten largest customers accounted for approximately 48%, 48% and 45% of net revenues, respectively. In fiscal 2024, one Plasma customer, CSL Limited (together with its affiliates, “CSL”), was greater than 10% of total net revenues and accounted for approximately 13% of net revenues. In addition to CSL, two customers also accounted for greater than 10% of the Plasma segment’s net revenues and two customers accounted for greater than 10% of the Blood Center segment’s net revenues, but did not exceed 10% of total net revenues, in fiscal 2024.</w:t>
      </w:r>
    </w:p>
    <w:p>
      <w:pPr>
        <w:spacing w:after="0" w:line="19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markets and industries can expose the Company to concentrations of credit risk. For example, in the Plasma business unit, sales are concentrated with several large customers. As a result, accounts receivable extended to any one of these biopharmaceutical customers can be significant at any point in time. Also, a portion of the Company’s trade accounts receivable outside the U.S. include sales to government-owned or supported healthcare systems in several countries, which are subject to payment delays. Payment is dependent upon the financial stability and creditworthiness of those countries’ national economies. The Company has not incurred significant losses on government receivables. The Company continually evaluates all government receivables for potential collection risks associated with the availability of government funding and reimbursement</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660"/>
        <w:spacing w:after="0" w:line="274" w:lineRule="auto"/>
        <w:rPr>
          <w:sz w:val="20"/>
          <w:szCs w:val="20"/>
          <w:color w:val="auto"/>
        </w:rPr>
      </w:pPr>
      <w:r>
        <w:rPr>
          <w:rFonts w:ascii="Times New Roman" w:cs="Times New Roman" w:eastAsia="Times New Roman" w:hAnsi="Times New Roman"/>
          <w:sz w:val="18"/>
          <w:szCs w:val="18"/>
          <w:color w:val="auto"/>
        </w:rPr>
        <w:t>practices. If the financial condition of customers or the countries’ healthcare systems deteriorate such that their ability to make payments is uncertain, allowances may be required in future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Standards Implemented</w:t>
      </w:r>
    </w:p>
    <w:p>
      <w:pPr>
        <w:spacing w:after="0" w:line="24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Codification (“ASC”) Update No. 2019-12 —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Company’s financial position or results of operations.</w:t>
      </w:r>
    </w:p>
    <w:p>
      <w:pPr>
        <w:spacing w:after="0" w:line="207"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In August 2020, the FASB issued ASC ASU Update No. 2020-06 Debt - Debt with Conversion and Other Options (Subtopic 470-20) and Derivatives and Hedging - Contracts in Entity’s Own Equity (Subtopic 815-40). The amendments simplify the complexity associated with applying U.S. GAAP for certain financial instruments with characteristics of liabilities and equity. Update No. 2020-06 is effective for fiscal years beginning after December 15, 2021, including interim periods within those fiscal years. The Company early adopted ASC Update No. 2020-06 effective April 4, 2021 using the modified retrospective method, which resulted in a decrease of $61.2 million to additional paid-in capital, a decrease to non-current deferred tax liabilities of</w:t>
      </w:r>
    </w:p>
    <w:p>
      <w:pPr>
        <w:ind w:right="100"/>
        <w:spacing w:after="0" w:line="270" w:lineRule="auto"/>
        <w:rPr>
          <w:sz w:val="20"/>
          <w:szCs w:val="20"/>
          <w:color w:val="auto"/>
        </w:rPr>
      </w:pPr>
      <w:r>
        <w:rPr>
          <w:rFonts w:ascii="Times New Roman" w:cs="Times New Roman" w:eastAsia="Times New Roman" w:hAnsi="Times New Roman"/>
          <w:sz w:val="17"/>
          <w:szCs w:val="17"/>
          <w:color w:val="auto"/>
        </w:rPr>
        <w:t>$20.0 million, and an increase of $80.3 million to non-current convertible notes, net, on the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consolidated balance sheets as of April 4, 2021 is an increase of $1.0 million.</w:t>
      </w:r>
    </w:p>
    <w:p>
      <w:pPr>
        <w:spacing w:after="0" w:line="19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July 2021, the FASB issued ASC Update No. 2021-05 —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day-one loss. The Company prospectively adopted ASC Update No. 2021-05 effective in the second quarter of fiscal year 2022. The adoption did not have a material impact on the Company’s financial position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Standards to be Implemented</w:t>
      </w:r>
    </w:p>
    <w:p>
      <w:pPr>
        <w:spacing w:after="0" w:line="23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Codification (“ASC”) Update No. 2023-07, Segment Reporting (Topic 280). The new guidance requires public entities to provide expanded disclosures over significant segment expenses and additional disclosures related to the chief operating decision maker. ASC Update No. 2023-07 is effective for fiscal years beginning after December 15, 2023 and interim periods within fiscal years beginning after December 15, 2024, with early adoption permitted. The new guidance is applicable to Haemonetics beginning with the fiscal 2025 Annual Report on Form 10-K. The Company is currently evaluating the impact to its interim and annual report disclosures.</w:t>
      </w:r>
    </w:p>
    <w:p>
      <w:pPr>
        <w:spacing w:after="0" w:line="19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December 2023, the FASB issued ASC Update No. 2023-09, Income Taxes (Topic 740). ASC Update No. 2023-09 requires public entities to provide detailed income tax disclosures, including rate reconciliations and disaggregated income tax payment information, on an annual basis. The updated guidance is effective for fiscal years beginning after December 15, 2024 and early adoption is permitted. ASC Update No. 2023-09 is applicable to Haemonetics beginning with the fiscal 2026 Annual Report on Form 10-K and the Company is currently evaluating the impact to its annual report disclosures.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DIVESTITURES AND STRATEGIC INVESTMENTS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Attune Medical</w:t>
      </w:r>
    </w:p>
    <w:p>
      <w:pPr>
        <w:spacing w:after="0" w:line="244"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On March 5, 2024, the Company entered into a definitive agreement to acquire Advanced Cooling Therapy, Inc., d/b/a Attune Medical (“Attune Medical”), the manufacturer of the ensoETM® proactive esophageal cooling device, based in Chicago, Illinois. The acquisition closed on April 1, 2024, subsequent to our fiscal year end. The Company acquired Attune Medical for total upfront consideration of $160.0 million. The agreement also provides for additional contingent consideration based on sales growth over the next three years and the achievement of certain other milestones. The Company financed the acquisition through a combination of cash on hand and borrowings under its senior unsecured revolving credit facility. The addition of Attune Medical expands the Hospital business unit’s presence in electrophysiology and complements its Vascular Closure product line.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OpSens Inc.</w:t>
      </w:r>
    </w:p>
    <w:p>
      <w:pPr>
        <w:spacing w:after="0" w:line="2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 $254.5 million, or $243.9 million, net of cash acquired. The Company financed the acquisition through a combination of cash on hand and borrowings under its senior unsecured revolving credit facility.</w:t>
      </w:r>
    </w:p>
    <w:p>
      <w:pPr>
        <w:spacing w:after="0" w:line="21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sensor-guided 3-in-1 guidewire for TAVR procedures, advancing the workflow of the procedure and enabling potentially shorter hospital stays for patients; and the OptoWire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consolidated financial statements were prepared. Measurement period adjustments will be recorded in the period in which they are determined, as if they had been completed at the acquisition date.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w:t>
      </w:r>
    </w:p>
    <w:p>
      <w:pPr>
        <w:spacing w:after="0" w:line="4" w:lineRule="exact"/>
        <w:rPr>
          <w:sz w:val="20"/>
          <w:szCs w:val="20"/>
          <w:color w:val="auto"/>
        </w:rPr>
      </w:pPr>
    </w:p>
    <w:p>
      <w:pPr>
        <w:ind w:left="5540" w:right="2440" w:hanging="5534"/>
        <w:spacing w:after="0" w:line="927" w:lineRule="auto"/>
        <w:tabs>
          <w:tab w:leader="none" w:pos="3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30, 2024, the deferred tax liability assumed remains preliminary, pending certain tax filings and analyses.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-321310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700"/>
        <w:spacing w:after="0" w:line="267" w:lineRule="auto"/>
        <w:rPr>
          <w:sz w:val="20"/>
          <w:szCs w:val="20"/>
          <w:color w:val="auto"/>
        </w:rPr>
      </w:pPr>
      <w:r>
        <w:rPr>
          <w:rFonts w:ascii="Times New Roman" w:cs="Times New Roman" w:eastAsia="Times New Roman" w:hAnsi="Times New Roman"/>
          <w:sz w:val="18"/>
          <w:szCs w:val="18"/>
          <w:color w:val="auto"/>
        </w:rPr>
        <w:t>The purchase price of $243.9 million, net of $10.6 million of cash acquired consists of the amounts presented below, which represent the preliminary determination of the fair value of the identifiable assets acquired and liabilities assumed: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12, 2023</w:t>
            </w:r>
          </w:p>
        </w:tc>
      </w:tr>
      <w:tr>
        <w:trPr>
          <w:trHeight w:val="218"/>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25"/>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w:t>
            </w:r>
          </w:p>
        </w:tc>
      </w:tr>
      <w:tr>
        <w:trPr>
          <w:trHeight w:val="22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25"/>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2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r>
      <w:tr>
        <w:trPr>
          <w:trHeight w:val="225"/>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99,362</w:t>
            </w:r>
          </w:p>
        </w:tc>
      </w:tr>
      <w:tr>
        <w:trPr>
          <w:trHeight w:val="22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299,192</w:t>
            </w:r>
          </w:p>
        </w:tc>
      </w:tr>
      <w:tr>
        <w:trPr>
          <w:trHeight w:val="218"/>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25"/>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r>
      <w:tr>
        <w:trPr>
          <w:trHeight w:val="225"/>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34,767</w:t>
            </w:r>
          </w:p>
        </w:tc>
      </w:tr>
      <w:tr>
        <w:trPr>
          <w:trHeight w:val="22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18"/>
        </w:trPr>
        <w:tc>
          <w:tcPr>
            <w:tcW w:w="9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55,340</w:t>
            </w:r>
          </w:p>
        </w:tc>
      </w:tr>
      <w:tr>
        <w:trPr>
          <w:trHeight w:val="243"/>
        </w:trPr>
        <w:tc>
          <w:tcPr>
            <w:tcW w:w="9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243,852</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 determined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212"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OpSens, the Company recognized goodwill of $99.4 million based on expected synergies from integration into our Hospital business. The goodwill is not deductible for tax purposes and relates entirely to the Hospital reportable segment.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vMerge w:val="continue"/>
          </w:tcPr>
          <w:p>
            <w:pPr>
              <w:spacing w:after="0"/>
              <w:rPr>
                <w:sz w:val="12"/>
                <w:szCs w:val="12"/>
                <w:color w:val="auto"/>
              </w:rPr>
            </w:pP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Rates used in Purchase</w:t>
            </w:r>
          </w:p>
        </w:tc>
        <w:tc>
          <w:tcPr>
            <w:tcW w:w="0" w:type="dxa"/>
            <w:vAlign w:val="bottom"/>
          </w:tcPr>
          <w:p>
            <w:pPr>
              <w:spacing w:after="0"/>
              <w:rPr>
                <w:sz w:val="1"/>
                <w:szCs w:val="1"/>
                <w:color w:val="auto"/>
              </w:rPr>
            </w:pPr>
          </w:p>
        </w:tc>
      </w:tr>
      <w:tr>
        <w:trPr>
          <w:trHeight w:val="193"/>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172,000</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recorded a net long-term deferred tax liability of $34.8 million primarily related to definite-lived intangible assets which cannot be deducted for tax purposes, partially offset by deferred tax assets primarily related to tax attribute carryforwards including net operating losses acquired.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46"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The Company incurred $6.6 million of acquisition-related costs for fiscal 2024 in connection with the OpSens acquisition. These costs related to legal and other professional fees, which were recognized in selling, general and administrative on the Consolidated Statements of Income.</w:t>
      </w:r>
    </w:p>
    <w:p>
      <w:pPr>
        <w:spacing w:after="0" w:line="19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OpSens from the date the acquisition was completed. Pro forma financial information has not been presented as the acquisition is not material to the Company’s overall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Assets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Blood Donor Management Software</w:t>
      </w:r>
    </w:p>
    <w:p>
      <w:pPr>
        <w:spacing w:after="0" w:line="24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fiscal 2021, the Company sold certain U.S. blood donor management software solution assets within its Blood Center business unit to the GPI Group (“GPI”). As part of the sale agreement, the Company was entitled to additional consideration contingent on the achievement of commercial milestones over the twelve month period immediately following the closing of the transaction. In fiscal years 2023 and 2022, the Company recognized gains of $0.4 million and $9.6 million, respectively, for contingent consideration earned.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4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As part of the Company’s business development activities, it holds strategic investments in certain entities. During fiscal years 2024 and 2023, the Company made investments in Vivasure Medical LTD (“Vivasure”), totaling €5.0 million and €30.0 million, respectively. The investments include both preferred stock and a special share that allows the Company to acquire Vivasure in accordance with an agreement between the parties. In addition, the Company has made other certain strategic investments totaling $7.6 million during fiscal 2024. The Company’s strategic investments are classified as other long-term assets on the consolidated balance sheets and the Company did not record any adjustments to the carrying value of our strategic investments in fiscal 2024 or fiscal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46"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As of March 30, 2024, the Company had $26.8 million of transaction price allocated to remaining performance obligations related to executed contracts with an original duration of one year or more. The Company expects to recognize approximately 79% of this amount as revenue within the next twelve months and the remaining balance thereafter.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4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contract assets, as well as customer advances, customer deposits and deferred revenue (contract liabilities) on the consolidated balance sheets. The difference in timing between billing and revenue recognition primarily occurs in software licensing arrangements, resulting in contract assets and contract liabilities.</w:t>
      </w:r>
    </w:p>
    <w:p>
      <w:pPr>
        <w:spacing w:after="0" w:line="20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of March 30, 2024 and April 1, 2023, the Company had contract liabilities of $31.2 million and $30.2 million, respectively. During fiscal 2024, we recognized $27.9 million of revenue that was included in the above April 1, 2023 contract liability balance. Contract liabilities are classified as other current liabilities and other long-term liabilities on the consolidated balance sheet. As of March 30, 2024 and April 1, 2023, the Company’s contract assets were immaterial.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w:t>
      </w:r>
    </w:p>
    <w:p>
      <w:pPr>
        <w:spacing w:after="0" w:line="24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Program</w:t>
      </w:r>
    </w:p>
    <w:p>
      <w:pPr>
        <w:spacing w:after="0" w:line="24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expects to incur aggregate charges between $85 million and $95 million by the end of fiscal 2025 under the program. The majority of charges will result in cash outlays, including severance and other employee costs, and will be incurred as the specific actions required to execute these initiatives are identified and approved. During fiscal 2024, 2023 and 2022, the Company incurred $9.8 million, $11.5 million and $28.7 million of restructuring and restructuring related costs under this program, respectively. Total cumulative charges under this program are $77.0 million as of March 30,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Rationalization Initiatives</w:t>
      </w:r>
    </w:p>
    <w:p>
      <w:pPr>
        <w:spacing w:after="0" w:line="24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In November 2023, the Company announced its plans to end of life the ClotPro analyzer system within the Hospital business unit and certain products within the Blood Center business unit, primarily in Whole Blood, including the associated manufacturing operations and closure of certain other facilities.</w:t>
      </w:r>
    </w:p>
    <w:p>
      <w:pPr>
        <w:spacing w:after="0" w:line="19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The following table summarizes the activity for restructuring reserves related to portfolio rationalization initiatives, the 2020 Program and prior programs for the fiscal years ended March 30, 2024, April 1, 2023 and April 2, 2022, substantially all of which relates to employee severance and other employee costs:</w:t>
      </w:r>
    </w:p>
    <w:tbl>
      <w:tblPr>
        <w:tblLayout w:type="fixed"/>
        <w:tblInd w:w="0" w:type="dxa"/>
        <w:tblCellMar>
          <w:top w:w="0" w:type="dxa"/>
          <w:left w:w="0" w:type="dxa"/>
          <w:bottom w:w="0" w:type="dxa"/>
          <w:right w:w="0" w:type="dxa"/>
        </w:tblCellMar>
      </w:tblPr>
      <w:tr>
        <w:trPr>
          <w:trHeight w:val="14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20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16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 Programs</w:t>
            </w:r>
          </w:p>
        </w:tc>
        <w:tc>
          <w:tcPr>
            <w:tcW w:w="32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following presents the restructuring costs by line item during fiscal 2024, 2023 and 2022 within our accompanying consolidated statements of income and comprehensive income:</w:t>
      </w:r>
    </w:p>
    <w:tbl>
      <w:tblPr>
        <w:tblLayout w:type="fixed"/>
        <w:tblInd w:w="20" w:type="dxa"/>
        <w:tblCellMar>
          <w:top w:w="0" w:type="dxa"/>
          <w:left w:w="0" w:type="dxa"/>
          <w:bottom w:w="0" w:type="dxa"/>
          <w:right w:w="0" w:type="dxa"/>
        </w:tblCellMar>
      </w:tblPr>
      <w:tr>
        <w:trPr>
          <w:trHeight w:val="18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the Company had a restructuring liability of $11.8 million, all of which is payable within the next twelve months.</w:t>
      </w:r>
    </w:p>
    <w:p>
      <w:pPr>
        <w:spacing w:after="0" w:line="24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 addition to the restructuring expenses included in the table above, the Company also incurred costs of $9.5 million, $10.9 million and $24.6 million in fiscal 2024, 2023 and 2022, respectively, that do not constitute restructuring costs under ASC 420, </w:t>
      </w:r>
      <w:r>
        <w:rPr>
          <w:rFonts w:ascii="Times New Roman" w:cs="Times New Roman" w:eastAsia="Times New Roman" w:hAnsi="Times New Roman"/>
          <w:sz w:val="18"/>
          <w:szCs w:val="18"/>
          <w:i w:val="1"/>
          <w:iCs w:val="1"/>
          <w:color w:val="auto"/>
        </w:rPr>
        <w:t>Exit and Disposal Cost Obligations,</w:t>
      </w:r>
      <w:r>
        <w:rPr>
          <w:rFonts w:ascii="Times New Roman" w:cs="Times New Roman" w:eastAsia="Times New Roman" w:hAnsi="Times New Roman"/>
          <w:sz w:val="18"/>
          <w:szCs w:val="18"/>
          <w:color w:val="auto"/>
        </w:rPr>
        <w:t xml:space="preserve"> and which the Company instead refers to as restructuring related costs. These costs consist primarily of expenditures directly related to the restructuring actions.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 following presents the restructuring related costs by line item during fiscal 2024, 2023 and 2022 within our accompanying consolidated statements of income and comprehensive income:</w:t>
      </w: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tables below present restructuring and restructuring related costs by reportable segment:</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67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Blood Center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19"/>
        </w:trPr>
        <w:tc>
          <w:tcPr>
            <w:tcW w:w="20" w:type="dxa"/>
            <w:vAlign w:val="bottom"/>
            <w:tcBorders>
              <w:top w:val="single" w:sz="8" w:color="CCEEFF"/>
            </w:tcBorders>
            <w:shd w:val="clear" w:color="auto" w:fill="CCEEFF"/>
          </w:tcPr>
          <w:p>
            <w:pPr>
              <w:spacing w:after="0"/>
              <w:rPr>
                <w:sz w:val="19"/>
                <w:szCs w:val="19"/>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Blood Center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9"/>
                <w:szCs w:val="19"/>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restructuring and restructuring related costs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and foreign income before provision (benefit) for income tax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6"/>
                <w:szCs w:val="16"/>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68,848</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63,629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7"/>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provision (benefit) from continuing operations contains the following components: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7"/>
                <w:szCs w:val="17"/>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w:t>
            </w: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1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20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Company’s subsidiary in Malaysia has been granted a full income tax exemption to manufacture whole blood and apheresis devices that could be in effect for up to ten years, provided certain conditions are satisfied. The income tax exemption was in effect beginning June 1, 2016.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effected, significant temporary differences comprising the net deferred tax liability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Pr>
          <w:p>
            <w:pPr>
              <w:spacing w:after="0"/>
              <w:rPr>
                <w:sz w:val="13"/>
                <w:szCs w:val="13"/>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Accruals, reserves and other deferred tax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90,361</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81,523</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goodwill and intangibles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(57,752)</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Unremitted earnings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1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(112,477)</w:t>
            </w: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increase in the worldwide net deferred tax liability is primarily due to the acquisition of intangibles with book basis in excess of tax basis during fiscal 2024, partially offset by research expenditures capitalized for tax purposes.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valuation allowance increase of $1.4 million during fiscal 2024 is primarily due to acquired foreign deferred tax assets for which the valuation allowance</w:t>
      </w:r>
    </w:p>
    <w:p>
      <w:pPr>
        <w:spacing w:after="0" w:line="3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was recorded in acquisition accounting and changes in the valuation allowance in certain foreign jurisdictions based on current year operating results. 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It has also considered the ability to implement certain strategies that would, if necessary, be implemented to accelerate taxable income and use expiring deferred tax assets. The Company has concluded future taxable income can be considered a source of income to realize a benefit for deferred tax assets in certain jurisdictions. The Company believes it is able to support the deferred tax assets recognized as of the end of the year based on all of the available evidence. The worldwide net deferred tax liability as of March 30, 2024 includes deferred tax liabilities related to amortizable tax basis in goodwill and other indefinite lived assets, which can only be used as a source of income to benefit other indefinite lived deferred tax assets.</w:t>
      </w:r>
    </w:p>
    <w:p>
      <w:pPr>
        <w:spacing w:after="0" w:line="2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As of March 30, 2024, the Company maintains a valuation allowance against certain U.S. federal tax credit carryforwards and U.S. state net operating loss and tax credit carryforwards that are not more-likely-than-not realizable as well as a valuation allowance against the net deferred tax assets of certain foreign subsidiaries.</w:t>
      </w:r>
    </w:p>
    <w:p>
      <w:pPr>
        <w:spacing w:after="0" w:line="204" w:lineRule="exact"/>
        <w:rPr>
          <w:sz w:val="20"/>
          <w:szCs w:val="20"/>
          <w:color w:val="auto"/>
        </w:rPr>
      </w:pPr>
    </w:p>
    <w:p>
      <w:pPr>
        <w:ind w:right="740"/>
        <w:spacing w:after="0" w:line="272" w:lineRule="auto"/>
        <w:rPr>
          <w:sz w:val="20"/>
          <w:szCs w:val="20"/>
          <w:color w:val="auto"/>
        </w:rPr>
      </w:pPr>
      <w:r>
        <w:rPr>
          <w:rFonts w:ascii="Times New Roman" w:cs="Times New Roman" w:eastAsia="Times New Roman" w:hAnsi="Times New Roman"/>
          <w:sz w:val="17"/>
          <w:szCs w:val="17"/>
          <w:color w:val="auto"/>
        </w:rPr>
        <w:t>In connection with the March 2021 acquisition of Cardiva Medical, Inc., the Company acquired federal and state net operating loss carryforwards of $150.9 million and $93.3 million, respectively. The Company also acquired federal and state tax research credit carryforwards of $0.2 million and</w:t>
      </w:r>
    </w:p>
    <w:p>
      <w:pPr>
        <w:ind w:right="60"/>
        <w:spacing w:after="0" w:line="247" w:lineRule="auto"/>
        <w:rPr>
          <w:sz w:val="20"/>
          <w:szCs w:val="20"/>
          <w:color w:val="auto"/>
        </w:rPr>
      </w:pPr>
      <w:r>
        <w:rPr>
          <w:rFonts w:ascii="Times New Roman" w:cs="Times New Roman" w:eastAsia="Times New Roman" w:hAnsi="Times New Roman"/>
          <w:sz w:val="18"/>
          <w:szCs w:val="18"/>
          <w:color w:val="auto"/>
        </w:rPr>
        <w:t>$0.4 million, respectively. These net operating loss and tax credit carryforwards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a Section 382 study covering the period of inception (July 2002) through March 1, 2021. The study concluded that ownership changes occurred during that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period which limit the amount of the Company’s net operating losses and tax credit carryforwards that can be utilized before expiring. The remaining carryforwards disclosed in the deferred tax table above represent the amount of attributes that can be utilized based on the results of the study. The Company does not believe it has had an ownership change from March 2, 2021 through March 30, 2024 that would result in a limitation. Subsequent ownership changes may further affect the limitation in future years.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30, 2024, the Company has U.S. federal net operating loss carryforwards of $28.2 million of which $8.2 million will begin to expire in fiscal 2025 and $20.0 million can be carried forward indefinitely. The Company has U.S. state net operating losses of $56.3 million of which $51.0 million will expire at various times between fiscal 2025 and fiscal 2040 and $5.3 million can be carried forward indefinitely. The Company has federal and state tax credits of $0.6 million and $5.5 million, respectively, which will begin to expire in fiscal 2029 and fiscal 2028, respectively.</w:t>
      </w:r>
    </w:p>
    <w:p>
      <w:pPr>
        <w:spacing w:after="0" w:line="1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As of March 30, 2024, the Company has Canadian federal and provincial net operating loss carryforwards of $19.6 million and $21.2 million, respectively, which will expire from fiscal 2036 through fiscal 2044. The Company has other foreign net operating losses of approximately $4.0 million that are available to reduce future income which can be carried forward indefinitely. The Company has foreign research tax credits of $3.5 million which will begin to expire in fiscal 2027.</w:t>
      </w:r>
    </w:p>
    <w:p>
      <w:pPr>
        <w:spacing w:after="0" w:line="22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As of March 30, 2024, substantially all of the unremitted earnings of the Company have been taxed in the U.S. The Company has not provided U.S. deferred income taxes or foreign withholding taxes on unremitted earnings of foreign subsidiaries of approximately $96.3 million as such amounts are considered to be indefinitely reinvested in the business. The accumulated earnings in the foreign subsidiaries are primarily utilized to fund working capital requirements as its subsidiaries continue to expand their operations and to fund future foreign acquisitions. The Company does not believe it is practicable to estimate the amount of income taxes payable on the earnings that are indefinitely reinvested in foreign operations, however a significant portion of the unremitted earnings could be remitted without a future tax cost.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differs from the tax provision computed at the U.S. federal statutory income tax rate due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 taxed income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Unremitted earnings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statutory rate changes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shortfalls (benefits)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credits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tax law changes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22.6 %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26,002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18.4 %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8"/>
          <w:szCs w:val="18"/>
          <w:color w:val="auto"/>
        </w:rPr>
        <w:t>The Company recorded an income tax expense of $34.3 million, representing an effective tax rate of 22.6%. The effective tax rate is higher than the U.S. statutory rate of 21.0%, primarily due to state taxes, non-deductible executive compensation and disallowed stock compensation expense, partially offset by jurisdictional mix of earnings, impact of foreign tax law changes and research credits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2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Unrecognized tax benefits represent uncertain tax positions for which reserves have been established. As of March 30, 2024, the Company had $3.7 million of unrecognized tax benefits, of which $3.1 million would impact the effective tax rate, if recognized. As of April 1, 2023, the Company had $3.9 million of unrecognized tax benefits, of which $3.2 million would impact the effective tax rate, if recognized. As of April 2, 2022, the Company had $3.9 million of unrecognized tax benefits, of which $3.1 million would impact the effective tax rate, if recognized.</w:t>
      </w:r>
    </w:p>
    <w:p>
      <w:pPr>
        <w:spacing w:after="0" w:line="20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activity related to its gross unrecognized tax benefits for the fiscal years ended March 30, 2024, April 1, 2023 and April 2, 2022: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of tax positions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of tax positions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3,743</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3,941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As of March 30, 2024, the Company anticipates that the liability for unrecognized tax benefits for uncertain tax positions could change by up to $2.5 million in the next twelve months, as a result of closure of various statutes of limitations.</w:t>
      </w:r>
    </w:p>
    <w:p>
      <w:pPr>
        <w:spacing w:after="0" w:line="19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Company’s historical practice has been and continues to be to recognize interest and penalties related to federal, state and foreign income tax matters in income tax expense. Approximately $0.3 million and $0.2 million of gross interest and penalties were accrued at March 30, 2024 and April 1, 2023, respectively, and are not included in the amounts above. Additionally, $0.1 million of accrued interest and penalties was included in income tax provision for each of the years ended March 30, 2024, April 1, 2023 and April 2, 2022.</w:t>
      </w:r>
    </w:p>
    <w:p>
      <w:pPr>
        <w:spacing w:after="0" w:line="20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The Company conducts business globally and, as a result, files federal, state and foreign income tax returns in multiple jurisdictions. In the normal course of business, it is subject to examination by taxing authorities throughout the world. With a few exceptions, the Company is no longer subject to U.S. federal, state, or local income tax examinations for years before fiscal 2021 and foreign income tax examinations for years before fiscal 2019. To the extent that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43,375</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w:t>
            </w:r>
          </w:p>
        </w:tc>
      </w:tr>
      <w:tr>
        <w:trPr>
          <w:trHeight w:val="21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43,375</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51,047</w:t>
            </w:r>
          </w:p>
        </w:tc>
      </w:tr>
      <w:tr>
        <w:trPr>
          <w:trHeight w:val="225"/>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51,353</w:t>
            </w:r>
          </w:p>
        </w:tc>
      </w:tr>
      <w:tr>
        <w:trPr>
          <w:trHeight w:val="21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fiscal 2024, 2023 and 2022, weighted average shares outstanding, assuming dilution, excludes the impact of 0.6 million, 0.6 million and 0.9 million anti-dilutive shares,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August 2022, the Company announced that its Board of Directors had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200"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18"/>
          <w:szCs w:val="18"/>
          <w:color w:val="auto"/>
        </w:rPr>
        <w:t>In fiscal 2023, the Company completed a $75.0 million repurchase of its common stock pursuant to an accelerated share repurchase agreement (“ASR”) entered into with Citibank N.A. in August 2022. The total number of shares repurchased under the ASR was 1.0 million at an average price per share upon final settlement of $75.20.</w:t>
      </w:r>
    </w:p>
    <w:p>
      <w:pPr>
        <w:spacing w:after="0" w:line="217" w:lineRule="exact"/>
        <w:rPr>
          <w:sz w:val="20"/>
          <w:szCs w:val="20"/>
          <w:color w:val="auto"/>
        </w:rPr>
      </w:pPr>
    </w:p>
    <w:p>
      <w:pPr>
        <w:ind w:right="880"/>
        <w:spacing w:after="0" w:line="274" w:lineRule="auto"/>
        <w:rPr>
          <w:sz w:val="20"/>
          <w:szCs w:val="20"/>
          <w:color w:val="auto"/>
        </w:rPr>
      </w:pPr>
      <w:r>
        <w:rPr>
          <w:rFonts w:ascii="Times New Roman" w:cs="Times New Roman" w:eastAsia="Times New Roman" w:hAnsi="Times New Roman"/>
          <w:sz w:val="18"/>
          <w:szCs w:val="18"/>
          <w:color w:val="auto"/>
        </w:rPr>
        <w:t>As of March 30, 2024, the total remaining authorization for repurchases of the Company’s common stock under the share repurchase program was $225.0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24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tbl>
      <w:tblPr>
        <w:tblLayout w:type="fixed"/>
        <w:tblInd w:w="0" w:type="dxa"/>
        <w:tblCellMar>
          <w:top w:w="0" w:type="dxa"/>
          <w:left w:w="0" w:type="dxa"/>
          <w:bottom w:w="0" w:type="dxa"/>
          <w:right w:w="0" w:type="dxa"/>
        </w:tblCellMar>
      </w:tblPr>
      <w:tr>
        <w:trPr>
          <w:trHeight w:val="18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0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4"/>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115,016</w:t>
            </w: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131,791</w:t>
            </w:r>
          </w:p>
        </w:tc>
      </w:tr>
      <w:tr>
        <w:trPr>
          <w:trHeight w:val="21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317,202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259,379</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In fiscal 2024, the Company issued a voluntary recall of certain products within the Whole Blood portion of our Blood Center business unit sold to customers in the U.S. and certain foreign jurisdictions. The Company has recorded charges of $4.4 million related to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4"/>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2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127,634</w:t>
            </w: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194,539</w:t>
            </w:r>
          </w:p>
        </w:tc>
      </w:tr>
      <w:tr>
        <w:trPr>
          <w:trHeight w:val="22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123,611</w:t>
            </w:r>
          </w:p>
        </w:tc>
      </w:tr>
      <w:tr>
        <w:trPr>
          <w:trHeight w:val="22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463,706</w:t>
            </w:r>
          </w:p>
        </w:tc>
      </w:tr>
      <w:tr>
        <w:trPr>
          <w:trHeight w:val="225"/>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29,367</w:t>
            </w:r>
          </w:p>
        </w:tc>
      </w:tr>
      <w:tr>
        <w:trPr>
          <w:trHeight w:val="218"/>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944,215</w:t>
            </w:r>
          </w:p>
        </w:tc>
      </w:tr>
      <w:tr>
        <w:trPr>
          <w:trHeight w:val="225"/>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(633,330)</w:t>
            </w:r>
          </w:p>
        </w:tc>
      </w:tr>
      <w:tr>
        <w:trPr>
          <w:trHeight w:val="243"/>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310,885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$55.8 million, $51.2 million and $44.4 million in fiscal 2024, 2023 and 2022, respectively.</w:t>
      </w:r>
    </w:p>
    <w:p>
      <w:pPr>
        <w:spacing w:after="0" w:line="24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fiscal 2024, $5.8 million of the Company’s property, plant and equipment met held for sale accounting criteria and was reclassified to Prepaid expenses and other current assets in the consolidated balance sheets. In the first quarter of fiscal 2025, subsequent to the year ended March 30, 2024, the Company received $19.9 million in connection with the sale of the applicable facility.</w:t>
      </w:r>
    </w:p>
    <w:p>
      <w:pPr>
        <w:spacing w:after="0" w:line="2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During fiscal 2022, the Company incurred an impairment of property, plant and equipment of $5.2 million in connection with the 2020 Program, refer to Note 5 -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details on the 2020 Program, and $2.8 million of accelerated depreciation costs related to disposables manufacturing equipment that was no longer in use. The impairment charge was included in cost of goods sold on the consolidated statements of income and impacted the Plasma reporting segment.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for fiscal 2024 and 2023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Plasma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Blood Center</w:t>
            </w: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Hospital</w:t>
            </w:r>
          </w:p>
        </w:tc>
        <w:tc>
          <w:tcPr>
            <w:tcW w:w="30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April 2, 2022</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467,287</w:t>
            </w:r>
          </w:p>
        </w:tc>
      </w:tr>
      <w:tr>
        <w:trPr>
          <w:trHeight w:val="22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19"/>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April 1, 2023</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403,333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466,231</w:t>
            </w: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87,079</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r>
      <w:tr>
        <w:trPr>
          <w:trHeight w:val="22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43"/>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March 30, 2024</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502,555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565,082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results of the Company’s goodwill impairment test performed in the fourth quarter of fiscal 2024, 2023 and 2022 indicated that the estimated fair value of all reporting units exceeded their respective carrying values. There were no reporting units at risk of impairment as of the fiscal 2024, 2023 and 2022 annual test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intangible assets and the related accumulated amortization as of March 30, 2024 and April 1, 2023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0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6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30, 2024</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464,291</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285,878</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65,111</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other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843,096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455,213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387,883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24"/>
                <w:szCs w:val="24"/>
                <w:color w:val="auto"/>
              </w:rPr>
            </w:pPr>
          </w:p>
        </w:tc>
        <w:tc>
          <w:tcPr>
            <w:tcW w:w="10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2"/>
        </w:trPr>
        <w:tc>
          <w:tcPr>
            <w:tcW w:w="6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April 1, 2023</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362,506</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209,407</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other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672,720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417,422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255,298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In-process patents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 xml:space="preserve">In fiscal 2024, the Company acquired OpSens and recorded $114.9 million of developed technology, $52.3 million of customer contracts and related relationships and $4.8 million of trade names. Refer to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xml:space="preserve"> for additional information regarding the acquisition.</w:t>
      </w:r>
    </w:p>
    <w:p>
      <w:pPr>
        <w:spacing w:after="0" w:line="204"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In fiscal 2024, the Company recorded an intangible asset impairment charge of $10.4 million related to the intangibles acquired as part of the enicor GmbH acquisition completed in fiscal 2021 within the Hospital business unit.</w:t>
      </w:r>
    </w:p>
    <w:p>
      <w:pPr>
        <w:spacing w:after="0" w:line="190"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Intangible assets include the value assigned to license rights and developed technology, patents, customer contracts and relationships and trade names. The estimated useful lives for all of these intangible assets are approximately 5 to 15 years.</w:t>
      </w:r>
    </w:p>
    <w:p>
      <w:pPr>
        <w:spacing w:after="0" w:line="190" w:lineRule="exact"/>
        <w:rPr>
          <w:sz w:val="20"/>
          <w:szCs w:val="20"/>
          <w:color w:val="auto"/>
        </w:rPr>
      </w:pPr>
    </w:p>
    <w:p>
      <w:pPr>
        <w:ind w:right="820"/>
        <w:spacing w:after="0" w:line="274" w:lineRule="auto"/>
        <w:rPr>
          <w:sz w:val="20"/>
          <w:szCs w:val="20"/>
          <w:color w:val="auto"/>
        </w:rPr>
      </w:pPr>
      <w:r>
        <w:rPr>
          <w:rFonts w:ascii="Times New Roman" w:cs="Times New Roman" w:eastAsia="Times New Roman" w:hAnsi="Times New Roman"/>
          <w:sz w:val="18"/>
          <w:szCs w:val="18"/>
          <w:color w:val="auto"/>
        </w:rPr>
        <w:t>Aggregate amortization expense for amortized intangible assets for fiscal 2024, 2023 and 2022 was $41.4 million, $42.1 million and $56.6 million,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53"/>
        </w:trPr>
        <w:tc>
          <w:tcPr>
            <w:tcW w:w="1200" w:type="dxa"/>
            <w:vAlign w:val="bottom"/>
            <w:tcBorders>
              <w:top w:val="single" w:sz="8" w:color="0000FF"/>
            </w:tcBorders>
          </w:tcPr>
          <w:p>
            <w:pPr>
              <w:spacing w:after="0"/>
              <w:rPr>
                <w:sz w:val="22"/>
                <w:szCs w:val="22"/>
                <w:color w:val="auto"/>
              </w:rPr>
            </w:pPr>
          </w:p>
        </w:tc>
        <w:tc>
          <w:tcPr>
            <w:tcW w:w="83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7"/>
              </w:rPr>
              <w:t>HAEMONETICS CORPORATION AND SUBSIDIARIES</w:t>
            </w: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11"/>
        </w:trPr>
        <w:tc>
          <w:tcPr>
            <w:tcW w:w="1200" w:type="dxa"/>
            <w:vAlign w:val="bottom"/>
          </w:tcPr>
          <w:p>
            <w:pPr>
              <w:spacing w:after="0"/>
              <w:rPr>
                <w:sz w:val="24"/>
                <w:szCs w:val="24"/>
                <w:color w:val="auto"/>
              </w:rPr>
            </w:pPr>
          </w:p>
        </w:tc>
        <w:tc>
          <w:tcPr>
            <w:tcW w:w="83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 — (Continued)</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83"/>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expense on intangible assets for the next five years is estimated to be as follows:</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95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
        </w:trPr>
        <w:tc>
          <w:tcPr>
            <w:tcW w:w="9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9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44,016</w:t>
            </w:r>
          </w:p>
        </w:tc>
      </w:tr>
      <w:tr>
        <w:trPr>
          <w:trHeight w:val="225"/>
        </w:trPr>
        <w:tc>
          <w:tcPr>
            <w:tcW w:w="9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37,407</w:t>
            </w:r>
          </w:p>
        </w:tc>
      </w:tr>
      <w:tr>
        <w:trPr>
          <w:trHeight w:val="225"/>
        </w:trPr>
        <w:tc>
          <w:tcPr>
            <w:tcW w:w="9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35,228</w:t>
            </w:r>
          </w:p>
        </w:tc>
      </w:tr>
      <w:tr>
        <w:trPr>
          <w:trHeight w:val="225"/>
        </w:trPr>
        <w:tc>
          <w:tcPr>
            <w:tcW w:w="9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33,456</w:t>
            </w:r>
          </w:p>
        </w:tc>
      </w:tr>
      <w:tr>
        <w:trPr>
          <w:trHeight w:val="225"/>
        </w:trPr>
        <w:tc>
          <w:tcPr>
            <w:tcW w:w="9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32,378</w:t>
            </w:r>
          </w:p>
        </w:tc>
      </w:tr>
    </w:tbl>
    <w:p>
      <w:pPr>
        <w:spacing w:after="0" w:line="3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For costs incurred related to the development of software to be sold, leased, or otherwise marketed, the Company applies the provisions of ASC Topic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which specifies that costs incurred internally in researching and developing a computer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should be charged to expense until technological feasibility has been established for the product. Once technological feasibility is established, all software costs should be capitalized until the product is available for general release to customers. The costs capitalized for each project are included in intangible assets in the consolidated financial statements.</w:t>
      </w:r>
    </w:p>
    <w:p>
      <w:pPr>
        <w:spacing w:after="0" w:line="212"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The Company capitalized $6.6 million and $3.8 million in software development costs for ongoing initiatives during fiscal 2024 and 2023, respectively. At March 30, 2024 and April 1, 2023, the Company had a total of $89.4 million and $82.8 million of software costs capitalized, of which $4.6 million and $3.8 million are related to in process software development initiatives, respectively, and the remaining balance represents in-service assets that are being amortized over their useful lives. Amortization expense for capitalized software was $8.6 million, $8.5 million and $8.4 million for fiscal 2024, 2023 and 2022, respectively.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Activity</w:t>
      </w:r>
    </w:p>
    <w:p>
      <w:pPr>
        <w:spacing w:after="0" w:line="246"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spacing w:after="0" w:line="21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the Company’s operating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3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Pr>
          <w:p>
            <w:pPr>
              <w:spacing w:after="0"/>
              <w:rPr>
                <w:sz w:val="16"/>
                <w:szCs w:val="16"/>
                <w:color w:val="auto"/>
              </w:rPr>
            </w:pPr>
          </w:p>
        </w:tc>
        <w:tc>
          <w:tcPr>
            <w:tcW w:w="13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4"/>
        </w:trPr>
        <w:tc>
          <w:tcPr>
            <w:tcW w:w="7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right-of-use assets in </w:t>
            </w:r>
            <w:r>
              <w:rPr>
                <w:rFonts w:ascii="Times New Roman" w:cs="Times New Roman" w:eastAsia="Times New Roman" w:hAnsi="Times New Roman"/>
                <w:sz w:val="18"/>
                <w:szCs w:val="18"/>
                <w:i w:val="1"/>
                <w:iCs w:val="1"/>
                <w:color w:val="auto"/>
              </w:rPr>
              <w:t>Other long-term assets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55,268</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53,413</w:t>
            </w:r>
          </w:p>
        </w:tc>
      </w:tr>
      <w:tr>
        <w:trPr>
          <w:trHeight w:val="22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liabilities in </w:t>
            </w:r>
            <w:r>
              <w:rPr>
                <w:rFonts w:ascii="Times New Roman" w:cs="Times New Roman" w:eastAsia="Times New Roman" w:hAnsi="Times New Roman"/>
                <w:sz w:val="18"/>
                <w:szCs w:val="18"/>
                <w:i w:val="1"/>
                <w:iCs w:val="1"/>
                <w:color w:val="auto"/>
              </w:rPr>
              <w:t>Other current liabilities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2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liabilities in </w:t>
            </w:r>
            <w:r>
              <w:rPr>
                <w:rFonts w:ascii="Times New Roman" w:cs="Times New Roman" w:eastAsia="Times New Roman" w:hAnsi="Times New Roman"/>
                <w:sz w:val="18"/>
                <w:szCs w:val="18"/>
                <w:i w:val="1"/>
                <w:iCs w:val="1"/>
                <w:color w:val="auto"/>
              </w:rPr>
              <w:t>Other long-term liabilities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57,958</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 information related to our operating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4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4"/>
        </w:trPr>
        <w:tc>
          <w:tcPr>
            <w:tcW w:w="7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8.2 years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years</w:t>
            </w:r>
          </w:p>
        </w:tc>
      </w:tr>
      <w:tr>
        <w:trPr>
          <w:trHeight w:val="231"/>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9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5.31 %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 costs were $10.6 million, $10.6 million and $11.0 million during fiscal 2024, 2023 and 2022,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our operating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40" w:type="dxa"/>
            <w:vAlign w:val="bottom"/>
          </w:tcPr>
          <w:p>
            <w:pPr>
              <w:spacing w:after="0"/>
              <w:rPr>
                <w:sz w:val="16"/>
                <w:szCs w:val="16"/>
                <w:color w:val="auto"/>
              </w:rPr>
            </w:pPr>
          </w:p>
        </w:tc>
        <w:tc>
          <w:tcPr>
            <w:tcW w:w="92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160" w:type="dxa"/>
            <w:vAlign w:val="bottom"/>
          </w:tcPr>
          <w:p>
            <w:pPr>
              <w:spacing w:after="0"/>
              <w:rPr>
                <w:sz w:val="16"/>
                <w:szCs w:val="16"/>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April 2, 2022</w:t>
            </w:r>
          </w:p>
        </w:tc>
      </w:tr>
      <w:tr>
        <w:trPr>
          <w:trHeight w:val="24"/>
        </w:trPr>
        <w:tc>
          <w:tcPr>
            <w:tcW w:w="60" w:type="dxa"/>
            <w:vAlign w:val="bottom"/>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operating lease liabilities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r>
      <w:tr>
        <w:trPr>
          <w:trHeight w:val="225"/>
        </w:trPr>
        <w:tc>
          <w:tcPr>
            <w:tcW w:w="60" w:type="dxa"/>
            <w:vAlign w:val="bottom"/>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assets obtained in exchange for new operating lease liabilities</w:t>
            </w: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531"/>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maturities of our operating lease liabilities as of March 30, 2024:</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7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Fiscal Year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5"/>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r>
      <w:tr>
        <w:trPr>
          <w:trHeight w:val="225"/>
        </w:trPr>
        <w:tc>
          <w:tcPr>
            <w:tcW w:w="6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w:t>
            </w:r>
          </w:p>
        </w:tc>
      </w:tr>
      <w:tr>
        <w:trPr>
          <w:trHeight w:val="225"/>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r>
      <w:tr>
        <w:trPr>
          <w:trHeight w:val="225"/>
        </w:trPr>
        <w:tc>
          <w:tcPr>
            <w:tcW w:w="6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r>
      <w:tr>
        <w:trPr>
          <w:trHeight w:val="225"/>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r>
      <w:tr>
        <w:trPr>
          <w:trHeight w:val="225"/>
        </w:trPr>
        <w:tc>
          <w:tcPr>
            <w:tcW w:w="60" w:type="dxa"/>
            <w:vAlign w:val="bottom"/>
          </w:tcPr>
          <w:p>
            <w:pPr>
              <w:spacing w:after="0"/>
              <w:rPr>
                <w:sz w:val="19"/>
                <w:szCs w:val="19"/>
                <w:color w:val="auto"/>
              </w:rPr>
            </w:pPr>
          </w:p>
        </w:tc>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32,420</w:t>
            </w:r>
          </w:p>
        </w:tc>
      </w:tr>
      <w:tr>
        <w:trPr>
          <w:trHeight w:val="218"/>
        </w:trPr>
        <w:tc>
          <w:tcPr>
            <w:tcW w:w="6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operating lease payments</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82,321</w:t>
            </w:r>
          </w:p>
        </w:tc>
      </w:tr>
      <w:tr>
        <w:trPr>
          <w:trHeight w:val="225"/>
        </w:trPr>
        <w:tc>
          <w:tcPr>
            <w:tcW w:w="60" w:type="dxa"/>
            <w:vAlign w:val="bottom"/>
          </w:tcPr>
          <w:p>
            <w:pPr>
              <w:spacing w:after="0"/>
              <w:rPr>
                <w:sz w:val="19"/>
                <w:szCs w:val="19"/>
                <w:color w:val="auto"/>
              </w:rPr>
            </w:pPr>
          </w:p>
        </w:tc>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r>
      <w:tr>
        <w:trPr>
          <w:trHeight w:val="243"/>
        </w:trPr>
        <w:tc>
          <w:tcPr>
            <w:tcW w:w="60" w:type="dxa"/>
            <w:vAlign w:val="bottom"/>
          </w:tcPr>
          <w:p>
            <w:pPr>
              <w:spacing w:after="0"/>
              <w:rPr>
                <w:sz w:val="20"/>
                <w:szCs w:val="20"/>
                <w:color w:val="auto"/>
              </w:rPr>
            </w:pPr>
          </w:p>
        </w:tc>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66,091</w:t>
            </w:r>
          </w:p>
        </w:tc>
      </w:tr>
      <w:tr>
        <w:trPr>
          <w:trHeight w:val="20"/>
        </w:trPr>
        <w:tc>
          <w:tcPr>
            <w:tcW w:w="6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24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3 percent of the Company’s total net sales.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NOTES PAYABLE AND LONG-TERM DEBT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20" w:type="dxa"/>
            <w:vAlign w:val="bottom"/>
          </w:tcPr>
          <w:p>
            <w:pPr>
              <w:spacing w:after="0"/>
              <w:rPr>
                <w:sz w:val="16"/>
                <w:szCs w:val="16"/>
                <w:color w:val="auto"/>
              </w:rPr>
            </w:pPr>
          </w:p>
        </w:tc>
        <w:tc>
          <w:tcPr>
            <w:tcW w:w="15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4"/>
        </w:trPr>
        <w:tc>
          <w:tcPr>
            <w:tcW w:w="7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492,131</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financing fees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273,728</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r>
      <w:tr>
        <w:trPr>
          <w:trHeight w:val="21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797,564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754,102</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has $500.0 million aggregate principal amount of 0% convertible senior notes due 2026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207"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September 1, 2025 only under the following circumstances:</w:t>
      </w:r>
    </w:p>
    <w:p>
      <w:pPr>
        <w:spacing w:after="0" w:line="190" w:lineRule="exact"/>
        <w:rPr>
          <w:sz w:val="20"/>
          <w:szCs w:val="20"/>
          <w:color w:val="auto"/>
        </w:rPr>
      </w:pPr>
    </w:p>
    <w:p>
      <w:pPr>
        <w:ind w:left="640" w:right="220" w:hanging="316"/>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beginning after June 30, 2021,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206" w:lineRule="exact"/>
        <w:rPr>
          <w:rFonts w:ascii="Times New Roman" w:cs="Times New Roman" w:eastAsia="Times New Roman" w:hAnsi="Times New Roman"/>
          <w:sz w:val="18"/>
          <w:szCs w:val="18"/>
          <w:color w:val="auto"/>
        </w:rPr>
      </w:pPr>
    </w:p>
    <w:p>
      <w:pPr>
        <w:jc w:val="both"/>
        <w:ind w:left="640" w:right="18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the 2026 Notes for such trading day was less than 98% of the product of the last reported sale price of the Company’s common stock and the applicable conversion rate on such trading day;</w:t>
      </w:r>
    </w:p>
    <w:p>
      <w:pPr>
        <w:spacing w:after="0" w:line="204" w:lineRule="exact"/>
        <w:rPr>
          <w:rFonts w:ascii="Times New Roman" w:cs="Times New Roman" w:eastAsia="Times New Roman" w:hAnsi="Times New Roman"/>
          <w:sz w:val="18"/>
          <w:szCs w:val="18"/>
          <w:color w:val="auto"/>
        </w:rPr>
      </w:pPr>
    </w:p>
    <w:p>
      <w:pPr>
        <w:jc w:val="both"/>
        <w:ind w:left="640" w:right="38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2026 Notes; or</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related redemption date if the Company calls the 2026 Notes for redemption.</w:t>
      </w:r>
    </w:p>
    <w:p>
      <w:pPr>
        <w:spacing w:after="0" w:line="2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or after September 1, 2025, until the close of business on the scheduled trading day immediately preceding the maturity date, holders may convert all or a portion of their 2026 Notes, in multiples of $1,000 principal amount, at any time, regardless of the foregoing circumstances. The conversion rate for the 2026 Notes is 5.7033 shares of common stock per $1,000 principal amount of notes (which is equal to an initial conversion price of approximately $175.34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2026 Notes in connection with such make-whole adjustment event, such holder may be entitled to an increase in the conversion rate as described in the Indenture.</w:t>
      </w:r>
    </w:p>
    <w:p>
      <w:pPr>
        <w:spacing w:after="0" w:line="217"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During fiscal 2024, the conditions allowing holders of the 2026 Notes to convert have not been met. The 2026 Notes were therefore not convertible as of March 30, 2024 and were classified as long-term debt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Notes will be redeemable, in whole or in part, at the Company’s option at any time, and from time to time, on or after March 5, 2024 and on 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before the 40th scheduled trading day immediately before the maturity date, if the last reported sale price per share of the Company’s common stock exceeds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 of the conversion price then in effect for at least 20 trading days (whether or not consecutive), including the trading day immediately preceding the date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which the Company provides notice of redemption, during any 30 consecutive trading day period ending on, and including, the trading day immediately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date the Company sends the related redemption notice at a redemption price equal to 100% of the principal amount of the 2026 Notes to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plus accrued and unpaid interest to, but excluding the redemption date. Upon the occurrence of certain fundamental changes involving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holders of the 2026 Notes may require the Company to repurchase for cash all or part of their 2026 Notes at a repurchase price equal to 100%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2026 Notes to be repurchased, plus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unpaid interest.</w:t>
      </w:r>
    </w:p>
    <w:p>
      <w:pPr>
        <w:spacing w:after="0" w:line="224"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consolidated balance sheets as of April 4, 2021 is an increase of $1.0 million.</w:t>
      </w:r>
    </w:p>
    <w:p>
      <w:pPr>
        <w:spacing w:after="0" w:line="212"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As of March 30, 2024, the $500.0 million principal balance was netted down by the $5.2 million of remaining debt issuance costs, resulting in a net convertible note payable of $494.8 million. Interest expense related to the 2026 Notes was $2.7 million for the fiscal year ended March 30, 2024, which is entirely attributable to the amortization of the debt issuance costs. The debt issuance costs are amortized at an effective interest rate of 0.5%.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4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connection with the issuance of the 2026 Notes, the Company entered into capped call transactions with certain counterparties (“Capped Calls”). The Capped Calls each have an initial strike price of approximately $175.34 per share, subject to certain adjustments, which corresponds to the initial conversion price of the 2026 Notes. The Capped Calls have initial cap prices of $250.48 per share, subject to certain adjustments. The Capped Calls are expected to partially offset the potential dilution to the Company’s common stock upon any conversion of the 2026 Notes, with such offset subject to a cap based on the cap price. The Capped Calls cover, subject to anti-dilution adjustments, approximately 2.85 million shares of the Company’s common stock. For accounting purposes, the Capped Calls are separate transactions, and not part of the 2026 Notes. As these transactions meet certain accounting criteria, the Capped Calls are recorded in stockholders’ equity and are not accounted for as derivatives.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4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On June 15, 2018, the Company entered into a credit agreement with certain lenders that provided for a $350.0 million term loan and a $350.0 million revolving credit facility (together with the term loan, as amended from time to time, the “2018 Credit Facilities”) that were each scheduled to mature on June 15, 2023.</w:t>
      </w:r>
    </w:p>
    <w:p>
      <w:pPr>
        <w:spacing w:after="0" w:line="19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On July 26, 2022, the Company entered into an amended and restated credit agreement with certain lenders to refinance the 2018 Credit Facilities and extend their maturity date through June 2025. The amended and restated credit agreement provides for a $280.0 million senior unsecured term loan, the proceeds of which have been used to settle the balance of the term loan under the 2018 Credit Facilities, and a $420.0 million senior unsecured revolving credit facility (together, the “2022 Revised Credit Facilities”). Loans under the 2022 Revised Credit Facilities bear interest at an annual rate equal to the Adjusted Term SOFR Rate (as specified in the amended and restated credit agreement), which is subject to a floor of 0%, plus an applicable rate ranging from 1.125% to</w:t>
      </w:r>
    </w:p>
    <w:p>
      <w:pPr>
        <w:spacing w:after="0" w:line="4"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8"/>
          <w:szCs w:val="18"/>
          <w:color w:val="auto"/>
        </w:rPr>
        <w:t>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2022 Revised Credit Facilities, the Company is required to maintain certain leverage and interest coverage ratios specified in the amended and restated credit agreement as well as other customary non-financial affirmative and negative covenants.</w:t>
      </w:r>
    </w:p>
    <w:p>
      <w:pPr>
        <w:spacing w:after="0" w:line="207"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18"/>
          <w:szCs w:val="18"/>
          <w:color w:val="auto"/>
        </w:rPr>
        <w:t>The Company applied modification accounting for the credit facility refinancing. For the term loan under the 2022 Revised Credit Facilities, for fiscal 2023, the Company recognized interest expense of $0.5 million for third party fees incurred and capitalized $0.2 million of lender fees related to the term loan. For fiscal 2023, the Company capitalized $1.1 million of lender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and third-party costs incurred in the refinancing related to the revolving credit facility under the 2022 Revised Credit Facilities.</w:t>
      </w:r>
    </w:p>
    <w:p>
      <w:pPr>
        <w:spacing w:after="0" w:line="244"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At March 30, 2024, $262.5 million was outstanding under the term loan with an effective interest rate of 6.9% and $50.0 million in outstanding borrowings under the revolving credit facility with an effective interest rate of 6.8%. Borrowings under the revolving credit facility during fiscal 2024 were to fund the OpSens acquisition. The Company also had $18.7 million of uncommitted operating lines of credit to fund its global operations under which there were no outstanding borrowings as of March 30, 2024.</w:t>
      </w:r>
    </w:p>
    <w:p>
      <w:pPr>
        <w:spacing w:after="0" w:line="20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Under the 2022 Revised Credit Facilities, the Company is required to maintain a consolidated leverage ratio not to exceed 3.5:1.0 and a consolidated interest coverage ratio not to be less than 4.0:1.0 during periods when the 2022 Revised Credit Facilities are outstanding.</w:t>
      </w:r>
    </w:p>
    <w:p>
      <w:pPr>
        <w:spacing w:after="0" w:line="19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In addition, the Company is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Net Leverage ratio is calculated as consolidated total debt minus liquidity, divided by consolidated EBITDA. Consolidated EBITDA includes EBITDA adjusted by non-recurring and unusual transactions specifically as defined in the 2022 Revised Credit Facilities.</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2022 Revised Credit Facilities also contain usual and customary non-financial affirmative and negative covenants that include certain restrictions with respect to subsequent indebtedness, liens, loans and investments (including acquisitions), financial reporting obligations, mergers, consolidations, dispositions, dissolutions or liquidation, asset sales, affiliate transactions, change of its business, capital expenditures, share repurchase and other restricted payments. These covenants are subject to exceptions and qualifications set forth in the credit agreement.</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failure to comply with the financial and operating covenants of the 2022 Revised Credit Facilities would prevent the Company from being able to borrow additional funds and would constitute a default, which could result in, among other things, the amounts outstanding including all accrued interest and unpaid fees, becoming immediately due and payable. In addition, the 2022 Revised Credit Facilities include customary events of default, in certain cases subject to customary cure periods. As of March 30, 2024, the Company was in compliance with the covenants.</w:t>
      </w:r>
    </w:p>
    <w:p>
      <w:pPr>
        <w:spacing w:after="0" w:line="19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In April 2024, subsequent to the fiscal year ended March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have been used to retire the balance of the term loan under the 2022 Revised Credit Facilities, and a $750.0 million senior unsecured revolving credit facility (together, the “2024 Revised Credit Facilities”), which constitutes a $330.0 million increase from the revolving credit facility under the 2022 Revised Credit Facilities. Loans under the 2024 Revised Credit Facilities will initially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Adjusted Term SOFR Rate loans are also subject to a credit spread adjustment of 0.0% per annum.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 As of April 30, 2024, the outstanding balance under the revolving credit facility was $230.0 million, which increased from the end of fiscal 2024, primarily due to borrowings associated with the acquisition of Attune Medical on April 1, 2024.</w:t>
      </w: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Under the 2024 Revised Credit Facilities, the Company is required to maintain a consolidated leverage ratio not to exceed 4.0:1.0 or, on up to two occasions during the term of the facility, 4.5:1.0 for the four consecutive fiscal quarters ended immediately following acquisitions meeting certain criteria specified in the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Fee</w:t>
      </w:r>
    </w:p>
    <w:p>
      <w:pPr>
        <w:spacing w:after="0" w:line="24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Pursuant to the 2022 Revised Credit Facilities, the Company is required to pay, on the last day of each calendar quarter, a commitment fee on the unused portion of the revolving credit facility. The commitment fee is subject to a pricing grid based on the Company’s consolidated leverage ratio. The commitment fee ranges from 0.125% to 0.250%. The current commitment fee on the undrawn portion of the revolving credit facility is 0.175%.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commitment fees noted above did not change pursuant to the 2024 Revised Credit Facilities.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 and Interest</w:t>
      </w:r>
    </w:p>
    <w:p>
      <w:pPr>
        <w:spacing w:after="0" w:line="24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Expenses associated with the issuance of the term loan were capitalized and are amortized to interest expense over the life of the senior unsecured term loan using the effective interest method. As of March 30, 2024, the $262.5 million term loan balance was netted down by the $0.5 million of remaining debt discount, resulting in a net note payable of $262.0 million.</w:t>
      </w:r>
    </w:p>
    <w:p>
      <w:pPr>
        <w:spacing w:after="0" w:line="20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color w:val="auto"/>
        </w:rPr>
        <w:t>Interest expense was $19.5 million, $13.0 million and $5.8 million for fiscal 2024, 2023 and 2022, respectively. Accrued interest associated with the outstanding debt is included as a component of other current liabilities in the accompanying consolidated balance sheets. As of both March 30, 2024 and April 1, 2023, the Company had an insignificant amount of accrued interest associated with the outstanding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future aggregate amount of debt maturities, adjusted for the impact of the Company’s debt refinancing in April 2024 as discussed above, are as follows:</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507,924</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w:t>
            </w:r>
          </w:p>
        </w:tc>
      </w:tr>
      <w:tr>
        <w:trPr>
          <w:trHeight w:val="23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430,519</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 AND FAIR VALUE MEASUREMENTS</w:t>
      </w:r>
    </w:p>
    <w:p>
      <w:pPr>
        <w:spacing w:after="0" w:line="246" w:lineRule="exact"/>
        <w:rPr>
          <w:sz w:val="20"/>
          <w:szCs w:val="20"/>
          <w:color w:val="auto"/>
        </w:rPr>
      </w:pPr>
    </w:p>
    <w:p>
      <w:pPr>
        <w:jc w:val="both"/>
        <w:ind w:right="80"/>
        <w:spacing w:after="0" w:line="304" w:lineRule="auto"/>
        <w:rPr>
          <w:sz w:val="20"/>
          <w:szCs w:val="20"/>
          <w:color w:val="auto"/>
        </w:rPr>
      </w:pPr>
      <w:r>
        <w:rPr>
          <w:rFonts w:ascii="Times New Roman" w:cs="Times New Roman" w:eastAsia="Times New Roman" w:hAnsi="Times New Roman"/>
          <w:sz w:val="17"/>
          <w:szCs w:val="17"/>
          <w:color w:val="auto"/>
        </w:rPr>
        <w:t>The Company manufactures, markets and sells its products globally. For the fiscal year ended March 30, 2024, 25.9% of the Company’s sales were generated outside the U.S. in local currencies. The Company also incurs certain manufacturing, marketing and selling costs in international markets in local currency.</w:t>
      </w:r>
    </w:p>
    <w:p>
      <w:pPr>
        <w:spacing w:after="0" w:line="16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and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Designated Foreign Currency Hedge Contracts</w:t>
      </w:r>
    </w:p>
    <w:p>
      <w:pPr>
        <w:spacing w:after="0" w:line="24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March 30, 2024 and April 1, 2023 were cash flow hedges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The Company records the effective portion of any change in the fair value of designated foreign currency hedge contracts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$74.0 million as of March 30, 2024 and $51.8 million as of April 1, 2023. At March 30, 2024, a gain of $2.8 million, net of tax, will be reclassified to earnings within the next twelve months. All currency cash flow hedges outstanding as of March 30, 2024 mature within twelve months.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Non-Designated Foreign Currency Contracts</w:t>
      </w:r>
    </w:p>
    <w:p>
      <w:pPr>
        <w:spacing w:after="0" w:line="24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$39.9 million as of March 30, 2024 and $44.7 million as of April 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48"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color w:val="auto"/>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On June 15, 2018, the Company entered into the 2018 Credit Facilities which provided for a $350.0 million term loan and a $350.0 million revolving credit facility. In August 2018, the Company entered into two interest rate swap agreements to pay an average fixed rate of 2.80% plus the applicable rate on a total notional value of $241.9 million of debt, or 70% of the notional value of the unsecured term loan. As a result of the Company’s refinancing of the 2018 Credit Facilities in July 2022, as discussed below, the 2018 interest rate swaps were amended in September 2022 to align with the Term Secured Overnight Financing Rate (“SOFR”) rate rather than LIBOR (the “Amended Swaps”). In order to avoid dedesignation, the Company elected certain practical expedients under ASC</w:t>
      </w:r>
    </w:p>
    <w:p>
      <w:pPr>
        <w:ind w:right="240" w:firstLine="6"/>
        <w:spacing w:after="0" w:line="274" w:lineRule="auto"/>
        <w:tabs>
          <w:tab w:leader="none" w:pos="3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Company’s earnings and cash flows are exposed to interest rate risk from changes to SOFR. The Amended Swaps matured on June 15, 2023.</w:t>
      </w:r>
    </w:p>
    <w:p>
      <w:pPr>
        <w:spacing w:after="0" w:line="1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On July 26, 2022, the Company entered into an amended and restated credit agreement to refinance the 2018 Credit Facilities and extend their maturity date through June 2025. The 2022 Revised Credit Facilities include a $280.0 million senior unsecured term loan and a $420.0 million senior unsecured revolving credit facility. Loans under the 2022 Revised Credit Facilities bear interest at an annual rate equal to the 1-month USD Term SOFR plus 0.10% and an applicable rate ranging from 1.125% to 1.750% based on the Company’s consolidated net leverage ratio. In September 2022, the Company entered into four additional interest rate swaps, which when combined with the Amended Swaps, resulted in an average blended fixed interest rate of 3.57% plus the applicable rate on 70% of the notional value of the unsecured term loan until mid-June 2023 and 4.12% plus the applicable rate thereafter on 80% of the notional value until the maturity date in June 2025. The Company has concluded that the two remaining interest rate swaps entered into during September 2022, which cover 80% of the notional value of the unsecured term loan through maturity in June 2025, are effective and qualify for hedge accounting treatment.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March 30,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 as</w:t>
            </w:r>
          </w:p>
        </w:tc>
        <w:tc>
          <w:tcPr>
            <w:tcW w:w="80" w:type="dxa"/>
            <w:vAlign w:val="bottom"/>
          </w:tcPr>
          <w:p>
            <w:pPr>
              <w:spacing w:after="0"/>
              <w:rPr>
                <w:sz w:val="13"/>
                <w:szCs w:val="13"/>
                <w:color w:val="auto"/>
              </w:rPr>
            </w:pP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Designation Date</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380" w:type="dxa"/>
            <w:vAlign w:val="bottom"/>
            <w:gridSpan w:val="3"/>
            <w:vMerge w:val="restart"/>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Fixed Interest</w:t>
            </w: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66"/>
        </w:trPr>
        <w:tc>
          <w:tcPr>
            <w:tcW w:w="2520" w:type="dxa"/>
            <w:vAlign w:val="bottom"/>
            <w:gridSpan w:val="2"/>
            <w:vMerge w:val="continue"/>
          </w:tcPr>
          <w:p>
            <w:pPr>
              <w:spacing w:after="0"/>
              <w:rPr>
                <w:sz w:val="5"/>
                <w:szCs w:val="5"/>
                <w:color w:val="auto"/>
              </w:rPr>
            </w:pPr>
          </w:p>
        </w:tc>
        <w:tc>
          <w:tcPr>
            <w:tcW w:w="1100" w:type="dxa"/>
            <w:vAlign w:val="bottom"/>
            <w:gridSpan w:val="2"/>
            <w:vMerge w:val="restart"/>
          </w:tcPr>
          <w:p>
            <w:pPr>
              <w:ind w:left="240"/>
              <w:spacing w:after="0" w:line="14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140" w:type="dxa"/>
            <w:vAlign w:val="bottom"/>
            <w:vMerge w:val="restart"/>
          </w:tcPr>
          <w:p>
            <w:pPr>
              <w:jc w:val="center"/>
              <w:ind w:right="61"/>
              <w:spacing w:after="0" w:line="144" w:lineRule="exact"/>
              <w:rPr>
                <w:sz w:val="20"/>
                <w:szCs w:val="20"/>
                <w:color w:val="auto"/>
              </w:rPr>
            </w:pPr>
            <w:r>
              <w:rPr>
                <w:rFonts w:ascii="Times New Roman" w:cs="Times New Roman" w:eastAsia="Times New Roman" w:hAnsi="Times New Roman"/>
                <w:sz w:val="14"/>
                <w:szCs w:val="14"/>
                <w:b w:val="1"/>
                <w:bCs w:val="1"/>
                <w:color w:val="auto"/>
              </w:rPr>
              <w:t>Value Assets</w:t>
            </w:r>
          </w:p>
        </w:tc>
        <w:tc>
          <w:tcPr>
            <w:tcW w:w="0" w:type="dxa"/>
            <w:vAlign w:val="bottom"/>
          </w:tcPr>
          <w:p>
            <w:pPr>
              <w:spacing w:after="0"/>
              <w:rPr>
                <w:sz w:val="1"/>
                <w:szCs w:val="1"/>
                <w:color w:val="auto"/>
              </w:rPr>
            </w:pPr>
          </w:p>
        </w:tc>
      </w:tr>
      <w:tr>
        <w:trPr>
          <w:trHeight w:val="78"/>
        </w:trPr>
        <w:tc>
          <w:tcPr>
            <w:tcW w:w="252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of March 30, 2024</w:t>
            </w:r>
          </w:p>
        </w:tc>
        <w:tc>
          <w:tcPr>
            <w:tcW w:w="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80" w:type="dxa"/>
            <w:vAlign w:val="bottom"/>
            <w:gridSpan w:val="3"/>
            <w:vMerge w:val="restart"/>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1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(Liabilities)</w:t>
            </w:r>
          </w:p>
        </w:tc>
        <w:tc>
          <w:tcPr>
            <w:tcW w:w="0" w:type="dxa"/>
            <w:vAlign w:val="bottom"/>
          </w:tcPr>
          <w:p>
            <w:pPr>
              <w:spacing w:after="0"/>
              <w:rPr>
                <w:sz w:val="1"/>
                <w:szCs w:val="1"/>
                <w:color w:val="auto"/>
              </w:rPr>
            </w:pPr>
          </w:p>
        </w:tc>
      </w:tr>
      <w:tr>
        <w:trPr>
          <w:trHeight w:val="84"/>
        </w:trPr>
        <w:tc>
          <w:tcPr>
            <w:tcW w:w="2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109,900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106,400</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9/23/2022</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6/15/2023</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6/15/2025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5"/>
        </w:trPr>
        <w:tc>
          <w:tcPr>
            <w:tcW w:w="2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109,900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9/23/2022</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6/15/2023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6/15/2025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43"/>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219,800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211,400</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fiscal 2024, the Company recorded a gain of $2.2 million, net of tax, in accumulated other comprehensive loss to recognize the effective portion of the fair value of the swaps that qualify as cash flow hedges.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ordinary course of business, the Company grants trade credit to its customers on normal credit terms. In an effort to reduce its credit risk, the Company</w:t>
      </w:r>
    </w:p>
    <w:p>
      <w:pPr>
        <w:spacing w:after="0" w:line="36" w:lineRule="exact"/>
        <w:rPr>
          <w:sz w:val="20"/>
          <w:szCs w:val="20"/>
          <w:color w:val="auto"/>
        </w:rPr>
      </w:pPr>
    </w:p>
    <w:p>
      <w:pPr>
        <w:ind w:right="80" w:firstLine="6"/>
        <w:spacing w:after="0" w:line="251" w:lineRule="auto"/>
        <w:tabs>
          <w:tab w:leader="none" w:pos="2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210"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8"/>
          <w:szCs w:val="18"/>
          <w:color w:val="auto"/>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The Company has not experienced significant customer payment defaults, or identified other significant collectability concerns.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the allowance for credit losses: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400" w:type="dxa"/>
            <w:vAlign w:val="bottom"/>
          </w:tcPr>
          <w:p>
            <w:pPr>
              <w:spacing w:after="0"/>
              <w:rPr>
                <w:sz w:val="16"/>
                <w:szCs w:val="16"/>
                <w:color w:val="auto"/>
              </w:rPr>
            </w:pP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0" w:type="dxa"/>
            <w:vAlign w:val="bottom"/>
          </w:tcPr>
          <w:p>
            <w:pPr>
              <w:spacing w:after="0"/>
              <w:rPr>
                <w:sz w:val="1"/>
                <w:szCs w:val="1"/>
                <w:color w:val="auto"/>
              </w:rPr>
            </w:pPr>
          </w:p>
        </w:tc>
      </w:tr>
      <w:tr>
        <w:trPr>
          <w:trHeight w:val="225"/>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w:t>
            </w:r>
          </w:p>
        </w:tc>
        <w:tc>
          <w:tcPr>
            <w:tcW w:w="0" w:type="dxa"/>
            <w:vAlign w:val="bottom"/>
          </w:tcPr>
          <w:p>
            <w:pPr>
              <w:spacing w:after="0"/>
              <w:rPr>
                <w:sz w:val="1"/>
                <w:szCs w:val="1"/>
                <w:color w:val="auto"/>
              </w:rPr>
            </w:pPr>
          </w:p>
        </w:tc>
      </w:tr>
      <w:tr>
        <w:trPr>
          <w:trHeight w:val="225"/>
        </w:trPr>
        <w:tc>
          <w:tcPr>
            <w:tcW w:w="4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Credit loss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5"/>
        </w:trPr>
        <w:tc>
          <w:tcPr>
            <w:tcW w:w="4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Write-offs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8"/>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Measurements</w:t>
      </w:r>
    </w:p>
    <w:p>
      <w:pPr>
        <w:spacing w:after="0" w:line="248" w:lineRule="exact"/>
        <w:rPr>
          <w:sz w:val="20"/>
          <w:szCs w:val="20"/>
          <w:color w:val="auto"/>
        </w:rPr>
      </w:pPr>
    </w:p>
    <w:p>
      <w:pPr>
        <w:ind w:right="120"/>
        <w:spacing w:after="0" w:line="304" w:lineRule="auto"/>
        <w:rPr>
          <w:sz w:val="20"/>
          <w:szCs w:val="20"/>
          <w:color w:val="auto"/>
        </w:rPr>
      </w:pPr>
      <w:r>
        <w:rPr>
          <w:rFonts w:ascii="Times New Roman" w:cs="Times New Roman" w:eastAsia="Times New Roman" w:hAnsi="Times New Roman"/>
          <w:sz w:val="17"/>
          <w:szCs w:val="17"/>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67"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4" w:lineRule="exact"/>
        <w:rPr>
          <w:rFonts w:ascii="Times New Roman" w:cs="Times New Roman" w:eastAsia="Times New Roman" w:hAnsi="Times New Roman"/>
          <w:sz w:val="18"/>
          <w:szCs w:val="18"/>
          <w:color w:val="auto"/>
        </w:rPr>
      </w:pPr>
    </w:p>
    <w:p>
      <w:pPr>
        <w:ind w:left="640" w:right="580" w:hanging="316"/>
        <w:spacing w:after="0" w:line="24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 w:lineRule="exact"/>
        <w:rPr>
          <w:rFonts w:ascii="Times New Roman" w:cs="Times New Roman" w:eastAsia="Times New Roman" w:hAnsi="Times New Roman"/>
          <w:sz w:val="18"/>
          <w:szCs w:val="18"/>
          <w:color w:val="auto"/>
        </w:rPr>
      </w:pPr>
    </w:p>
    <w:p>
      <w:pPr>
        <w:ind w:left="640" w:right="280" w:hanging="316"/>
        <w:spacing w:after="0" w:line="251"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248" w:lineRule="exact"/>
        <w:rPr>
          <w:sz w:val="20"/>
          <w:szCs w:val="20"/>
          <w:color w:val="auto"/>
        </w:rPr>
      </w:pPr>
    </w:p>
    <w:p>
      <w:pPr>
        <w:ind w:right="740"/>
        <w:spacing w:after="0" w:line="304" w:lineRule="auto"/>
        <w:rPr>
          <w:sz w:val="20"/>
          <w:szCs w:val="20"/>
          <w:color w:val="auto"/>
        </w:rPr>
      </w:pPr>
      <w:r>
        <w:rPr>
          <w:rFonts w:ascii="Times New Roman" w:cs="Times New Roman" w:eastAsia="Times New Roman" w:hAnsi="Times New Roman"/>
          <w:sz w:val="17"/>
          <w:szCs w:val="17"/>
          <w:color w:val="auto"/>
        </w:rPr>
        <w:t>The following table presents the effect of the Company’s derivative instruments designated as cash flow hedges and those not designated as hedging instruments under ASC 815 in its consolidated statements of income and comprehensive income for the fiscal year ended March 30,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(Loss) Reclassified</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in Consolidated</w:t>
            </w: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1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136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Statements of Income</w:t>
            </w:r>
          </w:p>
        </w:tc>
        <w:tc>
          <w:tcPr>
            <w:tcW w:w="0" w:type="dxa"/>
            <w:vAlign w:val="bottom"/>
          </w:tcPr>
          <w:p>
            <w:pPr>
              <w:spacing w:after="0"/>
              <w:rPr>
                <w:sz w:val="1"/>
                <w:szCs w:val="1"/>
                <w:color w:val="auto"/>
              </w:rPr>
            </w:pPr>
          </w:p>
        </w:tc>
      </w:tr>
      <w:tr>
        <w:trPr>
          <w:trHeight w:val="146"/>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4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Comprehensive</w:t>
            </w:r>
          </w:p>
        </w:tc>
        <w:tc>
          <w:tcPr>
            <w:tcW w:w="0" w:type="dxa"/>
            <w:vAlign w:val="bottom"/>
          </w:tcPr>
          <w:p>
            <w:pPr>
              <w:spacing w:after="0"/>
              <w:rPr>
                <w:sz w:val="1"/>
                <w:szCs w:val="1"/>
                <w:color w:val="auto"/>
              </w:rPr>
            </w:pPr>
          </w:p>
        </w:tc>
      </w:tr>
      <w:tr>
        <w:trPr>
          <w:trHeight w:val="192"/>
        </w:trPr>
        <w:tc>
          <w:tcPr>
            <w:tcW w:w="3680" w:type="dxa"/>
            <w:vAlign w:val="bottom"/>
            <w:gridSpan w:val="2"/>
            <w:vMerge w:val="continue"/>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into Earnings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Testing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2"/>
        </w:trPr>
        <w:tc>
          <w:tcPr>
            <w:tcW w:w="3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Designated foreign currency hedge contracts, net</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Net revenues, COGS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38"/>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3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Interest and other</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 net of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March 30, 2024 or April 1, 2023. As of March 30, 2024, no material deferred taxes were recognized for designated foreign currency hedges.</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30, 2024,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the fair value of the Company’s derivative instruments as they appear in its consolidated balance sheets as of March 30, 2024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Location in</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30, 2024</w:t>
            </w:r>
          </w:p>
        </w:tc>
        <w:tc>
          <w:tcPr>
            <w:tcW w:w="120" w:type="dxa"/>
            <w:vAlign w:val="bottom"/>
          </w:tcPr>
          <w:p>
            <w:pPr>
              <w:spacing w:after="0"/>
              <w:rPr>
                <w:sz w:val="13"/>
                <w:szCs w:val="13"/>
                <w:color w:val="auto"/>
              </w:rPr>
            </w:pPr>
          </w:p>
        </w:tc>
        <w:tc>
          <w:tcPr>
            <w:tcW w:w="13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As of April 1, 2023</w:t>
            </w:r>
          </w:p>
        </w:tc>
        <w:tc>
          <w:tcPr>
            <w:tcW w:w="0" w:type="dxa"/>
            <w:vAlign w:val="bottom"/>
          </w:tcPr>
          <w:p>
            <w:pPr>
              <w:spacing w:after="0"/>
              <w:rPr>
                <w:sz w:val="1"/>
                <w:szCs w:val="1"/>
                <w:color w:val="auto"/>
              </w:rPr>
            </w:pPr>
          </w:p>
        </w:tc>
      </w:tr>
      <w:tr>
        <w:trPr>
          <w:trHeight w:val="189"/>
        </w:trPr>
        <w:tc>
          <w:tcPr>
            <w:tcW w:w="5360" w:type="dxa"/>
            <w:vAlign w:val="bottom"/>
            <w:vMerge w:val="continue"/>
          </w:tcPr>
          <w:p>
            <w:pPr>
              <w:spacing w:after="0"/>
              <w:rPr>
                <w:sz w:val="16"/>
                <w:szCs w:val="16"/>
                <w:color w:val="auto"/>
              </w:rPr>
            </w:pPr>
          </w:p>
        </w:tc>
        <w:tc>
          <w:tcPr>
            <w:tcW w:w="28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Balance Sheet</w:t>
            </w:r>
          </w:p>
        </w:tc>
        <w:tc>
          <w:tcPr>
            <w:tcW w:w="1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2,813</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43"/>
        </w:trPr>
        <w:tc>
          <w:tcPr>
            <w:tcW w:w="5360" w:type="dxa"/>
            <w:vAlign w:val="bottom"/>
            <w:tcBorders>
              <w:top w:val="single" w:sz="8" w:color="CCEEFF"/>
              <w:bottom w:val="single" w:sz="8" w:color="CCEEFF"/>
            </w:tcBorders>
            <w:shd w:val="clear" w:color="auto" w:fill="CCEEFF"/>
          </w:tcPr>
          <w:p>
            <w:pPr>
              <w:spacing w:after="0"/>
              <w:rPr>
                <w:sz w:val="20"/>
                <w:szCs w:val="20"/>
                <w:color w:val="auto"/>
              </w:rPr>
            </w:pPr>
          </w:p>
        </w:tc>
        <w:tc>
          <w:tcPr>
            <w:tcW w:w="27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Measured on a Recurring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March 30, 2024 and April 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of March 30, 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0" w:type="dxa"/>
            <w:vAlign w:val="bottom"/>
          </w:tcPr>
          <w:p>
            <w:pPr>
              <w:spacing w:after="0"/>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2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18"/>
        </w:trPr>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46,315</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8"/>
        </w:trPr>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April 1, 2023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5"/>
        </w:trPr>
        <w:tc>
          <w:tcPr>
            <w:tcW w:w="62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132,341</w:t>
            </w:r>
          </w:p>
        </w:tc>
        <w:tc>
          <w:tcPr>
            <w:tcW w:w="0" w:type="dxa"/>
            <w:vAlign w:val="bottom"/>
          </w:tcPr>
          <w:p>
            <w:pPr>
              <w:spacing w:after="0"/>
              <w:rPr>
                <w:sz w:val="1"/>
                <w:szCs w:val="1"/>
                <w:color w:val="auto"/>
              </w:rPr>
            </w:pPr>
          </w:p>
        </w:tc>
      </w:tr>
      <w:tr>
        <w:trPr>
          <w:trHeight w:val="22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43"/>
        </w:trPr>
        <w:tc>
          <w:tcPr>
            <w:tcW w:w="6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135,154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43"/>
        </w:trPr>
        <w:tc>
          <w:tcPr>
            <w:tcW w:w="6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and is measured based on the probability-weighted present value of the payments expected to be made. Accordingly, the fair value of contingent consideration has been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48"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The fair value of the 2026 Notes as of March 30, 2024 was $460.1 million, which was determined by using the market price on the last trading day of the reporting period and is considered as level 2 in the fair value hierarchy.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unsecured term loan (which is carried at amortized cost), accounts receivable and accounts payable approximate fair value.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RETIREMENT PLANS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4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has a Savings Plus Plan (the “401k Plan”) that allows its U.S. employees to accumulate savings on a pre-tax basis. In addition, matching contributions are made to the 401k Plan based upon pre-established rates. The Company’s matching contributions amounted to approximately $8.1 million, $6.9 million and $6.3 million in fiscal 2024, 2023 and 2022, respectively. Upon the Company’s Board of Directors’ approval, additional discretionary contributions can also be made. No discretionary contributions were made for the 401k Plan in fiscal 2024, 2023, or 2022.</w:t>
      </w:r>
    </w:p>
    <w:p>
      <w:pPr>
        <w:spacing w:after="0" w:line="20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Some of the Company’s subsidiaries also have defined contribution plans, to which both the employee and the employer make contributions. The employer contributions to these plans totaled $0.7 million, $0.6 million and $0.6 million in fiscal 2024, 2023 and 2022,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24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ASC Topic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w:t>
      </w:r>
    </w:p>
    <w:p>
      <w:pPr>
        <w:spacing w:after="0" w:line="2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spacing w:after="0" w:line="204"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8"/>
          <w:szCs w:val="18"/>
          <w:color w:val="auto"/>
        </w:rPr>
        <w:t>Some of the Company’s foreign subsidiaries have defined benefit pension plans covering substantially all full time employees at those subsidiaries. Net periodic benefit costs for the plans in the aggregate include the following components:</w:t>
      </w:r>
    </w:p>
    <w:tbl>
      <w:tblPr>
        <w:tblLayout w:type="fixed"/>
        <w:tblInd w:w="0" w:type="dxa"/>
        <w:tblCellMar>
          <w:top w:w="0" w:type="dxa"/>
          <w:left w:w="0" w:type="dxa"/>
          <w:bottom w:w="0" w:type="dxa"/>
          <w:right w:w="0" w:type="dxa"/>
        </w:tblCellMar>
      </w:tblPr>
      <w:tr>
        <w:trPr>
          <w:trHeight w:val="18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prior service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43"/>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under those defined benefit plans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300" w:type="dxa"/>
            <w:vAlign w:val="bottom"/>
          </w:tcPr>
          <w:p>
            <w:pPr>
              <w:spacing w:after="0"/>
              <w:rPr>
                <w:sz w:val="13"/>
                <w:szCs w:val="13"/>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8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(25,465)</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(30,410)</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and plan participants contribution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settlements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changes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 of year</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(25,465)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contributions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plan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and plan participants contribution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settlements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changes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line="239" w:lineRule="exact"/>
              <w:rPr>
                <w:sz w:val="20"/>
                <w:szCs w:val="20"/>
                <w:color w:val="auto"/>
              </w:rPr>
            </w:pPr>
            <w:r>
              <w:rPr>
                <w:rFonts w:ascii="Times New Roman" w:cs="Times New Roman" w:eastAsia="Times New Roman" w:hAnsi="Times New Roman"/>
                <w:sz w:val="18"/>
                <w:szCs w:val="18"/>
                <w:color w:val="auto"/>
              </w:rPr>
              <w:t>Funded Status</w:t>
            </w:r>
            <w:r>
              <w:rPr>
                <w:rFonts w:ascii="Times New Roman" w:cs="Times New Roman" w:eastAsia="Times New Roman" w:hAnsi="Times New Roman"/>
                <w:sz w:val="22"/>
                <w:szCs w:val="22"/>
                <w:color w:val="auto"/>
                <w:vertAlign w:val="superscript"/>
              </w:rPr>
              <w: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40" w:type="dxa"/>
            <w:vAlign w:val="bottom"/>
            <w:vMerge w:val="continue"/>
          </w:tcPr>
          <w:p>
            <w:pPr>
              <w:spacing w:after="0"/>
              <w:rPr>
                <w:sz w:val="17"/>
                <w:szCs w:val="17"/>
                <w:color w:val="auto"/>
              </w:rPr>
            </w:pPr>
          </w:p>
        </w:tc>
        <w:tc>
          <w:tcPr>
            <w:tcW w:w="260" w:type="dxa"/>
            <w:vAlign w:val="bottom"/>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(10,472)</w:t>
            </w:r>
          </w:p>
        </w:tc>
        <w:tc>
          <w:tcPr>
            <w:tcW w:w="100" w:type="dxa"/>
            <w:vAlign w:val="bottom"/>
          </w:tcPr>
          <w:p>
            <w:pPr>
              <w:spacing w:after="0"/>
              <w:rPr>
                <w:sz w:val="17"/>
                <w:szCs w:val="17"/>
                <w:color w:val="auto"/>
              </w:rPr>
            </w:pPr>
          </w:p>
        </w:tc>
        <w:tc>
          <w:tcPr>
            <w:tcW w:w="30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(7,002)</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actuarial gain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amount recognized</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Substantially all of the unfunded status is non-current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One of the benefit plans is funded by benefit payments made by the Company through the purchase of reinsurance contracts that do not qualify as plan assets under ASC Topic 715. Accordingly, that plan has no assets included in the information presented above. The total asset value associated with the reinsurance contracts was $7.0 million and $7.1 million at March 30, 2024 and April 1, 2023, respectively. The total liability for this plan, which is included in the table above, was $7.8 million and $7.5 million as of March 30, 2024 and April 1, 2023, respectively.</w:t>
      </w:r>
    </w:p>
    <w:p>
      <w:pPr>
        <w:spacing w:after="0" w:line="20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The accumulated benefit obligation for all plans was $30.1 million and $25.2 million for fiscal 2024 and 2023, respectively. There were no plans where the plan assets were greater than the accumulated benefit obligation as of March 30, 2024 and April 1,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components of the change recorded in the Company’s accumulated other comprehensive loss related to its defined benefit plans, net of tax,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 2021</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 2022</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1, 2023</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30, 2024</w:t>
            </w: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amortize $0.2 million from accumulated other comprehensive loss to net periodic benefit cost during fiscal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rates used to determine the net periodic benefit costs and projected benefit obligations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4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25"/>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increased salary levels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25"/>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0.69 %</w:t>
            </w:r>
          </w:p>
        </w:tc>
      </w:tr>
    </w:tbl>
    <w:p>
      <w:pPr>
        <w:spacing w:after="0" w:line="3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other material obligation for post-retirement or post-employment benefits.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 policy for pension plans is to balance risk and return through a diversified portfolio to reduce interest rate and market risk.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are managed so that sufficient liquidity exists to meet immediate and future benefit payment requirements.</w:t>
      </w:r>
    </w:p>
    <w:p>
      <w:pPr>
        <w:spacing w:after="0" w:line="2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provides guidance for reporting and measuring the plan assets of the Company’s defined benefit pension plan at fair value as of March 30, 2024. Using the same three-level valuation hierarchy for disclosure of fair value measurements as described in Note 13,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all of the assets of the Company’s plan are classified within Level 2 of the fair value hierarchy because the plan assets are primarily insurance contracts.</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Expected benefit payments for both plans are estimated using the same assumptions used in determining the Company’s benefit obligation at March 30, 2024. Benefit payments will depend on future employment and compensation levels, average years employed and average life spans, among other factors, and changes in any of these factors could significantly affect these estimated future benefit payments. Estimated future benefit payments are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53"/>
        </w:trPr>
        <w:tc>
          <w:tcPr>
            <w:tcW w:w="1200" w:type="dxa"/>
            <w:vAlign w:val="bottom"/>
            <w:tcBorders>
              <w:top w:val="single" w:sz="8" w:color="0000FF"/>
            </w:tcBorders>
          </w:tcPr>
          <w:p>
            <w:pPr>
              <w:spacing w:after="0"/>
              <w:rPr>
                <w:sz w:val="22"/>
                <w:szCs w:val="22"/>
                <w:color w:val="auto"/>
              </w:rPr>
            </w:pPr>
          </w:p>
        </w:tc>
        <w:tc>
          <w:tcPr>
            <w:tcW w:w="780" w:type="dxa"/>
            <w:vAlign w:val="bottom"/>
          </w:tcPr>
          <w:p>
            <w:pPr>
              <w:spacing w:after="0"/>
              <w:rPr>
                <w:sz w:val="22"/>
                <w:szCs w:val="22"/>
                <w:color w:val="auto"/>
              </w:rPr>
            </w:pPr>
          </w:p>
        </w:tc>
        <w:tc>
          <w:tcPr>
            <w:tcW w:w="8300" w:type="dxa"/>
            <w:vAlign w:val="bottom"/>
          </w:tcPr>
          <w:p>
            <w:pPr>
              <w:jc w:val="right"/>
              <w:ind w:right="2352"/>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tc>
        <w:tc>
          <w:tcPr>
            <w:tcW w:w="940" w:type="dxa"/>
            <w:vAlign w:val="bottom"/>
          </w:tcPr>
          <w:p>
            <w:pPr>
              <w:spacing w:after="0"/>
              <w:rPr>
                <w:sz w:val="22"/>
                <w:szCs w:val="22"/>
                <w:color w:val="auto"/>
              </w:rPr>
            </w:pPr>
          </w:p>
        </w:tc>
      </w:tr>
      <w:tr>
        <w:trPr>
          <w:trHeight w:val="311"/>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300" w:type="dxa"/>
            <w:vAlign w:val="bottom"/>
          </w:tcPr>
          <w:p>
            <w:pPr>
              <w:jc w:val="right"/>
              <w:ind w:right="167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940" w:type="dxa"/>
            <w:vAlign w:val="bottom"/>
          </w:tcPr>
          <w:p>
            <w:pPr>
              <w:spacing w:after="0"/>
              <w:rPr>
                <w:sz w:val="24"/>
                <w:szCs w:val="24"/>
                <w:color w:val="auto"/>
              </w:rPr>
            </w:pPr>
          </w:p>
        </w:tc>
      </w:tr>
      <w:tr>
        <w:trPr>
          <w:trHeight w:val="59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
        </w:trPr>
        <w:tc>
          <w:tcPr>
            <w:tcW w:w="1980" w:type="dxa"/>
            <w:vAlign w:val="bottom"/>
            <w:gridSpan w:val="2"/>
          </w:tcPr>
          <w:p>
            <w:pPr>
              <w:spacing w:after="0"/>
              <w:rPr>
                <w:sz w:val="2"/>
                <w:szCs w:val="2"/>
                <w:color w:val="auto"/>
              </w:rPr>
            </w:pPr>
          </w:p>
        </w:tc>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83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25"/>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83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5"/>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83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25"/>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83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25"/>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83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31"/>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2030-2034</w:t>
            </w:r>
          </w:p>
        </w:tc>
        <w:tc>
          <w:tcPr>
            <w:tcW w:w="83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contributions for fiscal 2025 are expected to be consistent with the current year.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4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2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During the third quarter of fiscal 2021, the Company received a subpoena from the U.S. Attorney’s Office for the District of Massachusetts. The subpoena requested certain documents regarding the Company’s apheresis and autotransfusion devices and disposables, including documents relating to product complaints and adverse event reporting, regulatory clearances and product design changes, among other matters. The Company has fully cooperated with this inquiry. On August 16, 2022, the U.S. Department of Justice (“DOJ”) filed a motion on behalf of the United States and 31 states reflecting their decision to not intervene in the underlying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captioned </w:t>
      </w:r>
      <w:r>
        <w:rPr>
          <w:rFonts w:ascii="Times New Roman" w:cs="Times New Roman" w:eastAsia="Times New Roman" w:hAnsi="Times New Roman"/>
          <w:sz w:val="18"/>
          <w:szCs w:val="18"/>
          <w:i w:val="1"/>
          <w:iCs w:val="1"/>
          <w:color w:val="auto"/>
        </w:rPr>
        <w:t>United States ex rel. Berthelot et al. v. Haemonetics Corp.,</w:t>
      </w:r>
      <w:r>
        <w:rPr>
          <w:rFonts w:ascii="Times New Roman" w:cs="Times New Roman" w:eastAsia="Times New Roman" w:hAnsi="Times New Roman"/>
          <w:sz w:val="18"/>
          <w:szCs w:val="18"/>
          <w:color w:val="auto"/>
        </w:rPr>
        <w:t xml:space="preserve"> 1:20-cv-11062-ADB, pending in the U.S. District Court for the District of Massachusetts, indicating that the DOJ had completed its investigative activity based on then available information. The </w:t>
      </w:r>
      <w:r>
        <w:rPr>
          <w:rFonts w:ascii="Times New Roman" w:cs="Times New Roman" w:eastAsia="Times New Roman" w:hAnsi="Times New Roman"/>
          <w:sz w:val="18"/>
          <w:szCs w:val="18"/>
          <w:i w:val="1"/>
          <w:iCs w:val="1"/>
          <w:color w:val="auto"/>
        </w:rPr>
        <w:t>qui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tam </w:t>
      </w:r>
      <w:r>
        <w:rPr>
          <w:rFonts w:ascii="Times New Roman" w:cs="Times New Roman" w:eastAsia="Times New Roman" w:hAnsi="Times New Roman"/>
          <w:sz w:val="18"/>
          <w:szCs w:val="18"/>
          <w:color w:val="auto"/>
        </w:rPr>
        <w:t>case was unsealed by order dated August 18, 2022. On January 12, 2024, the Company entered into an agreement with the individual plaintiffs in the</w:t>
      </w:r>
      <w:r>
        <w:rPr>
          <w:rFonts w:ascii="Times New Roman" w:cs="Times New Roman" w:eastAsia="Times New Roman" w:hAnsi="Times New Roman"/>
          <w:sz w:val="18"/>
          <w:szCs w:val="18"/>
          <w:i w:val="1"/>
          <w:iCs w:val="1"/>
          <w:color w:val="auto"/>
        </w:rPr>
        <w:t xml:space="preserve"> qui tam </w:t>
      </w:r>
      <w:r>
        <w:rPr>
          <w:rFonts w:ascii="Times New Roman" w:cs="Times New Roman" w:eastAsia="Times New Roman" w:hAnsi="Times New Roman"/>
          <w:sz w:val="18"/>
          <w:szCs w:val="18"/>
          <w:color w:val="auto"/>
        </w:rPr>
        <w:t>case that provides for settlement of certain unrelated employment matters and releases those individuals’ claims. During fiscal 2024,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recorded an additional loss contingency related to this matter, which did not have a material impact on its consolidated financial statements. On January 16, 2024, the relators in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case filed a stipulation of dismissal of their claims against the Company. The court dismissed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claims with prejudice as to the relators and without prejudice as to the government.</w:t>
      </w:r>
    </w:p>
    <w:p>
      <w:pPr>
        <w:spacing w:after="0" w:line="21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 xml:space="preserve">In the fourth quarter of fiscal 2021, a putative class action complaint was filed against the Company in the Circuit Court of Cook County, Illinois by Mary Crumpton, on behalf of herself and similarly situated individuals. The Company removed the case to the United States District Court for the Northern District Illinois. See </w:t>
      </w:r>
      <w:r>
        <w:rPr>
          <w:rFonts w:ascii="Times New Roman" w:cs="Times New Roman" w:eastAsia="Times New Roman" w:hAnsi="Times New Roman"/>
          <w:sz w:val="18"/>
          <w:szCs w:val="18"/>
          <w:i w:val="1"/>
          <w:iCs w:val="1"/>
          <w:color w:val="auto"/>
        </w:rPr>
        <w:t>Mary Crumpton v. Haemonetics Corporation, Case No. 1:21-cv-1402</w:t>
      </w:r>
      <w:r>
        <w:rPr>
          <w:rFonts w:ascii="Times New Roman" w:cs="Times New Roman" w:eastAsia="Times New Roman" w:hAnsi="Times New Roman"/>
          <w:sz w:val="18"/>
          <w:szCs w:val="18"/>
          <w:color w:val="auto"/>
        </w:rPr>
        <w:t>. In her complaint, the plaintiff asserts that between June 2017 and August 2018 she donated plasma at a center operated by one of the Company’s customers, that the center required her to scan her fingerprint on a finger scanner that stored her fingerprint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failure to state a claim and a motion to stay. In March 2022, the court denied the Company’s motion to dismiss for lack of personal jurisdiction but did not address the merits of the Company’s other positions. In March 2023, the Company filed a second motion to dismiss the complaint, which is pending before the court. During the second quarter of fiscal 2024, the Company entered into a Memorandum of Understanding providing terms that would resolve the litigation and recorded an additional loss contingency related to this matter. In the third quarter of fiscal 2024, the parties requested preliminary court approval of a final settlement agreement, which was granted in February 2024, and the Company recorded an immaterial additional loss contingency related to settlement administration, resulting in an accrual of $8.7 million within Other current liabilities in its consolidated balance sheets. In March 2024, notice of the settlement was mailed to class members and the parties are now awaiting the complete administration of the settlement through the third-party administrator.</w:t>
      </w:r>
    </w:p>
    <w:p>
      <w:pPr>
        <w:spacing w:after="0" w:line="22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2024, a complaint was filed in the U.S. District Court for the District of Delaware by Knoninklijke Philips N.V. and IP2IPO Innovations, Ltd. (together, the “Plaintiffs”) against OpSens, OpSens Medical, Inc., a wholly-owned subsidiary of OpSens, and Haemonetics (1:24-cv-00206-CFC). The complaint alleges, inter alia, that OpSens’ interventional cardiology systems, including its OptoWire and OptoMonitor technology, infringe a single patent held by the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Plaintiffs and seeks both injunctive relief and damages. The Company believes it has valid and meritorious defenses to the complaint and plans to vigorously defend against the complaint if and when served.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Recall</w:t>
      </w:r>
    </w:p>
    <w:p>
      <w:pPr>
        <w:spacing w:after="0" w:line="246"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In August 2023, the Company issued a voluntary recall of certain products within the Whole Blood portion of our Blood Center business unit sold to customers in the U.S. and certain foreign jurisdictions. As of March 30, 2024, the Company has recorded cumulative charges of $6.8 million related to inventory, returns and customer claims associated with this recall. The Company continues to evaluate the impact of this recall and may record additional incremental charges in future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CAPITAL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4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The Haemonetics Corporation 2019 Long-Term Incentive Compensation Plan (the “2019 Equity Plan”) was approved and became effective on July 25, 2019 (the “Effective Date”). The 2019 Equity Plan permits the award of incentive stock options, non-qualified stock options, stock appreciation rights (“SARs”), restricted stock, restricted stock units (including performance-based restricted stock units) and other awards to the Company’s key employees, non-employee directors and certain consultants and advisors of the Company and its subsidiaries. The 2019 Equity Plan is administered by the Compensation Committee of the Board of Directors (the “Committee”), which consists of four independent members of the Company’s Board of Directors, and is the successor to the Haemonetics Corporation 2005 Long-Term Incentive Compensation Plan, as amended (the “2005 Equity Plan”). Upon the Effective Date, no further awards were granted under the 2005 Equity Plan; however, each outstanding award under the 2005 Equity Plan will remain outstanding under that plan and continue to be governed under its terms and any applicable award agreement.</w:t>
      </w:r>
    </w:p>
    <w:p>
      <w:pPr>
        <w:spacing w:after="0" w:line="20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8"/>
          <w:szCs w:val="18"/>
          <w:color w:val="auto"/>
        </w:rPr>
        <w:t>The 2019 Equity Plan initially had a share reserve of 2,700,000 new shares of common stock, plus the number of shares of common stock reserved for issuance under the 2005 Plan that remained available for grant under the 2005 Plan as of July 25, 2019, an aggregate of 5,759,433 shares as of the Effective Date.</w:t>
      </w:r>
    </w:p>
    <w:p>
      <w:pPr>
        <w:spacing w:after="0" w:line="20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18"/>
          <w:szCs w:val="18"/>
          <w:color w:val="auto"/>
        </w:rPr>
        <w:t>On August 4, 2023, the 2019 Equity Plan was amended and restated to increase the number of shares available for issuance under the Plan by 2,966,231 additional shares, from 1,975,970 shares to 4,942,201 shares of common stock, subject to adjustment as provided by the terms of the 2019 Equity Plan, as amended and restated.</w:t>
      </w:r>
    </w:p>
    <w:p>
      <w:pPr>
        <w:spacing w:after="0" w:line="20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Under the 2019 Equity Plan, as amended and restated, any shares that are subject to the award of stock options or SARs will be counted against the authorized share reserve as one share for every one share issued and any shares that are subject to awards other than stock options, SARs or cash awards will be counted against the authorized share reserve as 2.76 shares for every one share granted. Shares of common stock subject to outstanding grants under the 2005 Equity Plan as of the Effective Date that terminate, expire, or are otherwise canceled without having been exercised will be added to the share reserve at the applicable 2019 Equity Plan ratios. The total shares available for future grant under the 2019 Equity Plan, as amended and restated and giving effect to the applicable adjustment provisions, were 5,340,447 as of March 30,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8"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Compensation cost related to share-based transactions is recognized in the consolidated financial statements based on fair value. The total amount of share-based compensation expense, which is recorded on a straight line basis,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74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$25,583</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00" w:type="dxa"/>
            <w:vAlign w:val="bottom"/>
            <w:vMerge w:val="restart"/>
          </w:tcPr>
          <w:p>
            <w:pPr>
              <w:jc w:val="right"/>
              <w:ind w:right="856"/>
              <w:spacing w:after="0"/>
              <w:rPr>
                <w:sz w:val="20"/>
                <w:szCs w:val="20"/>
                <w:color w:val="auto"/>
              </w:rPr>
            </w:pPr>
            <w:r>
              <w:rPr>
                <w:rFonts w:ascii="Times New Roman" w:cs="Times New Roman" w:eastAsia="Times New Roman" w:hAnsi="Times New Roman"/>
                <w:sz w:val="18"/>
                <w:szCs w:val="18"/>
                <w:color w:val="auto"/>
              </w:rPr>
              <w:t>90</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3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6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Options are granted to purchase common stock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fiscal year ended March 30, 2024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4"/>
        </w:trPr>
        <w:tc>
          <w:tcPr>
            <w:tcW w:w="5100" w:type="dxa"/>
            <w:vAlign w:val="bottom"/>
          </w:tcPr>
          <w:p>
            <w:pPr>
              <w:spacing w:after="0"/>
              <w:rPr>
                <w:sz w:val="12"/>
                <w:szCs w:val="12"/>
                <w:color w:val="auto"/>
              </w:rPr>
            </w:pPr>
          </w:p>
        </w:tc>
        <w:tc>
          <w:tcPr>
            <w:tcW w:w="14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5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80" w:type="dxa"/>
            <w:vAlign w:val="bottom"/>
          </w:tcPr>
          <w:p>
            <w:pPr>
              <w:jc w:val="center"/>
              <w:ind w:right="181"/>
              <w:spacing w:after="0" w:line="144"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5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180" w:type="dxa"/>
            <w:vAlign w:val="bottom"/>
          </w:tcPr>
          <w:p>
            <w:pPr>
              <w:jc w:val="center"/>
              <w:ind w:right="161"/>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6"/>
                <w:szCs w:val="16"/>
                <w:color w:val="auto"/>
              </w:rPr>
            </w:pPr>
          </w:p>
        </w:tc>
        <w:tc>
          <w:tcPr>
            <w:tcW w:w="11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27,481</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1,067,004</w:t>
            </w:r>
          </w:p>
        </w:tc>
        <w:tc>
          <w:tcPr>
            <w:tcW w:w="3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16,820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30,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561,037</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March 30,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983,780</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$12.4 million, $1.9 million and $1.7 million during fiscal 2024, 2023 and 2022, respectively.</w:t>
      </w:r>
    </w:p>
    <w:p>
      <w:pPr>
        <w:spacing w:after="0" w:line="244"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8"/>
          <w:szCs w:val="18"/>
          <w:color w:val="auto"/>
        </w:rPr>
        <w:t>As of March 30, 2024, there was $10.3 million of total unrecognized compensation cost related to non-vested stock options. This cost is expected to be recognized over a weighted average period of 2.5 years.</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fair value was estimated using the Black-Scholes option-pricing model based on the closing stock price at the grant date and the weighted average assumptions specific to the underlying options. Expected volatility assumptions are based on the historical volatility of the Company’s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utilized for option grants during the periods presented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Option</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20.97</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Restricted Stock Units (“RSUs”) generally vest in equal installments over a three or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fiscal year ended March 30, 2024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360" w:type="dxa"/>
            <w:vAlign w:val="bottom"/>
          </w:tcPr>
          <w:p>
            <w:pPr>
              <w:spacing w:after="0"/>
              <w:rPr>
                <w:sz w:val="12"/>
                <w:szCs w:val="12"/>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338,008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and total fair value of RSUs vested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7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RSU</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r>
      <w:tr>
        <w:trPr>
          <w:trHeight w:val="23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RSUs vested</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r>
    </w:tbl>
    <w:p>
      <w:pPr>
        <w:spacing w:after="0" w:line="29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March 30, 2024, there was $15.7 million of total unrecognized compensation cost related to non-vested restricted stock units. This cost is expected to be recognized over a weighted average period of 2.0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4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grant date fair value of Performance Share Units (“PSUs”), adjusted for estimated forfeitures, is recognized as expense on a straight line basis from the grant date through the end of the performance period. The value of these PSUs is generally based on relative total shareholder return which equals total shareholder return for the Company as compared with total shareholder return of the PSU comparison group, measured over a three year performance period. The PSUs comparison group consists of the Standard and Poor's (“S&amp;P”) MidCap 400 Index. Depending on the Company’s relative performance during the performance period, a recipient of the award is entitled to receive a number of ordinary shares equal to a percentage, ranging from 0% to 200%, of the award granted. If the Company’s total shareholder return for the performance period is negative, then any share payout will be capped at 100% of the target award, regardless of the Company’s performance relative to the its comparison group. As a result, the Company may issue up to 739,600 shares related to outstanding performance-based awards.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for the fiscal year ended March 30, 2024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1"/>
        </w:trPr>
        <w:tc>
          <w:tcPr>
            <w:tcW w:w="8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March 30, 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369,800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94.26</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60" w:hanging="136"/>
        <w:spacing w:after="0"/>
        <w:tabs>
          <w:tab w:leader="none" w:pos="1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the adjustment of 59,091 shares for awards granted in fiscal 2021, based on actual relative total shareholder return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-86995</wp:posOffset>
            </wp:positionV>
            <wp:extent cx="698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36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Company uses the Monte Carlo model to estimate the probability of satisfying the performance criteria and the resulting fair value of PSU awards with market conditions. The assumptions used in the Monte Carlo model for PSUs granted during each fiscal year were as follows:</w:t>
      </w:r>
    </w:p>
    <w:tbl>
      <w:tblPr>
        <w:tblLayout w:type="fixed"/>
        <w:tblInd w:w="0" w:type="dxa"/>
        <w:tblCellMar>
          <w:top w:w="0" w:type="dxa"/>
          <w:left w:w="0" w:type="dxa"/>
          <w:bottom w:w="0" w:type="dxa"/>
          <w:right w:w="0" w:type="dxa"/>
        </w:tblCellMar>
      </w:tblPr>
      <w:tr>
        <w:trPr>
          <w:trHeight w:val="186"/>
        </w:trPr>
        <w:tc>
          <w:tcPr>
            <w:tcW w:w="7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48.20 %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49.23 %</w:t>
            </w:r>
          </w:p>
        </w:tc>
      </w:tr>
      <w:tr>
        <w:trPr>
          <w:trHeight w:val="22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Peer group stock price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40.29 %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45.75 %</w:t>
            </w:r>
          </w:p>
        </w:tc>
      </w:tr>
      <w:tr>
        <w:trPr>
          <w:trHeight w:val="225"/>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Correlation of returns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59.93 %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PSUs granted is as follows: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PSU</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72.52</w:t>
            </w:r>
          </w:p>
        </w:tc>
      </w:tr>
    </w:tbl>
    <w:p>
      <w:pPr>
        <w:spacing w:after="0" w:line="3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March 30, 2024, there was $18.1 million of total unrecognized compensation cost related to non-vested performance share units. This cost is expected to be recognized over a weighted average period of 1.7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its full-time employees are eligible to participate in the Purchase Plan.</w:t>
      </w:r>
    </w:p>
    <w:p>
      <w:pPr>
        <w:spacing w:after="0" w:line="20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Purchase Plan provides for two “purchase periods” within each of its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212"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The fair values of shares purchased under the Employee Stock Purchase Plan are estimated using the Black-Scholes single option-pricing model with the following weighted average assumptions:</w:t>
      </w:r>
    </w:p>
    <w:tbl>
      <w:tblPr>
        <w:tblLayout w:type="fixed"/>
        <w:tblInd w:w="0" w:type="dxa"/>
        <w:tblCellMar>
          <w:top w:w="0" w:type="dxa"/>
          <w:left w:w="0" w:type="dxa"/>
          <w:bottom w:w="0" w:type="dxa"/>
          <w:right w:w="0" w:type="dxa"/>
        </w:tblCellMar>
      </w:tblPr>
      <w:tr>
        <w:trPr>
          <w:trHeight w:val="186"/>
        </w:trPr>
        <w:tc>
          <w:tcPr>
            <w:tcW w:w="7360" w:type="dxa"/>
            <w:vAlign w:val="bottom"/>
            <w:gridSpan w:val="2"/>
          </w:tcPr>
          <w:p>
            <w:pPr>
              <w:ind w:left="70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4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25"/>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1"/>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9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weighted average grant date fair value of the six-month option inherent in the Purchase Plan was approximately $20.27, $18.10 and $20.77 during fiscal 2024, 2023 and 2022,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ACCUMULATED OTHER COMPREHENSIVE LOSS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roll-forward of the components of accumulated other comprehensive loss, net of tax, for the years ended March 30, 2024 and April 1,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(Loss) on Derivatives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2, 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(27,919)</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(25,954)</w:t>
            </w:r>
          </w:p>
        </w:tc>
        <w:tc>
          <w:tcPr>
            <w:tcW w:w="0" w:type="dxa"/>
            <w:vAlign w:val="bottom"/>
          </w:tcPr>
          <w:p>
            <w:pPr>
              <w:spacing w:after="0"/>
              <w:rPr>
                <w:sz w:val="1"/>
                <w:szCs w:val="1"/>
                <w:color w:val="auto"/>
              </w:rPr>
            </w:pPr>
          </w:p>
        </w:tc>
      </w:tr>
      <w:tr>
        <w:trPr>
          <w:trHeight w:val="218"/>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25"/>
        </w:trPr>
        <w:tc>
          <w:tcPr>
            <w:tcW w:w="53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0" w:type="dxa"/>
            <w:vAlign w:val="bottom"/>
          </w:tcPr>
          <w:p>
            <w:pPr>
              <w:spacing w:after="0"/>
              <w:rPr>
                <w:sz w:val="1"/>
                <w:szCs w:val="1"/>
                <w:color w:val="auto"/>
              </w:rPr>
            </w:pPr>
          </w:p>
        </w:tc>
      </w:tr>
      <w:tr>
        <w:trPr>
          <w:trHeight w:val="218"/>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25"/>
        </w:trPr>
        <w:tc>
          <w:tcPr>
            <w:tcW w:w="53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19"/>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(38,274)</w:t>
            </w:r>
          </w:p>
        </w:tc>
        <w:tc>
          <w:tcPr>
            <w:tcW w:w="100" w:type="dxa"/>
            <w:vAlign w:val="bottom"/>
          </w:tcPr>
          <w:p>
            <w:pPr>
              <w:spacing w:after="0"/>
              <w:rPr>
                <w:sz w:val="21"/>
                <w:szCs w:val="21"/>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12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-14605</wp:posOffset>
            </wp:positionV>
            <wp:extent cx="37020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ind w:left="160" w:hanging="136"/>
        <w:spacing w:after="0" w:line="217" w:lineRule="auto"/>
        <w:tabs>
          <w:tab w:leader="none" w:pos="16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-101600</wp:posOffset>
            </wp:positionV>
            <wp:extent cx="37020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AND ENTERPRISE-WIDE INFORMATION</w:t>
      </w:r>
    </w:p>
    <w:p>
      <w:pPr>
        <w:spacing w:after="0" w:line="2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and operating segments are as follows:</w:t>
      </w:r>
    </w:p>
    <w:p>
      <w:pPr>
        <w:spacing w:after="0" w:line="124"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22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amortization of acquired intangible assets, restructuring costs, restructuring related costs, digital transformation costs related to the upgrade of our enterprise resource planning system, impairments and write downs,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6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565,399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351,945</w:t>
            </w: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294,541</w:t>
            </w:r>
          </w:p>
        </w:tc>
      </w:tr>
      <w:tr>
        <w:trPr>
          <w:trHeight w:val="225"/>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321,580</w:t>
            </w: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968,066</w:t>
            </w:r>
          </w:p>
        </w:tc>
      </w:tr>
      <w:tr>
        <w:trPr>
          <w:trHeight w:val="225"/>
        </w:trPr>
        <w:tc>
          <w:tcPr>
            <w:tcW w:w="672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Service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20,811</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1,309,055</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1,168,660</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993,196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-14605</wp:posOffset>
            </wp:positionV>
            <wp:extent cx="28606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ind w:left="160" w:hanging="136"/>
        <w:spacing w:after="0" w:line="217" w:lineRule="auto"/>
        <w:tabs>
          <w:tab w:leader="none" w:pos="16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-101600</wp:posOffset>
            </wp:positionV>
            <wp:extent cx="28606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5"/>
        </w:trPr>
        <w:tc>
          <w:tcPr>
            <w:tcW w:w="69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278,580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183,131</w:t>
            </w:r>
          </w:p>
        </w:tc>
      </w:tr>
      <w:tr>
        <w:trPr>
          <w:trHeight w:val="22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136,691</w:t>
            </w:r>
          </w:p>
        </w:tc>
      </w:tr>
      <w:tr>
        <w:trPr>
          <w:trHeight w:val="225"/>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129,783</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449,605</w:t>
            </w:r>
          </w:p>
        </w:tc>
      </w:tr>
      <w:tr>
        <w:trPr>
          <w:trHeight w:val="225"/>
        </w:trPr>
        <w:tc>
          <w:tcPr>
            <w:tcW w:w="694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(281,476)</w:t>
            </w:r>
          </w:p>
        </w:tc>
      </w:tr>
      <w:tr>
        <w:trPr>
          <w:trHeight w:val="225"/>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fair value inventory step-up</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Integration and transaction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transformation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 downs of certain in-process intangible assets and PCS2 related charges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MDR and IVDR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Litigation-related charges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divestiture and sale of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164,883</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156,033</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168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ind w:left="20" w:right="420" w:firstLine="4"/>
        <w:spacing w:after="0"/>
        <w:tabs>
          <w:tab w:leader="none" w:pos="162"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-113665</wp:posOffset>
            </wp:positionV>
            <wp:extent cx="27343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business unit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24"/>
        </w:trPr>
        <w:tc>
          <w:tcPr>
            <w:tcW w:w="6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9"/>
        </w:trPr>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565,944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496,923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351,347</w:t>
            </w:r>
          </w:p>
        </w:tc>
        <w:tc>
          <w:tcPr>
            <w:tcW w:w="60" w:type="dxa"/>
            <w:vAlign w:val="bottom"/>
            <w:shd w:val="clear" w:color="auto" w:fill="CCEEFF"/>
          </w:tcPr>
          <w:p>
            <w:pPr>
              <w:spacing w:after="0"/>
              <w:rPr>
                <w:sz w:val="19"/>
                <w:szCs w:val="19"/>
                <w:color w:val="auto"/>
              </w:rPr>
            </w:pPr>
          </w:p>
        </w:tc>
      </w:tr>
      <w:tr>
        <w:trPr>
          <w:trHeight w:val="146"/>
        </w:trPr>
        <w:tc>
          <w:tcPr>
            <w:tcW w:w="6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25"/>
        </w:trPr>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Apheresis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221,878</w:t>
            </w:r>
          </w:p>
        </w:tc>
        <w:tc>
          <w:tcPr>
            <w:tcW w:w="60" w:type="dxa"/>
            <w:vAlign w:val="bottom"/>
            <w:shd w:val="clear" w:color="auto" w:fill="CCEEFF"/>
          </w:tcPr>
          <w:p>
            <w:pPr>
              <w:spacing w:after="0"/>
              <w:rPr>
                <w:sz w:val="19"/>
                <w:szCs w:val="19"/>
                <w:color w:val="auto"/>
              </w:rPr>
            </w:pPr>
          </w:p>
        </w:tc>
      </w:tr>
      <w:tr>
        <w:trPr>
          <w:trHeight w:val="225"/>
        </w:trPr>
        <w:tc>
          <w:tcPr>
            <w:tcW w:w="66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Whole Blood</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72,058</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76,634</w:t>
            </w:r>
          </w:p>
        </w:tc>
        <w:tc>
          <w:tcPr>
            <w:tcW w:w="60" w:type="dxa"/>
            <w:vAlign w:val="bottom"/>
            <w:tcBorders>
              <w:bottom w:val="single" w:sz="8" w:color="auto"/>
            </w:tcBorders>
          </w:tcPr>
          <w:p>
            <w:pPr>
              <w:spacing w:after="0"/>
              <w:rPr>
                <w:sz w:val="19"/>
                <w:szCs w:val="19"/>
                <w:color w:val="auto"/>
              </w:rPr>
            </w:pPr>
          </w:p>
        </w:tc>
      </w:tr>
      <w:tr>
        <w:trPr>
          <w:trHeight w:val="219"/>
        </w:trPr>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276,144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298,512</w:t>
            </w:r>
          </w:p>
        </w:tc>
        <w:tc>
          <w:tcPr>
            <w:tcW w:w="60" w:type="dxa"/>
            <w:vAlign w:val="bottom"/>
            <w:shd w:val="clear" w:color="auto" w:fill="CCEEFF"/>
          </w:tcPr>
          <w:p>
            <w:pPr>
              <w:spacing w:after="0"/>
              <w:rPr>
                <w:sz w:val="19"/>
                <w:szCs w:val="19"/>
                <w:color w:val="auto"/>
              </w:rPr>
            </w:pPr>
          </w:p>
        </w:tc>
      </w:tr>
      <w:tr>
        <w:trPr>
          <w:trHeight w:val="146"/>
        </w:trPr>
        <w:tc>
          <w:tcPr>
            <w:tcW w:w="6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25"/>
        </w:trPr>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Interventional Technologies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93,827</w:t>
            </w:r>
          </w:p>
        </w:tc>
        <w:tc>
          <w:tcPr>
            <w:tcW w:w="60" w:type="dxa"/>
            <w:vAlign w:val="bottom"/>
            <w:shd w:val="clear" w:color="auto" w:fill="CCEEFF"/>
          </w:tcPr>
          <w:p>
            <w:pPr>
              <w:spacing w:after="0"/>
              <w:rPr>
                <w:sz w:val="19"/>
                <w:szCs w:val="19"/>
                <w:color w:val="auto"/>
              </w:rPr>
            </w:pPr>
          </w:p>
        </w:tc>
      </w:tr>
      <w:tr>
        <w:trPr>
          <w:trHeight w:val="225"/>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Hemostasis Management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127,379</w:t>
            </w:r>
          </w:p>
        </w:tc>
        <w:tc>
          <w:tcPr>
            <w:tcW w:w="60" w:type="dxa"/>
            <w:vAlign w:val="bottom"/>
          </w:tcPr>
          <w:p>
            <w:pPr>
              <w:spacing w:after="0"/>
              <w:rPr>
                <w:sz w:val="19"/>
                <w:szCs w:val="19"/>
                <w:color w:val="auto"/>
              </w:rPr>
            </w:pPr>
          </w:p>
        </w:tc>
      </w:tr>
      <w:tr>
        <w:trPr>
          <w:trHeight w:val="225"/>
        </w:trPr>
        <w:tc>
          <w:tcPr>
            <w:tcW w:w="6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111,938</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106,160</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101,598</w:t>
            </w:r>
          </w:p>
        </w:tc>
        <w:tc>
          <w:tcPr>
            <w:tcW w:w="60" w:type="dxa"/>
            <w:vAlign w:val="bottom"/>
            <w:tcBorders>
              <w:bottom w:val="single" w:sz="8" w:color="auto"/>
            </w:tcBorders>
            <w:shd w:val="clear" w:color="auto" w:fill="CCEEFF"/>
          </w:tcPr>
          <w:p>
            <w:pPr>
              <w:spacing w:after="0"/>
              <w:rPr>
                <w:sz w:val="19"/>
                <w:szCs w:val="19"/>
                <w:color w:val="auto"/>
              </w:rPr>
            </w:pPr>
          </w:p>
        </w:tc>
      </w:tr>
      <w:tr>
        <w:trPr>
          <w:trHeight w:val="219"/>
        </w:trPr>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445,362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371,731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322,804</w:t>
            </w:r>
          </w:p>
        </w:tc>
        <w:tc>
          <w:tcPr>
            <w:tcW w:w="60" w:type="dxa"/>
            <w:vAlign w:val="bottom"/>
          </w:tcPr>
          <w:p>
            <w:pPr>
              <w:spacing w:after="0"/>
              <w:rPr>
                <w:sz w:val="19"/>
                <w:szCs w:val="19"/>
                <w:color w:val="auto"/>
              </w:rPr>
            </w:pPr>
          </w:p>
        </w:tc>
      </w:tr>
      <w:tr>
        <w:trPr>
          <w:trHeight w:val="146"/>
        </w:trPr>
        <w:tc>
          <w:tcPr>
            <w:tcW w:w="6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25"/>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business unit revenues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1,287,450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1,148,616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972,663</w:t>
            </w:r>
          </w:p>
        </w:tc>
        <w:tc>
          <w:tcPr>
            <w:tcW w:w="60" w:type="dxa"/>
            <w:vAlign w:val="bottom"/>
          </w:tcPr>
          <w:p>
            <w:pPr>
              <w:spacing w:after="0"/>
              <w:rPr>
                <w:sz w:val="19"/>
                <w:szCs w:val="19"/>
                <w:color w:val="auto"/>
              </w:rPr>
            </w:pPr>
          </w:p>
        </w:tc>
      </w:tr>
      <w:tr>
        <w:trPr>
          <w:trHeight w:val="225"/>
        </w:trPr>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60" w:type="dxa"/>
            <w:vAlign w:val="bottom"/>
            <w:tcBorders>
              <w:bottom w:val="single" w:sz="8" w:color="auto"/>
            </w:tcBorders>
            <w:shd w:val="clear" w:color="auto" w:fill="CCEEFF"/>
          </w:tcPr>
          <w:p>
            <w:pPr>
              <w:spacing w:after="0"/>
              <w:rPr>
                <w:sz w:val="19"/>
                <w:szCs w:val="19"/>
                <w:color w:val="auto"/>
              </w:rPr>
            </w:pP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1,309,055</w:t>
            </w: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1,168,660</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993,196</w:t>
            </w:r>
          </w:p>
        </w:tc>
        <w:tc>
          <w:tcPr>
            <w:tcW w:w="60" w:type="dxa"/>
            <w:vAlign w:val="bottom"/>
            <w:tcBorders>
              <w:bottom w:val="single" w:sz="8" w:color="auto"/>
            </w:tcBorders>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1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4"/>
                <w:szCs w:val="24"/>
                <w:color w:val="auto"/>
              </w:rPr>
            </w:pPr>
          </w:p>
        </w:tc>
      </w:tr>
      <w:tr>
        <w:trPr>
          <w:trHeight w:val="24"/>
        </w:trPr>
        <w:tc>
          <w:tcPr>
            <w:tcW w:w="66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66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3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60" w:type="dxa"/>
            <w:vAlign w:val="bottom"/>
          </w:tcPr>
          <w:p>
            <w:pPr>
              <w:spacing w:after="0"/>
              <w:rPr>
                <w:sz w:val="19"/>
                <w:szCs w:val="19"/>
                <w:color w:val="auto"/>
              </w:rPr>
            </w:pPr>
          </w:p>
        </w:tc>
        <w:tc>
          <w:tcPr>
            <w:tcW w:w="42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60" w:type="dxa"/>
            <w:vAlign w:val="bottom"/>
          </w:tcPr>
          <w:p>
            <w:pPr>
              <w:spacing w:after="0"/>
              <w:rPr>
                <w:sz w:val="19"/>
                <w:szCs w:val="19"/>
                <w:color w:val="auto"/>
              </w:rPr>
            </w:pPr>
          </w:p>
        </w:tc>
        <w:tc>
          <w:tcPr>
            <w:tcW w:w="42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60" w:type="dxa"/>
            <w:vAlign w:val="bottom"/>
          </w:tcPr>
          <w:p>
            <w:pPr>
              <w:spacing w:after="0"/>
              <w:rPr>
                <w:sz w:val="19"/>
                <w:szCs w:val="19"/>
                <w:color w:val="auto"/>
              </w:rPr>
            </w:pPr>
          </w:p>
        </w:tc>
      </w:tr>
      <w:tr>
        <w:trPr>
          <w:trHeight w:val="225"/>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32,489</w:t>
            </w:r>
          </w:p>
        </w:tc>
        <w:tc>
          <w:tcPr>
            <w:tcW w:w="60" w:type="dxa"/>
            <w:vAlign w:val="bottom"/>
          </w:tcPr>
          <w:p>
            <w:pPr>
              <w:spacing w:after="0"/>
              <w:rPr>
                <w:sz w:val="19"/>
                <w:szCs w:val="19"/>
                <w:color w:val="auto"/>
              </w:rPr>
            </w:pPr>
          </w:p>
        </w:tc>
      </w:tr>
      <w:tr>
        <w:trPr>
          <w:trHeight w:val="225"/>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36,944</w:t>
            </w:r>
          </w:p>
        </w:tc>
        <w:tc>
          <w:tcPr>
            <w:tcW w:w="60" w:type="dxa"/>
            <w:vAlign w:val="bottom"/>
          </w:tcPr>
          <w:p>
            <w:pPr>
              <w:spacing w:after="0"/>
              <w:rPr>
                <w:sz w:val="19"/>
                <w:szCs w:val="19"/>
                <w:color w:val="auto"/>
              </w:rPr>
            </w:pPr>
          </w:p>
        </w:tc>
      </w:tr>
      <w:tr>
        <w:trPr>
          <w:trHeight w:val="24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 (excluding impairment charges)</w:t>
            </w:r>
          </w:p>
        </w:tc>
        <w:tc>
          <w:tcPr>
            <w:tcW w:w="360" w:type="dxa"/>
            <w:vAlign w:val="bottom"/>
            <w:tcBorders>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97,215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93,307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97,747</w:t>
            </w:r>
          </w:p>
        </w:tc>
        <w:tc>
          <w:tcPr>
            <w:tcW w:w="60" w:type="dxa"/>
            <w:vAlign w:val="bottom"/>
          </w:tcPr>
          <w:p>
            <w:pPr>
              <w:spacing w:after="0"/>
              <w:rPr>
                <w:sz w:val="20"/>
                <w:szCs w:val="20"/>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Pr>
          <w:p>
            <w:pPr>
              <w:spacing w:after="0"/>
              <w:rPr>
                <w:sz w:val="13"/>
                <w:szCs w:val="13"/>
                <w:color w:val="auto"/>
              </w:rPr>
            </w:pPr>
          </w:p>
        </w:tc>
        <w:tc>
          <w:tcPr>
            <w:tcW w:w="11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Long-lived assets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211,121</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202,075</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40,415</w:t>
            </w: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310,885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60" w:hanging="136"/>
        <w:spacing w:after="0"/>
        <w:tabs>
          <w:tab w:leader="none" w:pos="1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Long-lived assets are comprised of property, plant and equipment.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operating regions is presented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60" w:type="dxa"/>
            <w:vAlign w:val="bottom"/>
          </w:tcPr>
          <w:p>
            <w:pPr>
              <w:spacing w:after="0"/>
              <w:rPr>
                <w:sz w:val="13"/>
                <w:szCs w:val="13"/>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85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Long-lived assets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246,473</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251,812</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Asia</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310,885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60" w:hanging="136"/>
        <w:spacing w:after="0"/>
        <w:tabs>
          <w:tab w:leader="none" w:pos="160"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Long-lived assets are comprised of property, plant and equipment.</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7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842,897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639,322</w:t>
            </w:r>
          </w:p>
        </w:tc>
      </w:tr>
      <w:tr>
        <w:trPr>
          <w:trHeight w:val="225"/>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75,562</w:t>
            </w:r>
          </w:p>
        </w:tc>
      </w:tr>
      <w:tr>
        <w:trPr>
          <w:trHeight w:val="225"/>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163,520</w:t>
            </w:r>
          </w:p>
        </w:tc>
      </w:tr>
      <w:tr>
        <w:trPr>
          <w:trHeight w:val="225"/>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 of Asia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110,802</w:t>
            </w:r>
          </w:p>
        </w:tc>
      </w:tr>
      <w:tr>
        <w:trPr>
          <w:trHeight w:val="225"/>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r>
      <w:tr>
        <w:trPr>
          <w:trHeight w:val="243"/>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1,309,055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1,168,660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993,196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that date, our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on Internal Control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Annual Report on Internal Control over Financial Reporting</w:t>
      </w:r>
    </w:p>
    <w:p>
      <w:pPr>
        <w:spacing w:after="0" w:line="24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such term is defined in Exchange Act Rules 13a-15(f) and 15d-15(f). The Company’s internal control system was designed to provide reasonable assurance to the Company’s management and Board of Directors regarding the preparation and fair presentation of published financial statements.</w:t>
      </w:r>
    </w:p>
    <w:p>
      <w:pPr>
        <w:spacing w:after="0" w:line="20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2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management assessed the effectiveness of its internal control over financial reporting as of March 30, 2024. In making this assessment, the management used the criteria set forth by the Committee of Sponsoring Organizations of the Treadway Commission (COSO) in Internal Control-Integrated Framework (2013 framework). Based on our assessment, the Company’s management believes that its internal controls over financial reporting were effective as of March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Acquisition of OpSens Inc.</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December 12, 2023, the Company completed its acquisition of OpSens. In accordance with the SEC Staff’s interpretative guidance for newly acquired businesses, we are permitted to omit an assessment of an acquired business’s internal control over financial reporting from our assessment of internal control for up to one year from the acquisition date. OpSens represented approximately 1% of both the Company’s total net revenues in fiscal 2024 and total assets as of March 30, 2024. As such, we have excluded OpSens from our annual assessment of internal control over financial reporting as of March 30, 2024.</w:t>
      </w:r>
    </w:p>
    <w:p>
      <w:pPr>
        <w:spacing w:after="0" w:line="206"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46"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30, 2024 that have materially affected, or are likely to materially affect, our internal control over financial reporting.</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second quarter of fiscal 2024, we implemented the first phase of a new global enterprise resource planning (“ERP”) system, which will continue to be implemented in phases through fiscal 2025. The ERP will replace existing financial systems we have historically relied on. As each phase of the implementation occurs, we will reassess our processes and procedures, which may result in changes to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Haemonetics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audited Haemonetics Corporation and subsidiaries’ internal control over financial reporting as of March 30, 2024, based on criteria established in Internal Control—Integrated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March 30, 2024, based on the COSO criteria.</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OpSens Inc., which is included in the 2024 consolidated financial statements of the Company and constituted approximately 1% of total assets as of March 30, 2024 and 1% of net revenues for the year then ended. Our audit of internal control over financial reporting of the Company also did not include an evaluation of the internal control over financial reporting of OpSens Inc.</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2024 consolidated financial statements of the Company and our report dated May 20, 2024 expressed an unqualified opinion thereon.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2"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8"/>
          <w:szCs w:val="18"/>
          <w:color w:val="auto"/>
        </w:rPr>
        <w:t>During the three months ended March 30, 2024, certain of our directors and officers (as defined under Rule 16a-1(f) under the Securities Exchange Act of 1934) adopted or terminated trading arrangements for the sale of shares of our common stock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8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260" w:type="dxa"/>
            <w:vAlign w:val="bottom"/>
            <w:gridSpan w:val="2"/>
            <w:vMerge w:val="restart"/>
          </w:tcPr>
          <w:p>
            <w:pPr>
              <w:jc w:val="center"/>
              <w:ind w:right="100"/>
              <w:spacing w:after="0" w:line="211" w:lineRule="exact"/>
              <w:rPr>
                <w:sz w:val="20"/>
                <w:szCs w:val="20"/>
                <w:color w:val="auto"/>
              </w:rPr>
            </w:pPr>
            <w:r>
              <w:rPr>
                <w:rFonts w:ascii="Times New Roman" w:cs="Times New Roman" w:eastAsia="Times New Roman" w:hAnsi="Times New Roman"/>
                <w:sz w:val="18"/>
                <w:szCs w:val="18"/>
                <w:b w:val="1"/>
                <w:bCs w:val="1"/>
                <w:color w:val="auto"/>
                <w:w w:val="90"/>
              </w:rPr>
              <w:t>Date</w:t>
            </w:r>
            <w:r>
              <w:rPr>
                <w:rFonts w:ascii="Times New Roman" w:cs="Times New Roman" w:eastAsia="Times New Roman" w:hAnsi="Times New Roman"/>
                <w:sz w:val="22"/>
                <w:szCs w:val="22"/>
                <w:b w:val="1"/>
                <w:bCs w:val="1"/>
                <w:color w:val="auto"/>
                <w:w w:val="90"/>
                <w:vertAlign w:val="superscript"/>
              </w:rPr>
              <w:t>(1)</w:t>
            </w:r>
          </w:p>
        </w:tc>
        <w:tc>
          <w:tcPr>
            <w:tcW w:w="10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2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 Shares to be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166"/>
        </w:trPr>
        <w:tc>
          <w:tcPr>
            <w:tcW w:w="28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80" w:type="dxa"/>
            <w:vAlign w:val="bottom"/>
            <w:tcBorders>
              <w:top w:val="single" w:sz="8" w:color="auto"/>
            </w:tcBorders>
            <w:gridSpan w:val="2"/>
          </w:tcPr>
          <w:p>
            <w:pPr>
              <w:jc w:val="center"/>
              <w:ind w:right="100"/>
              <w:spacing w:after="0" w:line="165" w:lineRule="exact"/>
              <w:rPr>
                <w:sz w:val="20"/>
                <w:szCs w:val="20"/>
                <w:color w:val="auto"/>
              </w:rPr>
            </w:pPr>
            <w:r>
              <w:rPr>
                <w:rFonts w:ascii="Times New Roman" w:cs="Times New Roman" w:eastAsia="Times New Roman" w:hAnsi="Times New Roman"/>
                <w:sz w:val="18"/>
                <w:szCs w:val="18"/>
                <w:b w:val="1"/>
                <w:bCs w:val="1"/>
                <w:color w:val="auto"/>
                <w:w w:val="98"/>
              </w:rPr>
              <w:t>Rule 10b5-</w:t>
            </w:r>
          </w:p>
        </w:tc>
        <w:tc>
          <w:tcPr>
            <w:tcW w:w="1060" w:type="dxa"/>
            <w:vAlign w:val="bottom"/>
            <w:tcBorders>
              <w:top w:val="single" w:sz="8" w:color="auto"/>
            </w:tcBorders>
          </w:tcPr>
          <w:p>
            <w:pPr>
              <w:ind w:left="160"/>
              <w:spacing w:after="0" w:line="165" w:lineRule="exact"/>
              <w:rPr>
                <w:sz w:val="20"/>
                <w:szCs w:val="20"/>
                <w:color w:val="auto"/>
              </w:rPr>
            </w:pPr>
            <w:r>
              <w:rPr>
                <w:rFonts w:ascii="Times New Roman" w:cs="Times New Roman" w:eastAsia="Times New Roman" w:hAnsi="Times New Roman"/>
                <w:sz w:val="18"/>
                <w:szCs w:val="18"/>
                <w:b w:val="1"/>
                <w:bCs w:val="1"/>
                <w:color w:val="auto"/>
              </w:rPr>
              <w:t>Non-Rule</w:t>
            </w: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22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Sold</w:t>
            </w:r>
            <w:r>
              <w:rPr>
                <w:rFonts w:ascii="Times New Roman" w:cs="Times New Roman" w:eastAsia="Times New Roman" w:hAnsi="Times New Roman"/>
                <w:sz w:val="22"/>
                <w:szCs w:val="22"/>
                <w:b w:val="1"/>
                <w:bCs w:val="1"/>
                <w:color w:val="auto"/>
                <w:vertAlign w:val="superscript"/>
              </w:rPr>
              <w:t>(2)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Date</w:t>
            </w:r>
            <w:r>
              <w:rPr>
                <w:rFonts w:ascii="Times New Roman" w:cs="Times New Roman" w:eastAsia="Times New Roman" w:hAnsi="Times New Roman"/>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4"/>
        </w:trPr>
        <w:tc>
          <w:tcPr>
            <w:tcW w:w="27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Anila Lingamneni, EVP, Chief</w:t>
            </w: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Adoption</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132"/>
              <w:spacing w:after="0" w:line="174" w:lineRule="exact"/>
              <w:rPr>
                <w:sz w:val="20"/>
                <w:szCs w:val="20"/>
                <w:color w:val="auto"/>
              </w:rPr>
            </w:pPr>
            <w:r>
              <w:rPr>
                <w:rFonts w:ascii="Times New Roman" w:cs="Times New Roman" w:eastAsia="Times New Roman" w:hAnsi="Times New Roman"/>
                <w:sz w:val="18"/>
                <w:szCs w:val="18"/>
                <w:color w:val="auto"/>
              </w:rPr>
              <w:t>3/13/2024</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X</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ind w:left="820"/>
              <w:spacing w:after="0" w:line="174" w:lineRule="exact"/>
              <w:rPr>
                <w:sz w:val="20"/>
                <w:szCs w:val="20"/>
                <w:color w:val="auto"/>
              </w:rPr>
            </w:pPr>
            <w:r>
              <w:rPr>
                <w:rFonts w:ascii="Times New Roman" w:cs="Times New Roman" w:eastAsia="Times New Roman" w:hAnsi="Times New Roman"/>
                <w:sz w:val="16"/>
                <w:szCs w:val="16"/>
                <w:color w:val="auto"/>
              </w:rPr>
              <w:t>11,679</w:t>
            </w:r>
            <w:r>
              <w:rPr>
                <w:rFonts w:ascii="Times New Roman" w:cs="Times New Roman" w:eastAsia="Times New Roman" w:hAnsi="Times New Roman"/>
                <w:sz w:val="20"/>
                <w:szCs w:val="20"/>
                <w:color w:val="auto"/>
                <w:vertAlign w:val="superscript"/>
              </w:rPr>
              <w:t>(4)</w:t>
            </w: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5/30/2025</w:t>
            </w:r>
          </w:p>
        </w:tc>
        <w:tc>
          <w:tcPr>
            <w:tcW w:w="0" w:type="dxa"/>
            <w:vAlign w:val="bottom"/>
          </w:tcPr>
          <w:p>
            <w:pPr>
              <w:spacing w:after="0"/>
              <w:rPr>
                <w:sz w:val="1"/>
                <w:szCs w:val="1"/>
                <w:color w:val="auto"/>
              </w:rPr>
            </w:pPr>
          </w:p>
        </w:tc>
      </w:tr>
      <w:tr>
        <w:trPr>
          <w:trHeight w:val="231"/>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Officer</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Intended to satisfy the affirmative defense conditions of Rule 10b5-1(c) under the Securities Exchange Act of 1934.</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Not intended to satisfy the affirmative defense conditions of Rule 10b5-1(c) under the Securities Exchange Act of 1934.</w:t>
      </w:r>
    </w:p>
    <w:p>
      <w:pPr>
        <w:spacing w:after="0" w:line="39" w:lineRule="exact"/>
        <w:rPr>
          <w:sz w:val="20"/>
          <w:szCs w:val="20"/>
          <w:color w:val="auto"/>
        </w:rPr>
      </w:pPr>
    </w:p>
    <w:p>
      <w:pPr>
        <w:ind w:left="160" w:hanging="136"/>
        <w:spacing w:after="0"/>
        <w:tabs>
          <w:tab w:leader="none" w:pos="160"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the fully-executed date of each trading arrangement, which may differ from the date of first execution by an officer or director.</w:t>
      </w:r>
    </w:p>
    <w:p>
      <w:pPr>
        <w:spacing w:after="0" w:line="44" w:lineRule="exact"/>
        <w:rPr>
          <w:rFonts w:ascii="Times New Roman" w:cs="Times New Roman" w:eastAsia="Times New Roman" w:hAnsi="Times New Roman"/>
          <w:sz w:val="17"/>
          <w:szCs w:val="17"/>
          <w:color w:val="auto"/>
          <w:vertAlign w:val="superscript"/>
        </w:rPr>
      </w:pPr>
    </w:p>
    <w:p>
      <w:pPr>
        <w:ind w:left="20" w:right="420" w:firstLine="4"/>
        <w:spacing w:after="0" w:line="218" w:lineRule="auto"/>
        <w:tabs>
          <w:tab w:leader="none" w:pos="162"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number of shares of common stock sold under each trading arrangement, if any, will be net of shares withheld for applicable tax obligations upon the vesting and/or exercise of covered securities as well as for payment of the exercise price upon the exercise of stock options, which amounts are not yet determinable.</w:t>
      </w:r>
    </w:p>
    <w:p>
      <w:pPr>
        <w:spacing w:after="0" w:line="30" w:lineRule="exact"/>
        <w:rPr>
          <w:rFonts w:ascii="Times New Roman" w:cs="Times New Roman" w:eastAsia="Times New Roman" w:hAnsi="Times New Roman"/>
          <w:sz w:val="17"/>
          <w:szCs w:val="17"/>
          <w:color w:val="auto"/>
          <w:vertAlign w:val="superscript"/>
        </w:rPr>
      </w:pPr>
    </w:p>
    <w:p>
      <w:pPr>
        <w:ind w:left="160" w:hanging="136"/>
        <w:spacing w:after="0"/>
        <w:tabs>
          <w:tab w:leader="none" w:pos="160"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Except as otherwise indicated by footnote, each trading arrangement expires upon the earlier of (a) completion of all authorized transactions thereunder and (b) the expiration date listed above.</w:t>
      </w:r>
    </w:p>
    <w:p>
      <w:pPr>
        <w:spacing w:after="0" w:line="44" w:lineRule="exact"/>
        <w:rPr>
          <w:rFonts w:ascii="Times New Roman" w:cs="Times New Roman" w:eastAsia="Times New Roman" w:hAnsi="Times New Roman"/>
          <w:sz w:val="17"/>
          <w:szCs w:val="17"/>
          <w:color w:val="auto"/>
          <w:vertAlign w:val="superscript"/>
        </w:rPr>
      </w:pPr>
    </w:p>
    <w:p>
      <w:pPr>
        <w:ind w:left="20" w:right="140" w:firstLine="4"/>
        <w:spacing w:after="0" w:line="229" w:lineRule="auto"/>
        <w:tabs>
          <w:tab w:leader="none" w:pos="162"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7,070 target shares subject to a performance share unit (“PSU”) award previously granted to Ms. Lingamneni on May 18, 2021. The actual number of shares to be earned under the PSU award, and subject to sale under this trading arrangement, may range from 0% to a maximum of 200% of the target award depending upon the Company’s total shareholder return relative to the components of the S&amp;P MidCap 400 index during a three-year performance period from May 18, 2021 to May 17, 2024.</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our Chief Executive Officer, Chief Financial Officer and senior financial officers. The Code of Ethics is incorporated into the Company’s Code of Conduct located on the Company’s website at </w:t>
      </w:r>
      <w:r>
        <w:rPr>
          <w:rFonts w:ascii="Times New Roman" w:cs="Times New Roman" w:eastAsia="Times New Roman" w:hAnsi="Times New Roman"/>
          <w:sz w:val="18"/>
          <w:szCs w:val="18"/>
          <w:i w:val="1"/>
          <w:iCs w:val="1"/>
          <w:color w:val="auto"/>
        </w:rPr>
        <w:t>www.haemonetics.com</w:t>
      </w:r>
      <w:r>
        <w:rPr>
          <w:rFonts w:ascii="Times New Roman" w:cs="Times New Roman" w:eastAsia="Times New Roman" w:hAnsi="Times New Roman"/>
          <w:sz w:val="18"/>
          <w:szCs w:val="18"/>
          <w:color w:val="auto"/>
        </w:rPr>
        <w:t>, under the “Investor Relations” caption and under the “Corporate Governance” sub-caption. A copy of the Code of Conduct will be provided free of charge by making a written request and mailing it to our corporate headquarters offices to the attention of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spacing w:after="0" w:line="21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We have also adopted a Securities Trading Policy that applies to our directors, officers and other employees. The Securities Trading Policy is designed to facilitate compliance with insider trading laws and governs transactions in our common stock and related derivative securities. The policy designates certain regular periods each quarter in which we restrict trading in Haemonetics securities for directors, officers and other individuals presumed to hold information-sensitive positions in connection with our release of financial results (these individuals must also seek mandatory pre-clearance from our General Counsel in order to trade during permitted trading windows). The Chief Financial Officer and General Counsel may impose additional periods of trading restriction for directors, officers and other employees as warranted by business developments. Our Securities Trading Policy further prohibits directors, officers and other employees from engaging in pledging, hedging or similarly speculative transactions with respect to Haemonetics securities, including, without limitation, same day or short-term trading (i.e., day trading), short sales, and buying, selling or writing puts, calls or other derivatives denominated in Haemonetics securities. A copy of the Securities Trading Policy is included as Exhibit 19.1 to this Annual Report on Form 10-K.</w:t>
      </w:r>
    </w:p>
    <w:p>
      <w:pPr>
        <w:spacing w:after="0" w:line="21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The additional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spacing w:after="0" w:line="205"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136" w:lineRule="exact"/>
        <w:rPr>
          <w:sz w:val="20"/>
          <w:szCs w:val="20"/>
          <w:color w:val="auto"/>
        </w:rPr>
      </w:pPr>
    </w:p>
    <w:p>
      <w:pPr>
        <w:ind w:left="620" w:hanging="614"/>
        <w:spacing w:after="0"/>
        <w:tabs>
          <w:tab w:leader="none" w:pos="6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are included in Part II of this report</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Statements required by Item 8 of this Form</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(PCAOB ID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42</w:t>
      </w:r>
      <w:r>
        <w:rPr>
          <w:rFonts w:ascii="Times New Roman" w:cs="Times New Roman" w:eastAsia="Times New Roman" w:hAnsi="Times New Roman"/>
          <w:sz w:val="18"/>
          <w:szCs w:val="18"/>
          <w:u w:val="single" w:color="auto"/>
          <w:color w:val="0000FF"/>
        </w:rPr>
        <w:t>)</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not required.</w:t>
      </w:r>
    </w:p>
    <w:p>
      <w:pPr>
        <w:spacing w:after="0" w:line="242" w:lineRule="exact"/>
        <w:rPr>
          <w:sz w:val="20"/>
          <w:szCs w:val="20"/>
          <w:color w:val="auto"/>
        </w:rPr>
      </w:pPr>
    </w:p>
    <w:p>
      <w:pPr>
        <w:ind w:firstLine="6"/>
        <w:spacing w:after="0" w:line="276" w:lineRule="auto"/>
        <w:tabs>
          <w:tab w:leader="none" w:pos="62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required by Item 601 of Regulation S-K are listed in the Exhibit Index beginning at page 102, which is incorporated herein by reference.</w:t>
      </w:r>
    </w:p>
    <w:p>
      <w:pPr>
        <w:spacing w:after="0" w:line="200" w:lineRule="exact"/>
        <w:rPr>
          <w:sz w:val="20"/>
          <w:szCs w:val="20"/>
          <w:color w:val="auto"/>
        </w:rPr>
      </w:pPr>
    </w:p>
    <w:p>
      <w:pPr>
        <w:spacing w:after="0" w:line="3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40"/>
          </w:cols>
          <w:pgMar w:left="320" w:top="126" w:right="8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20" w:type="dxa"/>
            <w:vAlign w:val="bottom"/>
          </w:tcPr>
          <w:p>
            <w:pPr>
              <w:jc w:val="center"/>
              <w:ind w:right="1832"/>
              <w:spacing w:after="0"/>
              <w:rPr>
                <w:sz w:val="20"/>
                <w:szCs w:val="20"/>
                <w:color w:val="auto"/>
              </w:rPr>
            </w:pPr>
            <w:r>
              <w:rPr>
                <w:rFonts w:ascii="Times New Roman" w:cs="Times New Roman" w:eastAsia="Times New Roman" w:hAnsi="Times New Roman"/>
                <w:sz w:val="18"/>
                <w:szCs w:val="18"/>
                <w:b w:val="1"/>
                <w:bCs w:val="1"/>
                <w:color w:val="auto"/>
                <w:w w:val="98"/>
              </w:rPr>
              <w:t>EXHIBITS FILED WITH SECURITIES AND EXCHANGE COMMISSION</w:t>
            </w:r>
          </w:p>
        </w:tc>
      </w:tr>
      <w:tr>
        <w:trPr>
          <w:trHeight w:val="304"/>
        </w:trPr>
        <w:tc>
          <w:tcPr>
            <w:tcW w:w="20" w:type="dxa"/>
            <w:vAlign w:val="bottom"/>
          </w:tcPr>
          <w:p>
            <w:pPr>
              <w:spacing w:after="0"/>
              <w:rPr>
                <w:sz w:val="24"/>
                <w:szCs w:val="24"/>
                <w:color w:val="auto"/>
              </w:rPr>
            </w:pPr>
          </w:p>
        </w:tc>
        <w:tc>
          <w:tcPr>
            <w:tcW w:w="8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52"/>
        </w:trPr>
        <w:tc>
          <w:tcPr>
            <w:tcW w:w="20" w:type="dxa"/>
            <w:vAlign w:val="bottom"/>
          </w:tcPr>
          <w:p>
            <w:pPr>
              <w:spacing w:after="0"/>
              <w:rPr>
                <w:sz w:val="13"/>
                <w:szCs w:val="13"/>
                <w:color w:val="auto"/>
              </w:rPr>
            </w:pPr>
          </w:p>
        </w:tc>
        <w:tc>
          <w:tcPr>
            <w:tcW w:w="560" w:type="dxa"/>
            <w:vAlign w:val="bottom"/>
            <w:tcBorders>
              <w:top w:val="single" w:sz="8" w:color="auto"/>
              <w:bottom w:val="single" w:sz="8" w:color="auto"/>
            </w:tcBorders>
            <w:gridSpan w:val="4"/>
          </w:tcPr>
          <w:p>
            <w:pPr>
              <w:spacing w:after="0" w:line="152" w:lineRule="exact"/>
              <w:rPr>
                <w:sz w:val="20"/>
                <w:szCs w:val="20"/>
                <w:color w:val="auto"/>
              </w:rPr>
            </w:pPr>
            <w:r>
              <w:rPr>
                <w:rFonts w:ascii="Times New Roman" w:cs="Times New Roman" w:eastAsia="Times New Roman" w:hAnsi="Times New Roman"/>
                <w:sz w:val="17"/>
                <w:szCs w:val="17"/>
                <w:b w:val="1"/>
                <w:bCs w:val="1"/>
                <w:color w:val="auto"/>
                <w:w w:val="89"/>
              </w:rPr>
              <w:t>Number</w:t>
            </w:r>
          </w:p>
        </w:tc>
        <w:tc>
          <w:tcPr>
            <w:tcW w:w="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320" w:type="dxa"/>
            <w:vAlign w:val="bottom"/>
          </w:tcPr>
          <w:p>
            <w:pPr>
              <w:spacing w:after="0"/>
              <w:rPr>
                <w:sz w:val="13"/>
                <w:szCs w:val="13"/>
                <w:color w:val="auto"/>
              </w:rPr>
            </w:pPr>
          </w:p>
        </w:tc>
      </w:tr>
      <w:tr>
        <w:trPr>
          <w:trHeight w:val="218"/>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8"/>
              </w:rPr>
              <w:t>Arrangement Agreement, dated as of October 10, 2023, by and among the Company, OpSens Inc. and 9500-7704 Quebec Inc. (filed as Exhibit</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1" w:lineRule="exact"/>
              <w:rPr>
                <w:sz w:val="20"/>
                <w:szCs w:val="20"/>
                <w:color w:val="auto"/>
              </w:rPr>
            </w:pPr>
            <w:r>
              <w:rPr>
                <w:rFonts w:ascii="Times New Roman" w:cs="Times New Roman" w:eastAsia="Times New Roman" w:hAnsi="Times New Roman"/>
                <w:sz w:val="18"/>
                <w:szCs w:val="18"/>
                <w:color w:val="auto"/>
              </w:rPr>
              <w:t>2.1 to the Company’s Form 8-K/A dated October 12, 2023 and incorporated herein by reference) (1).</w:t>
            </w:r>
          </w:p>
        </w:tc>
      </w:tr>
      <w:tr>
        <w:trPr>
          <w:trHeight w:val="191"/>
        </w:trPr>
        <w:tc>
          <w:tcPr>
            <w:tcW w:w="340" w:type="dxa"/>
            <w:vAlign w:val="bottom"/>
            <w:gridSpan w:val="3"/>
          </w:tcPr>
          <w:p>
            <w:pPr>
              <w:ind w:left="20"/>
              <w:spacing w:after="0" w:line="191"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0" w:type="dxa"/>
            <w:vAlign w:val="bottom"/>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rPr>
              <w:t>Restated Articles of Organization of Haemonetics Corporation, reflecting Articles of Amendment dated August 23, 1993, August 21, 2006,</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1" w:lineRule="exact"/>
              <w:rPr>
                <w:sz w:val="20"/>
                <w:szCs w:val="20"/>
                <w:color w:val="auto"/>
              </w:rPr>
            </w:pPr>
            <w:r>
              <w:rPr>
                <w:rFonts w:ascii="Times New Roman" w:cs="Times New Roman" w:eastAsia="Times New Roman" w:hAnsi="Times New Roman"/>
                <w:sz w:val="18"/>
                <w:szCs w:val="18"/>
                <w:color w:val="auto"/>
              </w:rPr>
              <w:t>July 26, 2018 and July 25, 2019 (filed as Exhibit 3.1 to the Company’s Form 8-K dated July 29, 2019 and incorporated herein by reference).</w:t>
            </w:r>
          </w:p>
        </w:tc>
      </w:tr>
      <w:tr>
        <w:trPr>
          <w:trHeight w:val="191"/>
        </w:trPr>
        <w:tc>
          <w:tcPr>
            <w:tcW w:w="340" w:type="dxa"/>
            <w:vAlign w:val="bottom"/>
            <w:gridSpan w:val="3"/>
          </w:tcPr>
          <w:p>
            <w:pPr>
              <w:ind w:left="20"/>
              <w:spacing w:after="0" w:line="191"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0" w:type="dxa"/>
            <w:vAlign w:val="bottom"/>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rPr>
              <w:t>By-Laws of the Company, as amended through June 29, 2020 (filed as Exhibit 3.1 to the Company’s Form 8-K dated June 30, 2020 and</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1" w:lineRule="exact"/>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77"/>
        </w:trPr>
        <w:tc>
          <w:tcPr>
            <w:tcW w:w="340" w:type="dxa"/>
            <w:vAlign w:val="bottom"/>
            <w:gridSpan w:val="3"/>
          </w:tcPr>
          <w:p>
            <w:pPr>
              <w:ind w:left="20"/>
              <w:spacing w:after="0" w:line="177"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0" w:type="dxa"/>
            <w:vAlign w:val="bottom"/>
            <w:gridSpan w:val="3"/>
          </w:tcPr>
          <w:p>
            <w:pPr>
              <w:ind w:left="200"/>
              <w:spacing w:after="0" w:line="177" w:lineRule="exact"/>
              <w:rPr>
                <w:sz w:val="20"/>
                <w:szCs w:val="20"/>
                <w:color w:val="auto"/>
              </w:rPr>
            </w:pPr>
            <w:r>
              <w:rPr>
                <w:rFonts w:ascii="Times New Roman" w:cs="Times New Roman" w:eastAsia="Times New Roman" w:hAnsi="Times New Roman"/>
                <w:sz w:val="18"/>
                <w:szCs w:val="18"/>
                <w:color w:val="auto"/>
              </w:rPr>
              <w:t>Specimen certificate for shares of common stock (filed as Exhibit 4B to the Company’s Amendment No. 1 to Form S-1 No. 33-39490 and</w:t>
            </w:r>
          </w:p>
        </w:tc>
      </w:tr>
      <w:tr>
        <w:trPr>
          <w:trHeight w:val="23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93"/>
        </w:trPr>
        <w:tc>
          <w:tcPr>
            <w:tcW w:w="340" w:type="dxa"/>
            <w:vAlign w:val="bottom"/>
            <w:gridSpan w:val="3"/>
          </w:tcPr>
          <w:p>
            <w:pPr>
              <w:ind w:left="20"/>
              <w:spacing w:after="0" w:line="193"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0" w:type="dxa"/>
            <w:vAlign w:val="bottom"/>
            <w:gridSpan w:val="3"/>
          </w:tcPr>
          <w:p>
            <w:pPr>
              <w:ind w:left="200"/>
              <w:spacing w:after="0" w:line="193" w:lineRule="exact"/>
              <w:rPr>
                <w:sz w:val="20"/>
                <w:szCs w:val="20"/>
                <w:color w:val="auto"/>
              </w:rPr>
            </w:pPr>
            <w:r>
              <w:rPr>
                <w:rFonts w:ascii="Times New Roman" w:cs="Times New Roman" w:eastAsia="Times New Roman" w:hAnsi="Times New Roman"/>
                <w:sz w:val="18"/>
                <w:szCs w:val="18"/>
                <w:color w:val="auto"/>
              </w:rPr>
              <w:t>Description of Common Stock (filed as Exhibit 4B to the Company’s Form 10-K for the fiscal year ended March 28, 2020 and incorporated</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1" w:lineRule="exact"/>
              <w:rPr>
                <w:sz w:val="20"/>
                <w:szCs w:val="20"/>
                <w:color w:val="auto"/>
              </w:rPr>
            </w:pPr>
            <w:r>
              <w:rPr>
                <w:rFonts w:ascii="Times New Roman" w:cs="Times New Roman" w:eastAsia="Times New Roman" w:hAnsi="Times New Roman"/>
                <w:sz w:val="18"/>
                <w:szCs w:val="18"/>
                <w:color w:val="auto"/>
              </w:rPr>
              <w:t>herein by reference).</w:t>
            </w:r>
          </w:p>
        </w:tc>
      </w:tr>
      <w:tr>
        <w:trPr>
          <w:trHeight w:val="191"/>
        </w:trPr>
        <w:tc>
          <w:tcPr>
            <w:tcW w:w="340" w:type="dxa"/>
            <w:vAlign w:val="bottom"/>
            <w:gridSpan w:val="3"/>
          </w:tcPr>
          <w:p>
            <w:pPr>
              <w:ind w:left="20"/>
              <w:spacing w:after="0" w:line="191"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0" w:type="dxa"/>
            <w:vAlign w:val="bottom"/>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w w:val="98"/>
              </w:rPr>
              <w:t>Indenture, dated as of March 5, 2021, between Haemonetics Corporation and U.S. Bank National Association, as trustee (filed as Exhibit 4.1 to</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1" w:lineRule="exact"/>
              <w:rPr>
                <w:sz w:val="20"/>
                <w:szCs w:val="20"/>
                <w:color w:val="auto"/>
              </w:rPr>
            </w:pPr>
            <w:r>
              <w:rPr>
                <w:rFonts w:ascii="Times New Roman" w:cs="Times New Roman" w:eastAsia="Times New Roman" w:hAnsi="Times New Roman"/>
                <w:sz w:val="18"/>
                <w:szCs w:val="18"/>
                <w:color w:val="auto"/>
              </w:rPr>
              <w:t>the Company’s Form 8-K dated March 5, 2021 and incorporated herein by reference).</w:t>
            </w:r>
          </w:p>
        </w:tc>
      </w:tr>
      <w:tr>
        <w:trPr>
          <w:trHeight w:val="191"/>
        </w:trPr>
        <w:tc>
          <w:tcPr>
            <w:tcW w:w="340" w:type="dxa"/>
            <w:vAlign w:val="bottom"/>
            <w:gridSpan w:val="3"/>
          </w:tcPr>
          <w:p>
            <w:pPr>
              <w:ind w:left="20"/>
              <w:spacing w:after="0" w:line="191"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0" w:type="dxa"/>
            <w:vAlign w:val="bottom"/>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w w:val="98"/>
              </w:rPr>
              <w:t>Form of certificate representing the 0.00% Convertible Senior Notes due 2026 (included as Exhibit A to Exhibit 4D) (filed as Exhibit 4.2 to the</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1" w:lineRule="exact"/>
              <w:rPr>
                <w:sz w:val="20"/>
                <w:szCs w:val="20"/>
                <w:color w:val="auto"/>
              </w:rPr>
            </w:pPr>
            <w:r>
              <w:rPr>
                <w:rFonts w:ascii="Times New Roman" w:cs="Times New Roman" w:eastAsia="Times New Roman" w:hAnsi="Times New Roman"/>
                <w:sz w:val="18"/>
                <w:szCs w:val="18"/>
                <w:color w:val="auto"/>
              </w:rPr>
              <w:t>Company’s Form 8-K dated March 5, 2021 and incorporated herein by reference).</w:t>
            </w:r>
          </w:p>
        </w:tc>
      </w:tr>
      <w:tr>
        <w:trPr>
          <w:trHeight w:val="191"/>
        </w:trPr>
        <w:tc>
          <w:tcPr>
            <w:tcW w:w="420" w:type="dxa"/>
            <w:vAlign w:val="bottom"/>
            <w:gridSpan w:val="4"/>
          </w:tcPr>
          <w:p>
            <w:pPr>
              <w:ind w:left="20"/>
              <w:spacing w:after="0" w:line="191"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0" w:type="dxa"/>
            <w:vAlign w:val="bottom"/>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w w:val="99"/>
              </w:rPr>
              <w:t>Haemonetics Corporation 2005 Long-Term Incentive Compensation Plan, reflecting amendments dated July 31, 2008, July 29, 2009, July 21,</w:t>
            </w:r>
          </w:p>
        </w:tc>
      </w:tr>
      <w:tr>
        <w:trPr>
          <w:trHeight w:val="174"/>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0" w:type="dxa"/>
            <w:vAlign w:val="bottom"/>
            <w:gridSpan w:val="3"/>
          </w:tcPr>
          <w:p>
            <w:pPr>
              <w:ind w:left="200"/>
              <w:spacing w:after="0" w:line="174" w:lineRule="exact"/>
              <w:rPr>
                <w:sz w:val="20"/>
                <w:szCs w:val="20"/>
                <w:color w:val="auto"/>
              </w:rPr>
            </w:pPr>
            <w:r>
              <w:rPr>
                <w:rFonts w:ascii="Times New Roman" w:cs="Times New Roman" w:eastAsia="Times New Roman" w:hAnsi="Times New Roman"/>
                <w:sz w:val="18"/>
                <w:szCs w:val="18"/>
                <w:color w:val="auto"/>
                <w:w w:val="98"/>
              </w:rPr>
              <w:t>2011, November 30, 2012, July 24, 2013, January 21, 2014, and July 23, 2014 (filed as Exhibit 10.1 to the Company’s Form 8-K dated July 25,</w:t>
            </w:r>
          </w:p>
        </w:tc>
      </w:tr>
      <w:tr>
        <w:trPr>
          <w:trHeight w:val="23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2014 and incorporated herein by reference) (2).</w:t>
            </w:r>
          </w:p>
        </w:tc>
      </w:tr>
      <w:tr>
        <w:trPr>
          <w:trHeight w:val="198"/>
        </w:trPr>
        <w:tc>
          <w:tcPr>
            <w:tcW w:w="420" w:type="dxa"/>
            <w:vAlign w:val="bottom"/>
            <w:gridSpan w:val="4"/>
          </w:tcPr>
          <w:p>
            <w:pPr>
              <w:ind w:left="20"/>
              <w:spacing w:after="0" w:line="19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Haemonetics Corporation Amended and Restated 2019 Long-Term Incentive Compensation Plan (filed as Exhibit 10.1 to the Company’s</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Current Report on Form 8-K dated August 7, 2023 and incorporated herein by reference) (2).</w:t>
            </w:r>
          </w:p>
        </w:tc>
      </w:tr>
      <w:tr>
        <w:trPr>
          <w:trHeight w:val="206"/>
        </w:trPr>
        <w:tc>
          <w:tcPr>
            <w:tcW w:w="420" w:type="dxa"/>
            <w:vAlign w:val="bottom"/>
            <w:gridSpan w:val="4"/>
          </w:tcPr>
          <w:p>
            <w:pPr>
              <w:ind w:left="20"/>
              <w:spacing w:after="0" w:line="20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w w:val="99"/>
              </w:rPr>
              <w:t>Form of Non-Qualified Stock Option Award Agreement under 2005 Long-Term Incentive Compensation Plan for Employees (filed as Exhibit</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10S to the Company’s Form 10-K for the fiscal year ended March 30, 2010 and incorporated herein by reference) (2).</w:t>
            </w:r>
          </w:p>
        </w:tc>
      </w:tr>
      <w:tr>
        <w:trPr>
          <w:trHeight w:val="206"/>
        </w:trPr>
        <w:tc>
          <w:tcPr>
            <w:tcW w:w="420" w:type="dxa"/>
            <w:vAlign w:val="bottom"/>
            <w:gridSpan w:val="4"/>
          </w:tcPr>
          <w:p>
            <w:pPr>
              <w:ind w:left="20"/>
              <w:spacing w:after="0" w:line="20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rPr>
              <w:t>Form of Non-Qualified Stock Option Award Agreement under 2005 Long-Term Incentive Compensation Plan for Employees (adopted fiscal</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2019) (filed as Exhibit 10.2 to the Company’s Form 10-Q for the quarter ended June 30, 2018 and incorporated herein by reference) (2).</w:t>
            </w:r>
          </w:p>
        </w:tc>
      </w:tr>
      <w:tr>
        <w:trPr>
          <w:trHeight w:val="206"/>
        </w:trPr>
        <w:tc>
          <w:tcPr>
            <w:tcW w:w="420" w:type="dxa"/>
            <w:vAlign w:val="bottom"/>
            <w:gridSpan w:val="4"/>
          </w:tcPr>
          <w:p>
            <w:pPr>
              <w:ind w:left="20"/>
              <w:spacing w:after="0" w:line="20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rPr>
              <w:t>Form of Non-Qualified Stock Option Award Agreement under 2019 Long-Term Incentive Compensation Plan (adopted fiscal 2020) (filed as</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Exhibit 10.4 to the Company’s Form 10-Q for the quarter ended September 28, 2019 and incorporated herein by reference) (2).</w:t>
            </w:r>
          </w:p>
        </w:tc>
      </w:tr>
      <w:tr>
        <w:trPr>
          <w:trHeight w:val="206"/>
        </w:trPr>
        <w:tc>
          <w:tcPr>
            <w:tcW w:w="420" w:type="dxa"/>
            <w:vAlign w:val="bottom"/>
            <w:gridSpan w:val="4"/>
          </w:tcPr>
          <w:p>
            <w:pPr>
              <w:ind w:left="20"/>
              <w:spacing w:after="0" w:line="206"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10.</w:t>
            </w:r>
            <w:hyperlink r:id="rId135">
              <w:r>
                <w:rPr>
                  <w:rFonts w:ascii="Times New Roman" w:cs="Times New Roman" w:eastAsia="Times New Roman" w:hAnsi="Times New Roman"/>
                  <w:sz w:val="18"/>
                  <w:szCs w:val="18"/>
                  <w:u w:val="single" w:color="auto"/>
                  <w:color w:val="0000FF"/>
                </w:rPr>
                <w:t>6</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rPr>
              <w:t>Form of Nonqualified Stock Option Award Agreement under 2019 Long-Term Incentive Compensation Plan (adopted fiscal 2024) (filed as</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Exhibit 10.3 to the Company’s Form 10-Q for the quarter ended July 1, 2023 and incorporated herein by reference) (2).</w:t>
            </w:r>
          </w:p>
        </w:tc>
      </w:tr>
      <w:tr>
        <w:trPr>
          <w:trHeight w:val="206"/>
        </w:trPr>
        <w:tc>
          <w:tcPr>
            <w:tcW w:w="420" w:type="dxa"/>
            <w:vAlign w:val="bottom"/>
            <w:gridSpan w:val="4"/>
          </w:tcPr>
          <w:p>
            <w:pPr>
              <w:ind w:left="20"/>
              <w:spacing w:after="0" w:line="20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rPr>
              <w:t>Form of Restricted Stock Unit Award Agreement with Non-Employee Directors under 2019 Long-Term Incentive Compensation Plan (fiscal</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2020) (filed as Exhibit 10.2 to the Company’s Form 10-Q for the quarter ended September 28, 2019 and incorporated herein by reference) (2).</w:t>
            </w:r>
          </w:p>
        </w:tc>
      </w:tr>
      <w:tr>
        <w:trPr>
          <w:trHeight w:val="232"/>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Form of Restricted Stock Unit Award Agreement with Employees under 2019 Long-Term Incentive Compensation Plan (adopted fiscal 2020)</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(filed as Exhibit 10.3 to the Company’s Form 10-Q for the quarter ended September 28, 2019 and incorporated herein by reference) (2).</w:t>
            </w:r>
          </w:p>
        </w:tc>
      </w:tr>
      <w:tr>
        <w:trPr>
          <w:trHeight w:val="206"/>
        </w:trPr>
        <w:tc>
          <w:tcPr>
            <w:tcW w:w="420" w:type="dxa"/>
            <w:vAlign w:val="bottom"/>
            <w:gridSpan w:val="4"/>
          </w:tcPr>
          <w:p>
            <w:pPr>
              <w:ind w:left="20"/>
              <w:spacing w:after="0" w:line="20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w w:val="99"/>
              </w:rPr>
              <w:t>Form of Restricted Stock Unit Award Agreement with Employees under 2019 Long-Term Incentive Compensation Plan (adopted fiscal 2024)</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(filed as Exhibit 10.2 to the Company’s Form 10-Q for the quarter ended July 1, 2023 and incorporated herein by reference) (2).</w:t>
            </w:r>
          </w:p>
        </w:tc>
      </w:tr>
      <w:tr>
        <w:trPr>
          <w:trHeight w:val="206"/>
        </w:trPr>
        <w:tc>
          <w:tcPr>
            <w:tcW w:w="580" w:type="dxa"/>
            <w:vAlign w:val="bottom"/>
            <w:gridSpan w:val="5"/>
          </w:tcPr>
          <w:p>
            <w:pPr>
              <w:ind w:left="20"/>
              <w:spacing w:after="0" w:line="20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w w:val="98"/>
              </w:rPr>
              <w:t>Form of Performance Share Unit Award Agreement Under 2019 Long-Term Incentive Compensation Plan (adopted fiscal 2020) (filed herewith</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 Exhibit 10.5 to the Company’s Form 10-Q for the quarter ended September 28, 2019 and incorporated herein by reference) (2).</w:t>
            </w:r>
          </w:p>
        </w:tc>
      </w:tr>
      <w:tr>
        <w:trPr>
          <w:trHeight w:val="206"/>
        </w:trPr>
        <w:tc>
          <w:tcPr>
            <w:tcW w:w="420" w:type="dxa"/>
            <w:vAlign w:val="bottom"/>
            <w:gridSpan w:val="4"/>
          </w:tcPr>
          <w:p>
            <w:pPr>
              <w:ind w:left="20"/>
              <w:spacing w:after="0" w:line="206" w:lineRule="exact"/>
              <w:rPr>
                <w:rFonts w:ascii="Times New Roman" w:cs="Times New Roman" w:eastAsia="Times New Roman" w:hAnsi="Times New Roman"/>
                <w:sz w:val="18"/>
                <w:szCs w:val="18"/>
                <w:color w:val="0000FF"/>
                <w:w w:val="93"/>
              </w:rPr>
            </w:pPr>
            <w:hyperlink r:id="rId14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rPr>
              <w:t>Form of Performance Share Unit Award Agreement under 2019 Long-Term Incentive Compensation Plan (adopted fiscal 2024) (filed as</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Exhibit 10.4 to the Company’s Form 10-Q for the quarter ended July 1, 2023 and incorporated herein by reference) (2).</w:t>
            </w:r>
          </w:p>
        </w:tc>
      </w:tr>
      <w:tr>
        <w:trPr>
          <w:trHeight w:val="206"/>
        </w:trPr>
        <w:tc>
          <w:tcPr>
            <w:tcW w:w="580" w:type="dxa"/>
            <w:vAlign w:val="bottom"/>
            <w:gridSpan w:val="5"/>
          </w:tcPr>
          <w:p>
            <w:pPr>
              <w:ind w:left="20"/>
              <w:spacing w:after="0" w:line="20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rPr>
              <w:t>Amended and Restated 2007 Employee Stock Purchase Plan (filed as Exhibit 10.2 to the Company’s Form 10-Q for the quarter ended July 2,</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2016 and incorporated herein by reference) (2).</w:t>
            </w:r>
          </w:p>
        </w:tc>
      </w:tr>
      <w:tr>
        <w:trPr>
          <w:trHeight w:val="206"/>
        </w:trPr>
        <w:tc>
          <w:tcPr>
            <w:tcW w:w="420" w:type="dxa"/>
            <w:vAlign w:val="bottom"/>
            <w:gridSpan w:val="4"/>
          </w:tcPr>
          <w:p>
            <w:pPr>
              <w:ind w:left="20"/>
              <w:spacing w:after="0" w:line="206" w:lineRule="exact"/>
              <w:rPr>
                <w:rFonts w:ascii="Times New Roman" w:cs="Times New Roman" w:eastAsia="Times New Roman" w:hAnsi="Times New Roman"/>
                <w:sz w:val="18"/>
                <w:szCs w:val="18"/>
                <w:color w:val="0000FF"/>
                <w:w w:val="93"/>
              </w:rPr>
            </w:pPr>
            <w:hyperlink r:id="rId142">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
          </w:tcPr>
          <w:p>
            <w:pPr>
              <w:ind w:left="200"/>
              <w:spacing w:after="0" w:line="206" w:lineRule="exact"/>
              <w:rPr>
                <w:sz w:val="20"/>
                <w:szCs w:val="20"/>
                <w:color w:val="auto"/>
              </w:rPr>
            </w:pPr>
            <w:r>
              <w:rPr>
                <w:rFonts w:ascii="Times New Roman" w:cs="Times New Roman" w:eastAsia="Times New Roman" w:hAnsi="Times New Roman"/>
                <w:sz w:val="18"/>
                <w:szCs w:val="18"/>
                <w:color w:val="auto"/>
                <w:w w:val="98"/>
              </w:rPr>
              <w:t>Employment Agreement effective as of May 16, 2016 between the Company and Christopher A. Simon (filed as Exhibit 10.1 to the Company’s</w:t>
            </w: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 8-K dated May 10, 2016 and incorporated herein by reference) (2).</w:t>
            </w:r>
          </w:p>
        </w:tc>
      </w:tr>
      <w:tr>
        <w:trPr>
          <w:trHeight w:val="90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0" w:type="dxa"/>
            <w:vAlign w:val="bottom"/>
            <w:gridSpan w:val="3"/>
          </w:tcPr>
          <w:p>
            <w:pPr>
              <w:jc w:val="right"/>
              <w:ind w:right="5392"/>
              <w:spacing w:after="0"/>
              <w:rPr>
                <w:sz w:val="20"/>
                <w:szCs w:val="20"/>
                <w:color w:val="auto"/>
              </w:rPr>
            </w:pPr>
            <w:r>
              <w:rPr>
                <w:rFonts w:ascii="Times New Roman" w:cs="Times New Roman" w:eastAsia="Times New Roman" w:hAnsi="Times New Roman"/>
                <w:sz w:val="18"/>
                <w:szCs w:val="18"/>
                <w:color w:val="auto"/>
              </w:rPr>
              <w:t>102</w:t>
            </w:r>
          </w:p>
        </w:tc>
      </w:tr>
      <w:tr>
        <w:trPr>
          <w:trHeight w:val="111"/>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9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3"/>
              </w:rPr>
            </w:pPr>
            <w:hyperlink r:id="rId145">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14</w:t>
            </w:r>
          </w:p>
        </w:tc>
        <w:tc>
          <w:tcPr>
            <w:tcW w:w="320" w:type="dxa"/>
            <w:vAlign w:val="bottom"/>
          </w:tcPr>
          <w:p>
            <w:pPr>
              <w:spacing w:after="0"/>
              <w:rPr>
                <w:sz w:val="17"/>
                <w:szCs w:val="17"/>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Executive Severance Agreement between the Company and Christopher A. Simon dated as of November 7, 2017 (filed as Exhibit 10.4 to the</w:t>
            </w: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Company’s Form 10-Q dated for the quarter ended September 30, 2017 and incorporated herein by reference) (2).</w:t>
            </w:r>
          </w:p>
        </w:tc>
        <w:tc>
          <w:tcPr>
            <w:tcW w:w="0" w:type="dxa"/>
            <w:vAlign w:val="bottom"/>
          </w:tcPr>
          <w:p>
            <w:pPr>
              <w:spacing w:after="0"/>
              <w:rPr>
                <w:sz w:val="1"/>
                <w:szCs w:val="1"/>
                <w:color w:val="auto"/>
              </w:rPr>
            </w:pPr>
          </w:p>
        </w:tc>
      </w:tr>
      <w:tr>
        <w:trPr>
          <w:trHeight w:val="206"/>
        </w:trPr>
        <w:tc>
          <w:tcPr>
            <w:tcW w:w="720" w:type="dxa"/>
            <w:vAlign w:val="bottom"/>
            <w:gridSpan w:val="2"/>
          </w:tcPr>
          <w:p>
            <w:pPr>
              <w:jc w:val="right"/>
              <w:ind w:right="320"/>
              <w:spacing w:after="0" w:line="206" w:lineRule="exact"/>
              <w:rPr>
                <w:rFonts w:ascii="Times New Roman" w:cs="Times New Roman" w:eastAsia="Times New Roman" w:hAnsi="Times New Roman"/>
                <w:sz w:val="18"/>
                <w:szCs w:val="18"/>
                <w:color w:val="0000FF"/>
                <w:w w:val="93"/>
              </w:rPr>
            </w:pPr>
            <w:hyperlink r:id="rId14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15</w:t>
              </w:r>
            </w:hyperlink>
          </w:p>
        </w:tc>
        <w:tc>
          <w:tcPr>
            <w:tcW w:w="10480" w:type="dxa"/>
            <w:vAlign w:val="bottom"/>
          </w:tcPr>
          <w:p>
            <w:pPr>
              <w:ind w:left="300"/>
              <w:spacing w:after="0" w:line="206" w:lineRule="exact"/>
              <w:rPr>
                <w:sz w:val="20"/>
                <w:szCs w:val="20"/>
                <w:color w:val="auto"/>
              </w:rPr>
            </w:pPr>
            <w:r>
              <w:rPr>
                <w:rFonts w:ascii="Times New Roman" w:cs="Times New Roman" w:eastAsia="Times New Roman" w:hAnsi="Times New Roman"/>
                <w:sz w:val="18"/>
                <w:szCs w:val="18"/>
                <w:color w:val="auto"/>
              </w:rPr>
              <w:t>Change in Control Agreement between the Company and Christopher A. Simon dated as of November 7, 2017 (filed as Exhibit 10.5 to the</w:t>
            </w:r>
          </w:p>
        </w:tc>
        <w:tc>
          <w:tcPr>
            <w:tcW w:w="0" w:type="dxa"/>
            <w:vAlign w:val="bottom"/>
          </w:tcPr>
          <w:p>
            <w:pPr>
              <w:spacing w:after="0"/>
              <w:rPr>
                <w:sz w:val="1"/>
                <w:szCs w:val="1"/>
                <w:color w:val="auto"/>
              </w:rPr>
            </w:pPr>
          </w:p>
        </w:tc>
      </w:tr>
      <w:tr>
        <w:trPr>
          <w:trHeight w:val="211"/>
        </w:trPr>
        <w:tc>
          <w:tcPr>
            <w:tcW w:w="4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Company’s Form 10-Q dated for the quarter ended September 30, 2017 and incorporated herein by reference) (2).</w:t>
            </w:r>
          </w:p>
        </w:tc>
        <w:tc>
          <w:tcPr>
            <w:tcW w:w="0" w:type="dxa"/>
            <w:vAlign w:val="bottom"/>
          </w:tcPr>
          <w:p>
            <w:pPr>
              <w:spacing w:after="0"/>
              <w:rPr>
                <w:sz w:val="1"/>
                <w:szCs w:val="1"/>
                <w:color w:val="auto"/>
              </w:rPr>
            </w:pPr>
          </w:p>
        </w:tc>
      </w:tr>
      <w:tr>
        <w:trPr>
          <w:trHeight w:val="206"/>
        </w:trPr>
        <w:tc>
          <w:tcPr>
            <w:tcW w:w="720" w:type="dxa"/>
            <w:vAlign w:val="bottom"/>
            <w:gridSpan w:val="2"/>
          </w:tcPr>
          <w:p>
            <w:pPr>
              <w:jc w:val="right"/>
              <w:ind w:right="320"/>
              <w:spacing w:after="0" w:line="206" w:lineRule="exact"/>
              <w:rPr>
                <w:rFonts w:ascii="Times New Roman" w:cs="Times New Roman" w:eastAsia="Times New Roman" w:hAnsi="Times New Roman"/>
                <w:sz w:val="18"/>
                <w:szCs w:val="18"/>
                <w:color w:val="0000FF"/>
                <w:w w:val="93"/>
              </w:rPr>
            </w:pPr>
            <w:hyperlink r:id="rId14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16</w:t>
              </w:r>
            </w:hyperlink>
          </w:p>
        </w:tc>
        <w:tc>
          <w:tcPr>
            <w:tcW w:w="10480" w:type="dxa"/>
            <w:vAlign w:val="bottom"/>
          </w:tcPr>
          <w:p>
            <w:pPr>
              <w:ind w:left="300"/>
              <w:spacing w:after="0" w:line="206" w:lineRule="exact"/>
              <w:rPr>
                <w:sz w:val="20"/>
                <w:szCs w:val="20"/>
                <w:color w:val="auto"/>
              </w:rPr>
            </w:pPr>
            <w:r>
              <w:rPr>
                <w:rFonts w:ascii="Times New Roman" w:cs="Times New Roman" w:eastAsia="Times New Roman" w:hAnsi="Times New Roman"/>
                <w:sz w:val="18"/>
                <w:szCs w:val="18"/>
                <w:color w:val="auto"/>
                <w:w w:val="99"/>
              </w:rPr>
              <w:t>Form of Executive Severance Agreement between the Company and executive officers other than Christopher A. Simon (filed as Exhibit 10.2</w:t>
            </w:r>
          </w:p>
        </w:tc>
        <w:tc>
          <w:tcPr>
            <w:tcW w:w="0" w:type="dxa"/>
            <w:vAlign w:val="bottom"/>
          </w:tcPr>
          <w:p>
            <w:pPr>
              <w:spacing w:after="0"/>
              <w:rPr>
                <w:sz w:val="1"/>
                <w:szCs w:val="1"/>
                <w:color w:val="auto"/>
              </w:rPr>
            </w:pPr>
          </w:p>
        </w:tc>
      </w:tr>
      <w:tr>
        <w:trPr>
          <w:trHeight w:val="211"/>
        </w:trPr>
        <w:tc>
          <w:tcPr>
            <w:tcW w:w="4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the Company’s Form 10-Q for the quarter ended September 30, 2017 and incorporated herein by reference) (2).</w:t>
            </w:r>
          </w:p>
        </w:tc>
        <w:tc>
          <w:tcPr>
            <w:tcW w:w="0" w:type="dxa"/>
            <w:vAlign w:val="bottom"/>
          </w:tcPr>
          <w:p>
            <w:pPr>
              <w:spacing w:after="0"/>
              <w:rPr>
                <w:sz w:val="1"/>
                <w:szCs w:val="1"/>
                <w:color w:val="auto"/>
              </w:rPr>
            </w:pPr>
          </w:p>
        </w:tc>
      </w:tr>
      <w:tr>
        <w:trPr>
          <w:trHeight w:val="206"/>
        </w:trPr>
        <w:tc>
          <w:tcPr>
            <w:tcW w:w="720" w:type="dxa"/>
            <w:vAlign w:val="bottom"/>
            <w:gridSpan w:val="2"/>
          </w:tcPr>
          <w:p>
            <w:pPr>
              <w:jc w:val="right"/>
              <w:ind w:right="320"/>
              <w:spacing w:after="0" w:line="206" w:lineRule="exact"/>
              <w:rPr>
                <w:rFonts w:ascii="Times New Roman" w:cs="Times New Roman" w:eastAsia="Times New Roman" w:hAnsi="Times New Roman"/>
                <w:sz w:val="18"/>
                <w:szCs w:val="18"/>
                <w:color w:val="0000FF"/>
                <w:w w:val="93"/>
              </w:rPr>
            </w:pPr>
            <w:hyperlink r:id="rId148">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17</w:t>
              </w:r>
            </w:hyperlink>
          </w:p>
        </w:tc>
        <w:tc>
          <w:tcPr>
            <w:tcW w:w="10480" w:type="dxa"/>
            <w:vAlign w:val="bottom"/>
          </w:tcPr>
          <w:p>
            <w:pPr>
              <w:ind w:left="300"/>
              <w:spacing w:after="0" w:line="206" w:lineRule="exact"/>
              <w:rPr>
                <w:sz w:val="20"/>
                <w:szCs w:val="20"/>
                <w:color w:val="auto"/>
              </w:rPr>
            </w:pPr>
            <w:r>
              <w:rPr>
                <w:rFonts w:ascii="Times New Roman" w:cs="Times New Roman" w:eastAsia="Times New Roman" w:hAnsi="Times New Roman"/>
                <w:sz w:val="18"/>
                <w:szCs w:val="18"/>
                <w:color w:val="auto"/>
                <w:w w:val="99"/>
              </w:rPr>
              <w:t>Form of Change in Control Agreement between the Company and executive officers other than Christopher A. Simon (filed as Exhibit 10.3 to</w:t>
            </w:r>
          </w:p>
        </w:tc>
        <w:tc>
          <w:tcPr>
            <w:tcW w:w="0" w:type="dxa"/>
            <w:vAlign w:val="bottom"/>
          </w:tcPr>
          <w:p>
            <w:pPr>
              <w:spacing w:after="0"/>
              <w:rPr>
                <w:sz w:val="1"/>
                <w:szCs w:val="1"/>
                <w:color w:val="auto"/>
              </w:rPr>
            </w:pPr>
          </w:p>
        </w:tc>
      </w:tr>
      <w:tr>
        <w:trPr>
          <w:trHeight w:val="211"/>
        </w:trPr>
        <w:tc>
          <w:tcPr>
            <w:tcW w:w="4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Company’s Form 10-Q for the quarter ended September 30, 2017 and incorporated herein by reference) (2).</w:t>
            </w:r>
          </w:p>
        </w:tc>
        <w:tc>
          <w:tcPr>
            <w:tcW w:w="0" w:type="dxa"/>
            <w:vAlign w:val="bottom"/>
          </w:tcPr>
          <w:p>
            <w:pPr>
              <w:spacing w:after="0"/>
              <w:rPr>
                <w:sz w:val="1"/>
                <w:szCs w:val="1"/>
                <w:color w:val="auto"/>
              </w:rPr>
            </w:pPr>
          </w:p>
        </w:tc>
      </w:tr>
      <w:tr>
        <w:trPr>
          <w:trHeight w:val="206"/>
        </w:trPr>
        <w:tc>
          <w:tcPr>
            <w:tcW w:w="720" w:type="dxa"/>
            <w:vAlign w:val="bottom"/>
            <w:gridSpan w:val="2"/>
          </w:tcPr>
          <w:p>
            <w:pPr>
              <w:jc w:val="right"/>
              <w:ind w:right="320"/>
              <w:spacing w:after="0" w:line="206" w:lineRule="exact"/>
              <w:rPr>
                <w:rFonts w:ascii="Times New Roman" w:cs="Times New Roman" w:eastAsia="Times New Roman" w:hAnsi="Times New Roman"/>
                <w:sz w:val="18"/>
                <w:szCs w:val="18"/>
                <w:color w:val="0000FF"/>
                <w:w w:val="93"/>
              </w:rPr>
            </w:pPr>
            <w:hyperlink r:id="rId149">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18</w:t>
              </w:r>
            </w:hyperlink>
          </w:p>
        </w:tc>
        <w:tc>
          <w:tcPr>
            <w:tcW w:w="10480" w:type="dxa"/>
            <w:vAlign w:val="bottom"/>
          </w:tcPr>
          <w:p>
            <w:pPr>
              <w:ind w:left="300"/>
              <w:spacing w:after="0" w:line="206" w:lineRule="exact"/>
              <w:rPr>
                <w:sz w:val="20"/>
                <w:szCs w:val="20"/>
                <w:color w:val="auto"/>
              </w:rPr>
            </w:pPr>
            <w:r>
              <w:rPr>
                <w:rFonts w:ascii="Times New Roman" w:cs="Times New Roman" w:eastAsia="Times New Roman" w:hAnsi="Times New Roman"/>
                <w:sz w:val="18"/>
                <w:szCs w:val="18"/>
                <w:color w:val="auto"/>
              </w:rPr>
              <w:t>Haemonetics Corporation Worldwide Employee Bonus Plan (as amended and restated effective May 13, 2023) (filed as Exhibit 10.1 to the</w:t>
            </w:r>
          </w:p>
        </w:tc>
        <w:tc>
          <w:tcPr>
            <w:tcW w:w="0" w:type="dxa"/>
            <w:vAlign w:val="bottom"/>
          </w:tcPr>
          <w:p>
            <w:pPr>
              <w:spacing w:after="0"/>
              <w:rPr>
                <w:sz w:val="1"/>
                <w:szCs w:val="1"/>
                <w:color w:val="auto"/>
              </w:rPr>
            </w:pPr>
          </w:p>
        </w:tc>
      </w:tr>
      <w:tr>
        <w:trPr>
          <w:trHeight w:val="211"/>
        </w:trPr>
        <w:tc>
          <w:tcPr>
            <w:tcW w:w="4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Company’s Form 10-Q for the quarter ended July 1, 2023 and incorporated herein by reference) (2).</w:t>
            </w:r>
          </w:p>
        </w:tc>
        <w:tc>
          <w:tcPr>
            <w:tcW w:w="0" w:type="dxa"/>
            <w:vAlign w:val="bottom"/>
          </w:tcPr>
          <w:p>
            <w:pPr>
              <w:spacing w:after="0"/>
              <w:rPr>
                <w:sz w:val="1"/>
                <w:szCs w:val="1"/>
                <w:color w:val="auto"/>
              </w:rPr>
            </w:pPr>
          </w:p>
        </w:tc>
      </w:tr>
      <w:tr>
        <w:trPr>
          <w:trHeight w:val="206"/>
        </w:trPr>
        <w:tc>
          <w:tcPr>
            <w:tcW w:w="720" w:type="dxa"/>
            <w:vAlign w:val="bottom"/>
            <w:gridSpan w:val="2"/>
          </w:tcPr>
          <w:p>
            <w:pPr>
              <w:jc w:val="right"/>
              <w:ind w:right="320"/>
              <w:spacing w:after="0" w:line="206" w:lineRule="exact"/>
              <w:rPr>
                <w:rFonts w:ascii="Times New Roman" w:cs="Times New Roman" w:eastAsia="Times New Roman" w:hAnsi="Times New Roman"/>
                <w:sz w:val="18"/>
                <w:szCs w:val="18"/>
                <w:color w:val="0000FF"/>
                <w:w w:val="93"/>
              </w:rPr>
            </w:pPr>
            <w:hyperlink r:id="rId15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19</w:t>
              </w:r>
            </w:hyperlink>
          </w:p>
        </w:tc>
        <w:tc>
          <w:tcPr>
            <w:tcW w:w="10480" w:type="dxa"/>
            <w:vAlign w:val="bottom"/>
          </w:tcPr>
          <w:p>
            <w:pPr>
              <w:ind w:left="300"/>
              <w:spacing w:after="0" w:line="206" w:lineRule="exact"/>
              <w:rPr>
                <w:sz w:val="20"/>
                <w:szCs w:val="20"/>
                <w:color w:val="auto"/>
              </w:rPr>
            </w:pPr>
            <w:r>
              <w:rPr>
                <w:rFonts w:ascii="Times New Roman" w:cs="Times New Roman" w:eastAsia="Times New Roman" w:hAnsi="Times New Roman"/>
                <w:sz w:val="18"/>
                <w:szCs w:val="18"/>
                <w:color w:val="auto"/>
              </w:rPr>
              <w:t>Form of Indemnification Agreement (as executed with each director and executive officer of the Company) (filed as Exhibit 10.1 to the</w:t>
            </w:r>
          </w:p>
        </w:tc>
        <w:tc>
          <w:tcPr>
            <w:tcW w:w="0" w:type="dxa"/>
            <w:vAlign w:val="bottom"/>
          </w:tcPr>
          <w:p>
            <w:pPr>
              <w:spacing w:after="0"/>
              <w:rPr>
                <w:sz w:val="1"/>
                <w:szCs w:val="1"/>
                <w:color w:val="auto"/>
              </w:rPr>
            </w:pPr>
          </w:p>
        </w:tc>
      </w:tr>
      <w:tr>
        <w:trPr>
          <w:trHeight w:val="200"/>
        </w:trPr>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48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Company’s Form 10-Q for the quarter ended September 29, 2018 and incorporated herein by reference).</w:t>
            </w:r>
          </w:p>
        </w:tc>
        <w:tc>
          <w:tcPr>
            <w:tcW w:w="0" w:type="dxa"/>
            <w:vAlign w:val="bottom"/>
          </w:tcPr>
          <w:p>
            <w:pPr>
              <w:spacing w:after="0"/>
              <w:rPr>
                <w:sz w:val="1"/>
                <w:szCs w:val="1"/>
                <w:color w:val="auto"/>
              </w:rPr>
            </w:pPr>
          </w:p>
        </w:tc>
      </w:tr>
      <w:tr>
        <w:trPr>
          <w:trHeight w:val="191"/>
        </w:trPr>
        <w:tc>
          <w:tcPr>
            <w:tcW w:w="720" w:type="dxa"/>
            <w:vAlign w:val="bottom"/>
            <w:gridSpan w:val="2"/>
          </w:tcPr>
          <w:p>
            <w:pPr>
              <w:jc w:val="right"/>
              <w:ind w:right="320"/>
              <w:spacing w:after="0" w:line="191" w:lineRule="exact"/>
              <w:rPr>
                <w:rFonts w:ascii="Times New Roman" w:cs="Times New Roman" w:eastAsia="Times New Roman" w:hAnsi="Times New Roman"/>
                <w:sz w:val="18"/>
                <w:szCs w:val="18"/>
                <w:color w:val="0000FF"/>
                <w:w w:val="93"/>
              </w:rPr>
            </w:pPr>
            <w:hyperlink r:id="rId15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20</w:t>
              </w:r>
            </w:hyperlink>
          </w:p>
        </w:tc>
        <w:tc>
          <w:tcPr>
            <w:tcW w:w="1048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Office Lease Agreement, dated as of December 18, 2018, by and between OPG 125 Summer Owner (DE) LLC and the Company (filed as</w:t>
            </w:r>
          </w:p>
        </w:tc>
        <w:tc>
          <w:tcPr>
            <w:tcW w:w="0" w:type="dxa"/>
            <w:vAlign w:val="bottom"/>
          </w:tcPr>
          <w:p>
            <w:pPr>
              <w:spacing w:after="0"/>
              <w:rPr>
                <w:sz w:val="1"/>
                <w:szCs w:val="1"/>
                <w:color w:val="auto"/>
              </w:rPr>
            </w:pPr>
          </w:p>
        </w:tc>
      </w:tr>
      <w:tr>
        <w:trPr>
          <w:trHeight w:val="200"/>
        </w:trPr>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48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Exhibit 10.4 to the Company’s Form 10-Q for the quarter ended December 30, 2023 and incorporated herein by reference) (1).</w:t>
            </w:r>
          </w:p>
        </w:tc>
        <w:tc>
          <w:tcPr>
            <w:tcW w:w="0" w:type="dxa"/>
            <w:vAlign w:val="bottom"/>
          </w:tcPr>
          <w:p>
            <w:pPr>
              <w:spacing w:after="0"/>
              <w:rPr>
                <w:sz w:val="1"/>
                <w:szCs w:val="1"/>
                <w:color w:val="auto"/>
              </w:rPr>
            </w:pPr>
          </w:p>
        </w:tc>
      </w:tr>
      <w:tr>
        <w:trPr>
          <w:trHeight w:val="191"/>
        </w:trPr>
        <w:tc>
          <w:tcPr>
            <w:tcW w:w="720" w:type="dxa"/>
            <w:vAlign w:val="bottom"/>
            <w:gridSpan w:val="2"/>
          </w:tcPr>
          <w:p>
            <w:pPr>
              <w:jc w:val="right"/>
              <w:ind w:right="320"/>
              <w:spacing w:after="0" w:line="191" w:lineRule="exact"/>
              <w:rPr>
                <w:rFonts w:ascii="Times New Roman" w:cs="Times New Roman" w:eastAsia="Times New Roman" w:hAnsi="Times New Roman"/>
                <w:sz w:val="18"/>
                <w:szCs w:val="18"/>
                <w:color w:val="0000FF"/>
                <w:w w:val="93"/>
              </w:rPr>
            </w:pPr>
            <w:hyperlink r:id="rId15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21</w:t>
              </w:r>
            </w:hyperlink>
          </w:p>
        </w:tc>
        <w:tc>
          <w:tcPr>
            <w:tcW w:w="1048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w w:val="98"/>
              </w:rPr>
              <w:t>Industrial Lease Agreement, dated as of May 22, 2020, by and between Clinton Commerce III, LLC and the Company (filed as Exhibit 10.1 to</w:t>
            </w:r>
          </w:p>
        </w:tc>
        <w:tc>
          <w:tcPr>
            <w:tcW w:w="0" w:type="dxa"/>
            <w:vAlign w:val="bottom"/>
          </w:tcPr>
          <w:p>
            <w:pPr>
              <w:spacing w:after="0"/>
              <w:rPr>
                <w:sz w:val="1"/>
                <w:szCs w:val="1"/>
                <w:color w:val="auto"/>
              </w:rPr>
            </w:pPr>
          </w:p>
        </w:tc>
      </w:tr>
      <w:tr>
        <w:trPr>
          <w:trHeight w:val="200"/>
        </w:trPr>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48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the Company’s Form 10-Q for the quarter ended June 27, 2020 and incorporated herein by reference) (1).</w:t>
            </w:r>
          </w:p>
        </w:tc>
        <w:tc>
          <w:tcPr>
            <w:tcW w:w="0" w:type="dxa"/>
            <w:vAlign w:val="bottom"/>
          </w:tcPr>
          <w:p>
            <w:pPr>
              <w:spacing w:after="0"/>
              <w:rPr>
                <w:sz w:val="1"/>
                <w:szCs w:val="1"/>
                <w:color w:val="auto"/>
              </w:rPr>
            </w:pPr>
          </w:p>
        </w:tc>
      </w:tr>
      <w:tr>
        <w:trPr>
          <w:trHeight w:val="191"/>
        </w:trPr>
        <w:tc>
          <w:tcPr>
            <w:tcW w:w="720" w:type="dxa"/>
            <w:vAlign w:val="bottom"/>
            <w:gridSpan w:val="2"/>
          </w:tcPr>
          <w:p>
            <w:pPr>
              <w:jc w:val="right"/>
              <w:ind w:right="320"/>
              <w:spacing w:after="0" w:line="191" w:lineRule="exact"/>
              <w:rPr>
                <w:rFonts w:ascii="Times New Roman" w:cs="Times New Roman" w:eastAsia="Times New Roman" w:hAnsi="Times New Roman"/>
                <w:sz w:val="18"/>
                <w:szCs w:val="18"/>
                <w:color w:val="0000FF"/>
                <w:w w:val="93"/>
              </w:rPr>
            </w:pPr>
            <w:hyperlink r:id="rId153">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22</w:t>
              </w:r>
            </w:hyperlink>
          </w:p>
        </w:tc>
        <w:tc>
          <w:tcPr>
            <w:tcW w:w="1048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w w:val="99"/>
              </w:rPr>
              <w:t>First Amendment to Industrial Lease Agreement, dated as of October 1, 2020, by and between Clinton Commerce III, LLC and the Company</w:t>
            </w:r>
          </w:p>
        </w:tc>
        <w:tc>
          <w:tcPr>
            <w:tcW w:w="0" w:type="dxa"/>
            <w:vAlign w:val="bottom"/>
          </w:tcPr>
          <w:p>
            <w:pPr>
              <w:spacing w:after="0"/>
              <w:rPr>
                <w:sz w:val="1"/>
                <w:szCs w:val="1"/>
                <w:color w:val="auto"/>
              </w:rPr>
            </w:pPr>
          </w:p>
        </w:tc>
      </w:tr>
      <w:tr>
        <w:trPr>
          <w:trHeight w:val="200"/>
        </w:trPr>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48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(filed as Exhibit 10.1 to the Company’s Form 10-Q for the quarter ended December 26, 2020 and incorporated herein by reference).</w:t>
            </w:r>
          </w:p>
        </w:tc>
        <w:tc>
          <w:tcPr>
            <w:tcW w:w="0" w:type="dxa"/>
            <w:vAlign w:val="bottom"/>
          </w:tcPr>
          <w:p>
            <w:pPr>
              <w:spacing w:after="0"/>
              <w:rPr>
                <w:sz w:val="1"/>
                <w:szCs w:val="1"/>
                <w:color w:val="auto"/>
              </w:rPr>
            </w:pPr>
          </w:p>
        </w:tc>
      </w:tr>
      <w:tr>
        <w:trPr>
          <w:trHeight w:val="191"/>
        </w:trPr>
        <w:tc>
          <w:tcPr>
            <w:tcW w:w="720" w:type="dxa"/>
            <w:vAlign w:val="bottom"/>
            <w:gridSpan w:val="2"/>
          </w:tcPr>
          <w:p>
            <w:pPr>
              <w:jc w:val="right"/>
              <w:ind w:right="320"/>
              <w:spacing w:after="0" w:line="191" w:lineRule="exact"/>
              <w:rPr>
                <w:rFonts w:ascii="Times New Roman" w:cs="Times New Roman" w:eastAsia="Times New Roman" w:hAnsi="Times New Roman"/>
                <w:sz w:val="18"/>
                <w:szCs w:val="18"/>
                <w:color w:val="0000FF"/>
                <w:w w:val="93"/>
              </w:rPr>
            </w:pPr>
            <w:hyperlink r:id="rId15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23</w:t>
              </w:r>
            </w:hyperlink>
          </w:p>
        </w:tc>
        <w:tc>
          <w:tcPr>
            <w:tcW w:w="1048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w w:val="98"/>
              </w:rPr>
              <w:t>Lease dated February 21, 2000 between BBVA Bancomer Servicios, S.A., as Trustee of the “Submetropoli de Tijuana” Trust and Haemonetics</w:t>
            </w:r>
          </w:p>
        </w:tc>
        <w:tc>
          <w:tcPr>
            <w:tcW w:w="0" w:type="dxa"/>
            <w:vAlign w:val="bottom"/>
          </w:tcPr>
          <w:p>
            <w:pPr>
              <w:spacing w:after="0"/>
              <w:rPr>
                <w:sz w:val="1"/>
                <w:szCs w:val="1"/>
                <w:color w:val="auto"/>
              </w:rPr>
            </w:pPr>
          </w:p>
        </w:tc>
      </w:tr>
      <w:tr>
        <w:trPr>
          <w:trHeight w:val="139"/>
        </w:trPr>
        <w:tc>
          <w:tcPr>
            <w:tcW w:w="40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480" w:type="dxa"/>
            <w:vAlign w:val="bottom"/>
          </w:tcPr>
          <w:p>
            <w:pPr>
              <w:ind w:left="300"/>
              <w:spacing w:after="0" w:line="139" w:lineRule="exact"/>
              <w:rPr>
                <w:sz w:val="20"/>
                <w:szCs w:val="20"/>
                <w:color w:val="auto"/>
              </w:rPr>
            </w:pPr>
            <w:r>
              <w:rPr>
                <w:rFonts w:ascii="Times New Roman" w:cs="Times New Roman" w:eastAsia="Times New Roman" w:hAnsi="Times New Roman"/>
                <w:sz w:val="15"/>
                <w:szCs w:val="15"/>
                <w:color w:val="auto"/>
              </w:rPr>
              <w:t>Mexico Manufacturing, S. de R.L. de C.V., as successor in interest to Ensatec, S.A. de C.V. with authorization of El Florido California, S.A. de</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8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C.V., for property located in Tijuana, Mexico (filed as Exhibit 10J to the Company’s Form 10-K for the year ended March 30, 2013 and</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91"/>
        </w:trPr>
        <w:tc>
          <w:tcPr>
            <w:tcW w:w="720" w:type="dxa"/>
            <w:vAlign w:val="bottom"/>
            <w:gridSpan w:val="2"/>
          </w:tcPr>
          <w:p>
            <w:pPr>
              <w:jc w:val="right"/>
              <w:ind w:right="320"/>
              <w:spacing w:after="0" w:line="191" w:lineRule="exact"/>
              <w:rPr>
                <w:rFonts w:ascii="Times New Roman" w:cs="Times New Roman" w:eastAsia="Times New Roman" w:hAnsi="Times New Roman"/>
                <w:sz w:val="18"/>
                <w:szCs w:val="18"/>
                <w:color w:val="0000FF"/>
                <w:w w:val="93"/>
              </w:rPr>
            </w:pPr>
            <w:hyperlink r:id="rId15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24</w:t>
              </w:r>
            </w:hyperlink>
          </w:p>
        </w:tc>
        <w:tc>
          <w:tcPr>
            <w:tcW w:w="1048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Amendment to Lease dated February 21, 2000 made as of July 25, 2008 between BBVA Bancomer Servicios, S.A., as Trustee of the</w:t>
            </w:r>
          </w:p>
        </w:tc>
        <w:tc>
          <w:tcPr>
            <w:tcW w:w="0" w:type="dxa"/>
            <w:vAlign w:val="bottom"/>
          </w:tcPr>
          <w:p>
            <w:pPr>
              <w:spacing w:after="0"/>
              <w:rPr>
                <w:sz w:val="1"/>
                <w:szCs w:val="1"/>
                <w:color w:val="auto"/>
              </w:rPr>
            </w:pPr>
          </w:p>
        </w:tc>
      </w:tr>
      <w:tr>
        <w:trPr>
          <w:trHeight w:val="139"/>
        </w:trPr>
        <w:tc>
          <w:tcPr>
            <w:tcW w:w="40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480" w:type="dxa"/>
            <w:vAlign w:val="bottom"/>
          </w:tcPr>
          <w:p>
            <w:pPr>
              <w:ind w:left="300"/>
              <w:spacing w:after="0" w:line="139" w:lineRule="exact"/>
              <w:rPr>
                <w:sz w:val="20"/>
                <w:szCs w:val="20"/>
                <w:color w:val="auto"/>
              </w:rPr>
            </w:pPr>
            <w:r>
              <w:rPr>
                <w:rFonts w:ascii="Times New Roman" w:cs="Times New Roman" w:eastAsia="Times New Roman" w:hAnsi="Times New Roman"/>
                <w:sz w:val="15"/>
                <w:szCs w:val="15"/>
                <w:color w:val="auto"/>
              </w:rPr>
              <w:t>“Submetropoli de Tijuana” Trust Haemonetics Mexico Manufacturing, S. de R.L. de C.V., as successor in interest to Ensatec, S.A. de C.V., for</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8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property located in Tijuana, Mexico (filed as Exhibit 10K to the Company’s Form 10-K for the year ended March 30, 2013 and incorporated</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191"/>
        </w:trPr>
        <w:tc>
          <w:tcPr>
            <w:tcW w:w="720" w:type="dxa"/>
            <w:vAlign w:val="bottom"/>
            <w:gridSpan w:val="2"/>
          </w:tcPr>
          <w:p>
            <w:pPr>
              <w:jc w:val="right"/>
              <w:ind w:right="320"/>
              <w:spacing w:after="0" w:line="191" w:lineRule="exact"/>
              <w:rPr>
                <w:rFonts w:ascii="Times New Roman" w:cs="Times New Roman" w:eastAsia="Times New Roman" w:hAnsi="Times New Roman"/>
                <w:sz w:val="18"/>
                <w:szCs w:val="18"/>
                <w:color w:val="0000FF"/>
                <w:w w:val="93"/>
              </w:rPr>
            </w:pPr>
            <w:hyperlink r:id="rId15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25</w:t>
              </w:r>
            </w:hyperlink>
          </w:p>
        </w:tc>
        <w:tc>
          <w:tcPr>
            <w:tcW w:w="1048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w w:val="99"/>
              </w:rPr>
              <w:t>Extension to Lease dated February 21, 2000, made as of August 14, 2011 between PROCADEF 1, S.A.P.I. de C.V. and Haemonetics Mexico</w:t>
            </w:r>
          </w:p>
        </w:tc>
        <w:tc>
          <w:tcPr>
            <w:tcW w:w="0" w:type="dxa"/>
            <w:vAlign w:val="bottom"/>
          </w:tcPr>
          <w:p>
            <w:pPr>
              <w:spacing w:after="0"/>
              <w:rPr>
                <w:sz w:val="1"/>
                <w:szCs w:val="1"/>
                <w:color w:val="auto"/>
              </w:rPr>
            </w:pPr>
          </w:p>
        </w:tc>
      </w:tr>
      <w:tr>
        <w:trPr>
          <w:trHeight w:val="139"/>
        </w:trPr>
        <w:tc>
          <w:tcPr>
            <w:tcW w:w="40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480" w:type="dxa"/>
            <w:vAlign w:val="bottom"/>
          </w:tcPr>
          <w:p>
            <w:pPr>
              <w:ind w:left="300"/>
              <w:spacing w:after="0" w:line="139" w:lineRule="exact"/>
              <w:rPr>
                <w:sz w:val="20"/>
                <w:szCs w:val="20"/>
                <w:color w:val="auto"/>
              </w:rPr>
            </w:pPr>
            <w:r>
              <w:rPr>
                <w:rFonts w:ascii="Times New Roman" w:cs="Times New Roman" w:eastAsia="Times New Roman" w:hAnsi="Times New Roman"/>
                <w:sz w:val="15"/>
                <w:szCs w:val="15"/>
                <w:color w:val="auto"/>
              </w:rPr>
              <w:t>Manufacturing, S. de R.L. de C.V., as successor in interest to Ensatec, S.A. de C.V., for property located in Tijuana, Mexico (Spanish to English</w:t>
            </w: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translation filed as Exhibit 10L to the Company’s Form 10-K for the year ended March 30, 2013 and incorporated herein by reference).</w:t>
            </w:r>
          </w:p>
        </w:tc>
        <w:tc>
          <w:tcPr>
            <w:tcW w:w="0" w:type="dxa"/>
            <w:vAlign w:val="bottom"/>
          </w:tcPr>
          <w:p>
            <w:pPr>
              <w:spacing w:after="0"/>
              <w:rPr>
                <w:sz w:val="1"/>
                <w:szCs w:val="1"/>
                <w:color w:val="auto"/>
              </w:rPr>
            </w:pPr>
          </w:p>
        </w:tc>
      </w:tr>
      <w:tr>
        <w:trPr>
          <w:trHeight w:val="193"/>
        </w:trPr>
        <w:tc>
          <w:tcPr>
            <w:tcW w:w="720" w:type="dxa"/>
            <w:vAlign w:val="bottom"/>
            <w:gridSpan w:val="2"/>
          </w:tcPr>
          <w:p>
            <w:pPr>
              <w:jc w:val="right"/>
              <w:ind w:right="320"/>
              <w:spacing w:after="0" w:line="193" w:lineRule="exact"/>
              <w:rPr>
                <w:rFonts w:ascii="Times New Roman" w:cs="Times New Roman" w:eastAsia="Times New Roman" w:hAnsi="Times New Roman"/>
                <w:sz w:val="18"/>
                <w:szCs w:val="18"/>
                <w:color w:val="0000FF"/>
                <w:w w:val="93"/>
              </w:rPr>
            </w:pPr>
            <w:hyperlink r:id="rId15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26</w:t>
              </w:r>
            </w:hyperlink>
          </w:p>
        </w:tc>
        <w:tc>
          <w:tcPr>
            <w:tcW w:w="10480" w:type="dxa"/>
            <w:vAlign w:val="bottom"/>
          </w:tcPr>
          <w:p>
            <w:pPr>
              <w:ind w:left="300"/>
              <w:spacing w:after="0" w:line="193" w:lineRule="exact"/>
              <w:rPr>
                <w:sz w:val="20"/>
                <w:szCs w:val="20"/>
                <w:color w:val="auto"/>
              </w:rPr>
            </w:pPr>
            <w:r>
              <w:rPr>
                <w:rFonts w:ascii="Times New Roman" w:cs="Times New Roman" w:eastAsia="Times New Roman" w:hAnsi="Times New Roman"/>
                <w:sz w:val="18"/>
                <w:szCs w:val="18"/>
                <w:color w:val="auto"/>
                <w:w w:val="98"/>
              </w:rPr>
              <w:t>Amendment Letter to Lease dated February 21, 2000, made as of August 14, 2011 between BBVA Bancomer Servicios, S.A., as Trustee of the</w:t>
            </w:r>
          </w:p>
        </w:tc>
        <w:tc>
          <w:tcPr>
            <w:tcW w:w="0" w:type="dxa"/>
            <w:vAlign w:val="bottom"/>
          </w:tcPr>
          <w:p>
            <w:pPr>
              <w:spacing w:after="0"/>
              <w:rPr>
                <w:sz w:val="1"/>
                <w:szCs w:val="1"/>
                <w:color w:val="auto"/>
              </w:rPr>
            </w:pPr>
          </w:p>
        </w:tc>
      </w:tr>
      <w:tr>
        <w:trPr>
          <w:trHeight w:val="139"/>
        </w:trPr>
        <w:tc>
          <w:tcPr>
            <w:tcW w:w="40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480" w:type="dxa"/>
            <w:vAlign w:val="bottom"/>
          </w:tcPr>
          <w:p>
            <w:pPr>
              <w:ind w:left="300"/>
              <w:spacing w:after="0" w:line="139" w:lineRule="exact"/>
              <w:rPr>
                <w:sz w:val="20"/>
                <w:szCs w:val="20"/>
                <w:color w:val="auto"/>
              </w:rPr>
            </w:pPr>
            <w:r>
              <w:rPr>
                <w:rFonts w:ascii="Times New Roman" w:cs="Times New Roman" w:eastAsia="Times New Roman" w:hAnsi="Times New Roman"/>
                <w:sz w:val="15"/>
                <w:szCs w:val="15"/>
                <w:color w:val="auto"/>
              </w:rPr>
              <w:t>“Submetropoli de Tijuana” Trust and Haemonetics Mexico Manufacturing, S. de R.L. de C.V., as successor in interest to Ensatec, S.A. de C.V.,</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8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for property located in Tijuana, Mexico (filed as Exhibit 10M to the Company’s Form 10-K for the year ended March 30, 2013 and</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91"/>
        </w:trPr>
        <w:tc>
          <w:tcPr>
            <w:tcW w:w="720" w:type="dxa"/>
            <w:vAlign w:val="bottom"/>
            <w:gridSpan w:val="2"/>
          </w:tcPr>
          <w:p>
            <w:pPr>
              <w:jc w:val="right"/>
              <w:ind w:right="320"/>
              <w:spacing w:after="0" w:line="191" w:lineRule="exact"/>
              <w:rPr>
                <w:rFonts w:ascii="Times New Roman" w:cs="Times New Roman" w:eastAsia="Times New Roman" w:hAnsi="Times New Roman"/>
                <w:sz w:val="18"/>
                <w:szCs w:val="18"/>
                <w:color w:val="0000FF"/>
                <w:w w:val="93"/>
              </w:rPr>
            </w:pPr>
            <w:hyperlink r:id="rId158">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27</w:t>
              </w:r>
            </w:hyperlink>
          </w:p>
        </w:tc>
        <w:tc>
          <w:tcPr>
            <w:tcW w:w="1048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w w:val="97"/>
              </w:rPr>
              <w:t>Notice of Assignment to Lease dated February 21, 2000, made as of February 23, 2012 between BBVA Bancomer Servicios, S.A., as Trustee of</w:t>
            </w:r>
          </w:p>
        </w:tc>
        <w:tc>
          <w:tcPr>
            <w:tcW w:w="0" w:type="dxa"/>
            <w:vAlign w:val="bottom"/>
          </w:tcPr>
          <w:p>
            <w:pPr>
              <w:spacing w:after="0"/>
              <w:rPr>
                <w:sz w:val="1"/>
                <w:szCs w:val="1"/>
                <w:color w:val="auto"/>
              </w:rPr>
            </w:pPr>
          </w:p>
        </w:tc>
      </w:tr>
      <w:tr>
        <w:trPr>
          <w:trHeight w:val="139"/>
        </w:trPr>
        <w:tc>
          <w:tcPr>
            <w:tcW w:w="40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480" w:type="dxa"/>
            <w:vAlign w:val="bottom"/>
          </w:tcPr>
          <w:p>
            <w:pPr>
              <w:ind w:left="300"/>
              <w:spacing w:after="0" w:line="139" w:lineRule="exact"/>
              <w:rPr>
                <w:sz w:val="20"/>
                <w:szCs w:val="20"/>
                <w:color w:val="auto"/>
              </w:rPr>
            </w:pPr>
            <w:r>
              <w:rPr>
                <w:rFonts w:ascii="Times New Roman" w:cs="Times New Roman" w:eastAsia="Times New Roman" w:hAnsi="Times New Roman"/>
                <w:sz w:val="15"/>
                <w:szCs w:val="15"/>
                <w:color w:val="auto"/>
              </w:rPr>
              <w:t>the “Submetropoli de Tijuana” Trust and Haemonetics Mexico Manufacturing, S. de R.L. de C.V., as successor in interest to Ensatec, S.A. de</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8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C.V. for property located in Tijuana, Mexico (Spanish to English translation filed as Exhibit 10N to the Company’s Form 10-K for the year</w:t>
            </w:r>
          </w:p>
        </w:tc>
        <w:tc>
          <w:tcPr>
            <w:tcW w:w="0" w:type="dxa"/>
            <w:vAlign w:val="bottom"/>
          </w:tcPr>
          <w:p>
            <w:pPr>
              <w:spacing w:after="0"/>
              <w:rPr>
                <w:sz w:val="1"/>
                <w:szCs w:val="1"/>
                <w:color w:val="auto"/>
              </w:rPr>
            </w:pPr>
          </w:p>
        </w:tc>
      </w:tr>
      <w:tr>
        <w:trPr>
          <w:trHeight w:val="231"/>
        </w:trPr>
        <w:tc>
          <w:tcPr>
            <w:tcW w:w="400" w:type="dxa"/>
            <w:vAlign w:val="bottom"/>
            <w:vMerge w:val="restart"/>
          </w:tcPr>
          <w:p>
            <w:pPr>
              <w:jc w:val="right"/>
              <w:spacing w:after="0"/>
              <w:rPr>
                <w:rFonts w:ascii="Times New Roman" w:cs="Times New Roman" w:eastAsia="Times New Roman" w:hAnsi="Times New Roman"/>
                <w:sz w:val="18"/>
                <w:szCs w:val="18"/>
                <w:color w:val="0000FF"/>
                <w:w w:val="93"/>
              </w:rPr>
            </w:pPr>
            <w:r>
              <w:rPr>
                <w:rFonts w:ascii="Times New Roman" w:cs="Times New Roman" w:eastAsia="Times New Roman" w:hAnsi="Times New Roman"/>
                <w:sz w:val="18"/>
                <w:szCs w:val="18"/>
                <w:color w:val="0000FF"/>
                <w:w w:val="93"/>
              </w:rPr>
              <w:t>10.</w:t>
            </w:r>
            <w:hyperlink r:id="rId159">
              <w:r>
                <w:rPr>
                  <w:rFonts w:ascii="Times New Roman" w:cs="Times New Roman" w:eastAsia="Times New Roman" w:hAnsi="Times New Roman"/>
                  <w:sz w:val="18"/>
                  <w:szCs w:val="18"/>
                  <w:u w:val="single" w:color="auto"/>
                  <w:color w:val="0000FF"/>
                  <w:w w:val="93"/>
                </w:rPr>
                <w:t>28</w:t>
              </w:r>
            </w:hyperlink>
          </w:p>
        </w:tc>
        <w:tc>
          <w:tcPr>
            <w:tcW w:w="32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ended March 30, 2013 and incorporated herein by reference).</w:t>
            </w:r>
          </w:p>
        </w:tc>
        <w:tc>
          <w:tcPr>
            <w:tcW w:w="0" w:type="dxa"/>
            <w:vAlign w:val="bottom"/>
          </w:tcPr>
          <w:p>
            <w:pPr>
              <w:spacing w:after="0"/>
              <w:rPr>
                <w:sz w:val="1"/>
                <w:szCs w:val="1"/>
                <w:color w:val="auto"/>
              </w:rPr>
            </w:pPr>
          </w:p>
        </w:tc>
      </w:tr>
      <w:tr>
        <w:trPr>
          <w:trHeight w:val="190"/>
        </w:trPr>
        <w:tc>
          <w:tcPr>
            <w:tcW w:w="400" w:type="dxa"/>
            <w:vAlign w:val="bottom"/>
            <w:tcBorders>
              <w:bottom w:val="single" w:sz="8" w:color="0000FF"/>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048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Amendment to Lease dated February 21, 2000 made as of January 1, 2018 between MEGA2013, S.A.P.I. de CV (as successor in interest to</w:t>
            </w: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80" w:type="dxa"/>
            <w:vAlign w:val="bottom"/>
          </w:tcPr>
          <w:p>
            <w:pPr>
              <w:ind w:left="300"/>
              <w:spacing w:after="0" w:line="179" w:lineRule="exact"/>
              <w:rPr>
                <w:sz w:val="20"/>
                <w:szCs w:val="20"/>
                <w:color w:val="auto"/>
              </w:rPr>
            </w:pPr>
            <w:r>
              <w:rPr>
                <w:rFonts w:ascii="Times New Roman" w:cs="Times New Roman" w:eastAsia="Times New Roman" w:hAnsi="Times New Roman"/>
                <w:sz w:val="18"/>
                <w:szCs w:val="18"/>
                <w:color w:val="auto"/>
                <w:w w:val="99"/>
              </w:rPr>
              <w:t>BBVA Bancomer Servicios, S.A., as Trustee of the “Submetropoli de Tijuana” Trust) and Haemonetics Mexico Manufacturing, S. de R.L. de</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80" w:type="dxa"/>
            <w:vAlign w:val="bottom"/>
          </w:tcPr>
          <w:p>
            <w:pPr>
              <w:ind w:left="300"/>
              <w:spacing w:after="0" w:line="172" w:lineRule="exact"/>
              <w:rPr>
                <w:sz w:val="20"/>
                <w:szCs w:val="20"/>
                <w:color w:val="auto"/>
              </w:rPr>
            </w:pPr>
            <w:r>
              <w:rPr>
                <w:rFonts w:ascii="Times New Roman" w:cs="Times New Roman" w:eastAsia="Times New Roman" w:hAnsi="Times New Roman"/>
                <w:sz w:val="18"/>
                <w:szCs w:val="18"/>
                <w:color w:val="auto"/>
                <w:w w:val="97"/>
              </w:rPr>
              <w:t>C.V., as successor in interest to Ensatec, S.A. de C.V., for property located in Tijuana, Mexico (filed as Exhibit 10R to the Company’s Form 10-</w:t>
            </w: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 for the year ended March 31, 2018 and incorporated herein by reference).</w:t>
            </w:r>
          </w:p>
        </w:tc>
        <w:tc>
          <w:tcPr>
            <w:tcW w:w="0" w:type="dxa"/>
            <w:vAlign w:val="bottom"/>
          </w:tcPr>
          <w:p>
            <w:pPr>
              <w:spacing w:after="0"/>
              <w:rPr>
                <w:sz w:val="1"/>
                <w:szCs w:val="1"/>
                <w:color w:val="auto"/>
              </w:rPr>
            </w:pPr>
          </w:p>
        </w:tc>
      </w:tr>
      <w:tr>
        <w:trPr>
          <w:trHeight w:val="234"/>
        </w:trPr>
        <w:tc>
          <w:tcPr>
            <w:tcW w:w="720" w:type="dxa"/>
            <w:vAlign w:val="bottom"/>
            <w:gridSpan w:val="2"/>
          </w:tcPr>
          <w:p>
            <w:pPr>
              <w:jc w:val="right"/>
              <w:ind w:right="320"/>
              <w:spacing w:after="0"/>
              <w:rPr>
                <w:rFonts w:ascii="Times New Roman" w:cs="Times New Roman" w:eastAsia="Times New Roman" w:hAnsi="Times New Roman"/>
                <w:sz w:val="18"/>
                <w:szCs w:val="18"/>
                <w:u w:val="single" w:color="auto"/>
                <w:color w:val="0000FF"/>
                <w:w w:val="93"/>
              </w:rPr>
            </w:pPr>
            <w:hyperlink r:id="rId160">
              <w:r>
                <w:rPr>
                  <w:rFonts w:ascii="Times New Roman" w:cs="Times New Roman" w:eastAsia="Times New Roman" w:hAnsi="Times New Roman"/>
                  <w:sz w:val="18"/>
                  <w:szCs w:val="18"/>
                  <w:u w:val="single" w:color="auto"/>
                  <w:color w:val="0000FF"/>
                  <w:w w:val="93"/>
                </w:rPr>
                <w:t>10.29</w:t>
              </w:r>
            </w:hyperlink>
          </w:p>
        </w:tc>
        <w:tc>
          <w:tcPr>
            <w:tcW w:w="10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Sixth Amendment to Lease dated February 21, 2000, made as of December 13, 2023, by and between Santa Maria Industrial Partners, L.P. (as</w:t>
            </w:r>
          </w:p>
        </w:tc>
        <w:tc>
          <w:tcPr>
            <w:tcW w:w="0" w:type="dxa"/>
            <w:vAlign w:val="bottom"/>
          </w:tcPr>
          <w:p>
            <w:pPr>
              <w:spacing w:after="0"/>
              <w:rPr>
                <w:sz w:val="1"/>
                <w:szCs w:val="1"/>
                <w:color w:val="auto"/>
              </w:rPr>
            </w:pPr>
          </w:p>
        </w:tc>
      </w:tr>
    </w:tbl>
    <w:p>
      <w:pPr>
        <w:ind w:left="1040" w:right="360"/>
        <w:spacing w:after="0" w:line="219" w:lineRule="auto"/>
        <w:rPr>
          <w:sz w:val="20"/>
          <w:szCs w:val="20"/>
          <w:color w:val="auto"/>
        </w:rPr>
      </w:pPr>
      <w:r>
        <w:rPr>
          <w:rFonts w:ascii="Times New Roman" w:cs="Times New Roman" w:eastAsia="Times New Roman" w:hAnsi="Times New Roman"/>
          <w:sz w:val="17"/>
          <w:szCs w:val="17"/>
          <w:color w:val="auto"/>
        </w:rPr>
        <w:t>successor to the lease), Haemonetics Mexico Manufacturing, S. de R.L. de C.V. and the Company, in its capacity as guarantor, for property located in Tijuana, Mexico (filed as Exhibit 10.3 to the Company’s Form 10-Q for the quarter ended December 30, 2023 and incorporated</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herein by reference) (1).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30</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Agreement effective December 3, 2007 between Mrs. Blanca Estela Colunga Santelices, by her own right, and Pall Life Sciences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Mexico, S.de R.L. de C.V. for the property located in Tijuana, Mexico (Spanish to English translation filed as Exhibit 10W to the Company’s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10-K for the year ended March 30, 2013 and incorporated herein by reference).</w:t>
            </w:r>
          </w:p>
        </w:tc>
        <w:tc>
          <w:tcPr>
            <w:tcW w:w="0" w:type="dxa"/>
            <w:vAlign w:val="bottom"/>
          </w:tcPr>
          <w:p>
            <w:pPr>
              <w:spacing w:after="0"/>
              <w:rPr>
                <w:sz w:val="1"/>
                <w:szCs w:val="1"/>
                <w:color w:val="auto"/>
              </w:rPr>
            </w:pPr>
          </w:p>
        </w:tc>
      </w:tr>
      <w:tr>
        <w:trPr>
          <w:trHeight w:val="193"/>
        </w:trPr>
        <w:tc>
          <w:tcPr>
            <w:tcW w:w="440" w:type="dxa"/>
            <w:vAlign w:val="bottom"/>
            <w:gridSpan w:val="3"/>
          </w:tcPr>
          <w:p>
            <w:pPr>
              <w:ind w:left="20"/>
              <w:spacing w:after="0" w:line="193"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31</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rPr>
              <w:t>Assignment to Lease Agreement effective December 3, 2007, made as of December 2, 2011 between Mrs. Blanca Estela Colunga Santelices,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by her own right, Pall Life Sciences Mexico, S.de R.L. de C.V., (“Assignor”) and Haemonetics Mexico Manufacturing, S. de R.L. de C.V.as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successor in interest to Pall Mexico Manufacturing S. de R.L. de C.V., (“Assignee”) assigned in favor of the property located in Tijuana,</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 w:type="dxa"/>
            <w:vAlign w:val="bottom"/>
            <w:vMerge w:val="restart"/>
          </w:tcPr>
          <w:p>
            <w:pPr>
              <w:spacing w:after="0"/>
              <w:rPr>
                <w:rFonts w:ascii="Times New Roman" w:cs="Times New Roman" w:eastAsia="Times New Roman" w:hAnsi="Times New Roman"/>
                <w:sz w:val="18"/>
                <w:szCs w:val="18"/>
                <w:color w:val="0000FF"/>
                <w:w w:val="93"/>
              </w:rPr>
            </w:pPr>
            <w:r>
              <w:rPr>
                <w:rFonts w:ascii="Times New Roman" w:cs="Times New Roman" w:eastAsia="Times New Roman" w:hAnsi="Times New Roman"/>
                <w:sz w:val="18"/>
                <w:szCs w:val="18"/>
                <w:color w:val="0000FF"/>
                <w:w w:val="93"/>
              </w:rPr>
              <w:t>10.</w:t>
            </w:r>
            <w:hyperlink r:id="rId164">
              <w:r>
                <w:rPr>
                  <w:rFonts w:ascii="Times New Roman" w:cs="Times New Roman" w:eastAsia="Times New Roman" w:hAnsi="Times New Roman"/>
                  <w:sz w:val="18"/>
                  <w:szCs w:val="18"/>
                  <w:u w:val="single" w:color="auto"/>
                  <w:color w:val="0000FF"/>
                  <w:w w:val="93"/>
                </w:rPr>
                <w:t>32</w:t>
              </w:r>
            </w:hyperlink>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Mexico (filed as Exhibit 10X to the Company’s Form 10-K for the year ended March 30, 2013 and incorporated herein by reference).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Borders>
              <w:bottom w:val="single" w:sz="8" w:color="0000FF"/>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78" w:lineRule="exact"/>
              <w:rPr>
                <w:sz w:val="20"/>
                <w:szCs w:val="20"/>
                <w:color w:val="auto"/>
              </w:rPr>
            </w:pPr>
            <w:r>
              <w:rPr>
                <w:rFonts w:ascii="Times New Roman" w:cs="Times New Roman" w:eastAsia="Times New Roman" w:hAnsi="Times New Roman"/>
                <w:sz w:val="18"/>
                <w:szCs w:val="18"/>
                <w:color w:val="auto"/>
                <w:w w:val="98"/>
              </w:rPr>
              <w:t>Amendment to Lease Agreement effective December 3, 2007, made in 2017 between Mrs. Blanca Estela Colunga Santelices, by her own right,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60"/>
              <w:spacing w:after="0" w:line="179" w:lineRule="exact"/>
              <w:rPr>
                <w:sz w:val="20"/>
                <w:szCs w:val="20"/>
                <w:color w:val="auto"/>
              </w:rPr>
            </w:pPr>
            <w:r>
              <w:rPr>
                <w:rFonts w:ascii="Times New Roman" w:cs="Times New Roman" w:eastAsia="Times New Roman" w:hAnsi="Times New Roman"/>
                <w:sz w:val="18"/>
                <w:szCs w:val="18"/>
                <w:color w:val="auto"/>
                <w:w w:val="98"/>
              </w:rPr>
              <w:t>Pall Life Sciences Mexico, S.de R.L. de C.V. (“Assignor”) and Haemonetics Mexico Manufacturing, S. de R.L. de C.V. as successor in interest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6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to Pall Mexico Manufacturing S. de R.L. de C.V., (“Assignee”) assigned in favor of the property located in Tijuana, Mexico (filed as Exhibit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10U to the Company’s Form 10-K for the year ended March 31, 2018 and incorporated herein by reference).</w:t>
            </w:r>
          </w:p>
        </w:tc>
        <w:tc>
          <w:tcPr>
            <w:tcW w:w="0" w:type="dxa"/>
            <w:vAlign w:val="bottom"/>
          </w:tcPr>
          <w:p>
            <w:pPr>
              <w:spacing w:after="0"/>
              <w:rPr>
                <w:sz w:val="1"/>
                <w:szCs w:val="1"/>
                <w:color w:val="auto"/>
              </w:rPr>
            </w:pPr>
          </w:p>
        </w:tc>
      </w:tr>
      <w:tr>
        <w:trPr>
          <w:trHeight w:val="232"/>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33</w:t>
              </w:r>
            </w:hyperlink>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Second Amendment to Lease Agreement effective December 3, 2007, made as of June 17, 2022 between Mrs. Blanca Estela Colunga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Santelices and Haemonetics Mexico Manufacturing, S. de R.L. de C.V. (filed as Exhibit 10.1 to the Company’s Form 10-Q for the quarter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ended July 2, 2022 and incorporated herein by reference) (1).</w:t>
            </w:r>
          </w:p>
        </w:tc>
        <w:tc>
          <w:tcPr>
            <w:tcW w:w="0" w:type="dxa"/>
            <w:vAlign w:val="bottom"/>
          </w:tcPr>
          <w:p>
            <w:pPr>
              <w:spacing w:after="0"/>
              <w:rPr>
                <w:sz w:val="1"/>
                <w:szCs w:val="1"/>
                <w:color w:val="auto"/>
              </w:rPr>
            </w:pPr>
          </w:p>
        </w:tc>
      </w:tr>
      <w:tr>
        <w:trPr>
          <w:trHeight w:val="193"/>
        </w:trPr>
        <w:tc>
          <w:tcPr>
            <w:tcW w:w="440" w:type="dxa"/>
            <w:vAlign w:val="bottom"/>
            <w:gridSpan w:val="3"/>
          </w:tcPr>
          <w:p>
            <w:pPr>
              <w:ind w:left="20"/>
              <w:spacing w:after="0" w:line="193"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34</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w w:val="98"/>
              </w:rPr>
              <w:t>Lease dated September 19, 2013 between the Penang Development Corporation and Haemonetics Malaysia Sdn Bhd of the property located in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Penang, Malaysia (filed as Exhibit 10D to the Company’s 10-Q for the quarter ended June 28, 2014 and incorporated herein by reference).</w:t>
            </w:r>
          </w:p>
        </w:tc>
        <w:tc>
          <w:tcPr>
            <w:tcW w:w="0" w:type="dxa"/>
            <w:vAlign w:val="bottom"/>
          </w:tcPr>
          <w:p>
            <w:pPr>
              <w:spacing w:after="0"/>
              <w:rPr>
                <w:sz w:val="1"/>
                <w:szCs w:val="1"/>
                <w:color w:val="auto"/>
              </w:rPr>
            </w:pPr>
          </w:p>
        </w:tc>
      </w:tr>
      <w:tr>
        <w:trPr>
          <w:trHeight w:val="191"/>
        </w:trPr>
        <w:tc>
          <w:tcPr>
            <w:tcW w:w="440" w:type="dxa"/>
            <w:vAlign w:val="bottom"/>
            <w:gridSpan w:val="3"/>
          </w:tcPr>
          <w:p>
            <w:pPr>
              <w:ind w:left="20"/>
              <w:spacing w:after="0" w:line="191"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35</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9"/>
              </w:rPr>
              <w:t>Shelter Plan Service Agreement, dated June 10, 2014, by and between Cardiva Medical, Inc. and Offshore International, Incorporated (filed as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Exhibit 10.23 to Cardiva Medical, Inc.’s Form S-1 (File No. 333-251885) dated January 4, 2021 and incorporated herein by reference) (1).</w:t>
            </w:r>
          </w:p>
        </w:tc>
        <w:tc>
          <w:tcPr>
            <w:tcW w:w="0" w:type="dxa"/>
            <w:vAlign w:val="bottom"/>
          </w:tcPr>
          <w:p>
            <w:pPr>
              <w:spacing w:after="0"/>
              <w:rPr>
                <w:sz w:val="1"/>
                <w:szCs w:val="1"/>
                <w:color w:val="auto"/>
              </w:rPr>
            </w:pPr>
          </w:p>
        </w:tc>
      </w:tr>
      <w:tr>
        <w:trPr>
          <w:trHeight w:val="191"/>
        </w:trPr>
        <w:tc>
          <w:tcPr>
            <w:tcW w:w="440" w:type="dxa"/>
            <w:vAlign w:val="bottom"/>
            <w:gridSpan w:val="3"/>
          </w:tcPr>
          <w:p>
            <w:pPr>
              <w:ind w:left="20"/>
              <w:spacing w:after="0" w:line="191" w:lineRule="exact"/>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36</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9"/>
              </w:rPr>
              <w:t>Amendment No. 1 to Shelter Plan Service Agreement dated June 10, 2014, by and between Cardiva Medical, Inc. and Offshore International,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Incorporated, dated as of October 30, 2019 (filed as Exhibit 10.23 to Cardiva Medical, Inc.’s Form S-1 (File No. 333-251885) dated January 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2021 and incorporated herein by reference) (1).</w:t>
            </w:r>
          </w:p>
        </w:tc>
        <w:tc>
          <w:tcPr>
            <w:tcW w:w="0" w:type="dxa"/>
            <w:vAlign w:val="bottom"/>
          </w:tcPr>
          <w:p>
            <w:pPr>
              <w:spacing w:after="0"/>
              <w:rPr>
                <w:sz w:val="1"/>
                <w:szCs w:val="1"/>
                <w:color w:val="auto"/>
              </w:rPr>
            </w:pPr>
          </w:p>
        </w:tc>
      </w:tr>
      <w:tr>
        <w:trPr>
          <w:trHeight w:val="193"/>
        </w:trPr>
        <w:tc>
          <w:tcPr>
            <w:tcW w:w="440" w:type="dxa"/>
            <w:vAlign w:val="bottom"/>
            <w:gridSpan w:val="3"/>
          </w:tcPr>
          <w:p>
            <w:pPr>
              <w:ind w:left="20"/>
              <w:spacing w:after="0" w:line="193"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37</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w w:val="99"/>
              </w:rPr>
              <w:t>Amendment No. 2 to Shelter Plan Service Agreement dated June 10, 2014, by and between Cardiva Medical, Inc. and Offshore International,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Incorporated, dated as of August 3, 2022 (filed as Exhibit 10.2 to the Company’s Form 10-Q for the quarter ended October 1, 2022 and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herein by reference) (1).</w:t>
            </w:r>
          </w:p>
        </w:tc>
        <w:tc>
          <w:tcPr>
            <w:tcW w:w="0" w:type="dxa"/>
            <w:vAlign w:val="bottom"/>
          </w:tcPr>
          <w:p>
            <w:pPr>
              <w:spacing w:after="0"/>
              <w:rPr>
                <w:sz w:val="1"/>
                <w:szCs w:val="1"/>
                <w:color w:val="auto"/>
              </w:rPr>
            </w:pPr>
          </w:p>
        </w:tc>
      </w:tr>
      <w:tr>
        <w:trPr>
          <w:trHeight w:val="193"/>
        </w:trPr>
        <w:tc>
          <w:tcPr>
            <w:tcW w:w="440" w:type="dxa"/>
            <w:vAlign w:val="bottom"/>
            <w:gridSpan w:val="3"/>
          </w:tcPr>
          <w:p>
            <w:pPr>
              <w:ind w:left="20"/>
              <w:spacing w:after="0" w:line="193"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38</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w w:val="99"/>
              </w:rPr>
              <w:t>Second Amended and Restated Credit Agreement, dated as of April 30, 2024, by and among the Company, the lenders from time to time party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thereto and JPMorgan Chase Bank, N.A., as administrative agent (filed as Exhibit 10.1 to the Company’s Form 8-K dated May 1, 2024 and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93"/>
        </w:trPr>
        <w:tc>
          <w:tcPr>
            <w:tcW w:w="78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p>
        </w:tc>
        <w:tc>
          <w:tcPr>
            <w:tcW w:w="104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rPr>
              <w:t>Lease, dated April 15, 2015, by and between OpSens Inc. and 1405 PTQM S.E.C., for property located at 750, Boulevard du Technologique,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Quebec.</w:t>
            </w:r>
          </w:p>
        </w:tc>
        <w:tc>
          <w:tcPr>
            <w:tcW w:w="0" w:type="dxa"/>
            <w:vAlign w:val="bottom"/>
          </w:tcPr>
          <w:p>
            <w:pPr>
              <w:spacing w:after="0"/>
              <w:rPr>
                <w:sz w:val="1"/>
                <w:szCs w:val="1"/>
                <w:color w:val="auto"/>
              </w:rPr>
            </w:pPr>
          </w:p>
        </w:tc>
      </w:tr>
      <w:tr>
        <w:trPr>
          <w:trHeight w:val="191"/>
        </w:trPr>
        <w:tc>
          <w:tcPr>
            <w:tcW w:w="780" w:type="dxa"/>
            <w:vAlign w:val="bottom"/>
            <w:gridSpan w:val="5"/>
          </w:tcPr>
          <w:p>
            <w:pPr>
              <w:ind w:left="20"/>
              <w:spacing w:after="0" w:line="191"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40*</w:t>
            </w: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Addendum No. 1 to Lease, dated December 5, 2022, by and between OpSens Inc. and 1405 PTQM S.E.C, for property located at 750,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Boulevard du Technologique, Quebec.</w:t>
            </w:r>
          </w:p>
        </w:tc>
        <w:tc>
          <w:tcPr>
            <w:tcW w:w="0" w:type="dxa"/>
            <w:vAlign w:val="bottom"/>
          </w:tcPr>
          <w:p>
            <w:pPr>
              <w:spacing w:after="0"/>
              <w:rPr>
                <w:sz w:val="1"/>
                <w:szCs w:val="1"/>
                <w:color w:val="auto"/>
              </w:rPr>
            </w:pPr>
          </w:p>
        </w:tc>
      </w:tr>
      <w:tr>
        <w:trPr>
          <w:trHeight w:val="191"/>
        </w:trPr>
        <w:tc>
          <w:tcPr>
            <w:tcW w:w="780" w:type="dxa"/>
            <w:vAlign w:val="bottom"/>
            <w:gridSpan w:val="5"/>
          </w:tcPr>
          <w:p>
            <w:pPr>
              <w:ind w:left="20"/>
              <w:spacing w:after="0" w:line="191"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41*</w:t>
            </w: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9"/>
              </w:rPr>
              <w:t>Addendum No. 2 to Lease, dated May 1, 2023, by and between OpSens Inc. and 1405 PTQM S.E.C, for property located at 750, Boulevard du</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Technologique, Quebec.</w:t>
            </w:r>
          </w:p>
        </w:tc>
        <w:tc>
          <w:tcPr>
            <w:tcW w:w="0" w:type="dxa"/>
            <w:vAlign w:val="bottom"/>
          </w:tcPr>
          <w:p>
            <w:pPr>
              <w:spacing w:after="0"/>
              <w:rPr>
                <w:sz w:val="1"/>
                <w:szCs w:val="1"/>
                <w:color w:val="auto"/>
              </w:rPr>
            </w:pPr>
          </w:p>
        </w:tc>
      </w:tr>
      <w:tr>
        <w:trPr>
          <w:trHeight w:val="191"/>
        </w:trPr>
        <w:tc>
          <w:tcPr>
            <w:tcW w:w="440" w:type="dxa"/>
            <w:vAlign w:val="bottom"/>
            <w:gridSpan w:val="3"/>
          </w:tcPr>
          <w:p>
            <w:pPr>
              <w:ind w:left="20"/>
              <w:spacing w:after="0" w:line="191"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42</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Form of Confirmation of Call Option Transaction (filed as Exhibit 10.1 to the Company’s Form 8-K dated as of March 5, 2021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91"/>
        </w:trPr>
        <w:tc>
          <w:tcPr>
            <w:tcW w:w="440" w:type="dxa"/>
            <w:vAlign w:val="bottom"/>
            <w:gridSpan w:val="3"/>
          </w:tcPr>
          <w:p>
            <w:pPr>
              <w:ind w:left="20"/>
              <w:spacing w:after="0" w:line="191"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43</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8"/>
              </w:rPr>
              <w:t>Form of Confirmation of Additional Call Option Transaction (filed as Exhibit 10.1 to the Company’s Form 8-K dated as of March 16, 2021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91"/>
        </w:trPr>
        <w:tc>
          <w:tcPr>
            <w:tcW w:w="440" w:type="dxa"/>
            <w:vAlign w:val="bottom"/>
            <w:gridSpan w:val="3"/>
          </w:tcPr>
          <w:p>
            <w:pPr>
              <w:ind w:left="20"/>
              <w:spacing w:after="0" w:line="191" w:lineRule="exact"/>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44</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9"/>
              </w:rPr>
              <w:t>Form of Voting and Support Agreement (filed as Exhibit 10.1 to the Company’s Form 8-K/A dated October 12, 2023 and incorporated herein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by reference) (1).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0" w:type="dxa"/>
            <w:vAlign w:val="bottom"/>
            <w:tcBorders>
              <w:bottom w:val="single" w:sz="8" w:color="0000FF"/>
            </w:tcBorders>
            <w:gridSpan w:val="2"/>
          </w:tcPr>
          <w:p>
            <w:pPr>
              <w:spacing w:after="0" w:line="191" w:lineRule="exact"/>
              <w:rPr>
                <w:sz w:val="20"/>
                <w:szCs w:val="20"/>
                <w:color w:val="auto"/>
              </w:rPr>
            </w:pPr>
            <w:r>
              <w:rPr>
                <w:rFonts w:ascii="Times New Roman" w:cs="Times New Roman" w:eastAsia="Times New Roman" w:hAnsi="Times New Roman"/>
                <w:sz w:val="18"/>
                <w:szCs w:val="18"/>
                <w:color w:val="0000FF"/>
                <w:w w:val="98"/>
              </w:rPr>
              <w:t>19.</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Securities Trading Policy (2).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Subsidiaries of the Company.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Consent of the Independent Registered Public Accounting Firm.</w:t>
            </w:r>
          </w:p>
        </w:tc>
        <w:tc>
          <w:tcPr>
            <w:tcW w:w="0" w:type="dxa"/>
            <w:vAlign w:val="bottom"/>
          </w:tcPr>
          <w:p>
            <w:pPr>
              <w:spacing w:after="0"/>
              <w:rPr>
                <w:sz w:val="1"/>
                <w:szCs w:val="1"/>
                <w:color w:val="auto"/>
              </w:rPr>
            </w:pPr>
          </w:p>
        </w:tc>
      </w:tr>
      <w:tr>
        <w:trPr>
          <w:trHeight w:val="205"/>
        </w:trPr>
        <w:tc>
          <w:tcPr>
            <w:tcW w:w="4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191"/>
        </w:trPr>
        <w:tc>
          <w:tcPr>
            <w:tcW w:w="4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9"/>
              </w:rPr>
              <w:t>Certification pursuant to Section 302 of Sarbanes-Oxley of 2002 of James D'Arecca, Executive Vice President, Chief Financial Officer of the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191"/>
        </w:trPr>
        <w:tc>
          <w:tcPr>
            <w:tcW w:w="780" w:type="dxa"/>
            <w:vAlign w:val="bottom"/>
            <w:gridSpan w:val="5"/>
          </w:tcPr>
          <w:p>
            <w:pPr>
              <w:ind w:left="20"/>
              <w:spacing w:after="0" w:line="191"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Christopher A. Simon, President and Chief Executive Officer of the Company.</w:t>
            </w:r>
          </w:p>
        </w:tc>
        <w:tc>
          <w:tcPr>
            <w:tcW w:w="0" w:type="dxa"/>
            <w:vAlign w:val="bottom"/>
          </w:tcPr>
          <w:p>
            <w:pPr>
              <w:spacing w:after="0"/>
              <w:rPr>
                <w:sz w:val="1"/>
                <w:szCs w:val="1"/>
                <w:color w:val="auto"/>
              </w:rPr>
            </w:pPr>
          </w:p>
        </w:tc>
      </w:tr>
      <w:tr>
        <w:trPr>
          <w:trHeight w:val="191"/>
        </w:trPr>
        <w:tc>
          <w:tcPr>
            <w:tcW w:w="780" w:type="dxa"/>
            <w:vAlign w:val="bottom"/>
            <w:gridSpan w:val="5"/>
          </w:tcPr>
          <w:p>
            <w:pPr>
              <w:ind w:left="20"/>
              <w:spacing w:after="0" w:line="191"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w w:val="98"/>
              </w:rPr>
              <w:t>Certification Pursuant to 18 United States Code Section 1350, as adopted Pursuant to Section 906 of the Sarbanes-Oxley Act of 2002, of James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D'Arecca, Executive Vice President, Chief Financial Officer of the Company.</w:t>
            </w:r>
          </w:p>
        </w:tc>
        <w:tc>
          <w:tcPr>
            <w:tcW w:w="0" w:type="dxa"/>
            <w:vAlign w:val="bottom"/>
          </w:tcPr>
          <w:p>
            <w:pPr>
              <w:spacing w:after="0"/>
              <w:rPr>
                <w:sz w:val="1"/>
                <w:szCs w:val="1"/>
                <w:color w:val="auto"/>
              </w:rPr>
            </w:pPr>
          </w:p>
        </w:tc>
      </w:tr>
      <w:tr>
        <w:trPr>
          <w:trHeight w:val="191"/>
        </w:trPr>
        <w:tc>
          <w:tcPr>
            <w:tcW w:w="4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0000FF"/>
                <w:w w:val="98"/>
              </w:rPr>
              <w:t>97.</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Compensation Recovery Policy (2).</w:t>
            </w:r>
          </w:p>
        </w:tc>
        <w:tc>
          <w:tcPr>
            <w:tcW w:w="0" w:type="dxa"/>
            <w:vAlign w:val="bottom"/>
          </w:tcPr>
          <w:p>
            <w:pPr>
              <w:spacing w:after="0"/>
              <w:rPr>
                <w:sz w:val="1"/>
                <w:szCs w:val="1"/>
                <w:color w:val="auto"/>
              </w:rPr>
            </w:pPr>
          </w:p>
        </w:tc>
      </w:tr>
      <w:tr>
        <w:trPr>
          <w:trHeight w:val="895"/>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4"/>
              </w:rPr>
              <w:t>101*</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materials from Haemonetics Corporation on Form 10-K for the year ended March 30, 2024, formatted in inline Extensible</w:t>
            </w:r>
          </w:p>
        </w:tc>
      </w:tr>
      <w:tr>
        <w:trPr>
          <w:trHeight w:val="172"/>
        </w:trPr>
        <w:tc>
          <w:tcPr>
            <w:tcW w:w="700" w:type="dxa"/>
            <w:vAlign w:val="bottom"/>
          </w:tcPr>
          <w:p>
            <w:pPr>
              <w:spacing w:after="0"/>
              <w:rPr>
                <w:sz w:val="14"/>
                <w:szCs w:val="14"/>
                <w:color w:val="auto"/>
              </w:rPr>
            </w:pPr>
          </w:p>
        </w:tc>
        <w:tc>
          <w:tcPr>
            <w:tcW w:w="10260" w:type="dxa"/>
            <w:vAlign w:val="bottom"/>
          </w:tcPr>
          <w:p>
            <w:pPr>
              <w:ind w:left="320"/>
              <w:spacing w:after="0" w:line="172" w:lineRule="exact"/>
              <w:rPr>
                <w:sz w:val="20"/>
                <w:szCs w:val="20"/>
                <w:color w:val="auto"/>
              </w:rPr>
            </w:pPr>
            <w:r>
              <w:rPr>
                <w:rFonts w:ascii="Times New Roman" w:cs="Times New Roman" w:eastAsia="Times New Roman" w:hAnsi="Times New Roman"/>
                <w:sz w:val="18"/>
                <w:szCs w:val="18"/>
                <w:color w:val="auto"/>
              </w:rPr>
              <w:t>Business Reporting Language (XBRL) includes: (i) Consolidated Statements of Income, (ii) Consolidated Statements of Comprehensive</w:t>
            </w:r>
          </w:p>
        </w:tc>
      </w:tr>
      <w:tr>
        <w:trPr>
          <w:trHeight w:val="180"/>
        </w:trPr>
        <w:tc>
          <w:tcPr>
            <w:tcW w:w="700" w:type="dxa"/>
            <w:vAlign w:val="bottom"/>
          </w:tcPr>
          <w:p>
            <w:pPr>
              <w:spacing w:after="0"/>
              <w:rPr>
                <w:sz w:val="15"/>
                <w:szCs w:val="15"/>
                <w:color w:val="auto"/>
              </w:rPr>
            </w:pPr>
          </w:p>
        </w:tc>
        <w:tc>
          <w:tcPr>
            <w:tcW w:w="102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7"/>
              </w:rPr>
              <w:t>Income, (iii) Consolidated Balance Sheets, (iv) Consolidated Statement of Stockholders' Equity, (v) Consolidated Statements of Cash Flows,</w:t>
            </w:r>
          </w:p>
        </w:tc>
      </w:tr>
      <w:tr>
        <w:trPr>
          <w:trHeight w:val="225"/>
        </w:trPr>
        <w:tc>
          <w:tcPr>
            <w:tcW w:w="700" w:type="dxa"/>
            <w:vAlign w:val="bottom"/>
          </w:tcPr>
          <w:p>
            <w:pPr>
              <w:spacing w:after="0"/>
              <w:rPr>
                <w:sz w:val="19"/>
                <w:szCs w:val="19"/>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(vi) Notes to Consolidated Financial Statements.</w:t>
            </w:r>
          </w:p>
        </w:tc>
      </w:tr>
      <w:tr>
        <w:trPr>
          <w:trHeight w:val="231"/>
        </w:trPr>
        <w:tc>
          <w:tcPr>
            <w:tcW w:w="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4"/>
              </w:rPr>
              <w:t>104*</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tc>
      </w:tr>
    </w:tbl>
    <w:p>
      <w:pPr>
        <w:spacing w:after="0" w:line="193" w:lineRule="exact"/>
        <w:rPr>
          <w:sz w:val="20"/>
          <w:szCs w:val="20"/>
          <w:color w:val="auto"/>
        </w:rPr>
      </w:pPr>
    </w:p>
    <w:p>
      <w:pPr>
        <w:ind w:left="480" w:hanging="456"/>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24" w:lineRule="exact"/>
        <w:rPr>
          <w:sz w:val="20"/>
          <w:szCs w:val="20"/>
          <w:color w:val="auto"/>
        </w:rPr>
      </w:pPr>
    </w:p>
    <w:p>
      <w:pPr>
        <w:ind w:left="480" w:hanging="456"/>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18" w:lineRule="exact"/>
        <w:rPr>
          <w:sz w:val="20"/>
          <w:szCs w:val="20"/>
          <w:color w:val="auto"/>
        </w:rPr>
      </w:pPr>
    </w:p>
    <w:p>
      <w:pPr>
        <w:ind w:left="480" w:hanging="456"/>
        <w:spacing w:after="0" w:line="225"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considered confidential and have been omitted as permitted under Securities and Exchange Commission rules and regulations. The Company agrees to furnish supplementally a copy of any omitted portions to the U.S. Securities and Exchange Commission upon request.</w:t>
      </w:r>
    </w:p>
    <w:p>
      <w:pPr>
        <w:ind w:left="480" w:hanging="456"/>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plan, or arrangement related to the compensation of officers or directors.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320" w:top="126" w:right="5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70"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14605</wp:posOffset>
            </wp:positionV>
            <wp:extent cx="33064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1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Chief Executive Officer and a Director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p>
      <w:pPr>
        <w:ind w:left="1080"/>
        <w:spacing w:after="0"/>
        <w:tabs>
          <w:tab w:leader="none" w:pos="5080" w:val="left"/>
          <w:tab w:leader="none" w:pos="82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ectPr>
          <w:pgSz w:w="11900" w:h="16838" w:orient="portrait"/>
          <w:cols w:equalWidth="0" w:num="1">
            <w:col w:w="11020"/>
          </w:cols>
          <w:pgMar w:left="320" w:top="126" w:right="559" w:bottom="1440" w:gutter="0" w:footer="0" w:header="0"/>
        </w:sect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Maryanne E. Farris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Maryanne E. Farris</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Robert E. Abernathy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Robert E. Abernathy</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Diane 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Diane M. Bryant</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J.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Michael J. Coyle</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 Charles J. Dockendorff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7246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Charles J. Dockendorff</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Lloyd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Lloyd E. Johnson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Mark W.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Mark W. Kroll</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Claire Pomeroy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Claire Pomeroy</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Ellen M. Zane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Ellen M. Zane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President, Chief Executive Officer and a 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440" w:type="dxa"/>
            <w:vAlign w:val="bottom"/>
          </w:tcPr>
          <w:p>
            <w:pPr>
              <w:spacing w:after="0"/>
              <w:rPr>
                <w:sz w:val="23"/>
                <w:szCs w:val="23"/>
                <w:color w:val="auto"/>
              </w:rPr>
            </w:pPr>
          </w:p>
        </w:tc>
      </w:tr>
      <w:tr>
        <w:trPr>
          <w:trHeight w:val="464"/>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Executive Vice President, Chief Financial Officer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440" w:type="dxa"/>
            <w:vAlign w:val="bottom"/>
          </w:tcPr>
          <w:p>
            <w:pPr>
              <w:spacing w:after="0"/>
              <w:rPr>
                <w:sz w:val="23"/>
                <w:szCs w:val="23"/>
                <w:color w:val="auto"/>
              </w:rPr>
            </w:pPr>
          </w:p>
        </w:tc>
      </w:tr>
      <w:tr>
        <w:trPr>
          <w:trHeight w:val="424"/>
        </w:trPr>
        <w:tc>
          <w:tcPr>
            <w:tcW w:w="39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7"/>
              </w:rPr>
              <w:t>Vice President, Chief Accounting Officer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440" w:type="dxa"/>
            <w:vAlign w:val="bottom"/>
          </w:tcPr>
          <w:p>
            <w:pPr>
              <w:spacing w:after="0"/>
              <w:rPr>
                <w:sz w:val="23"/>
                <w:szCs w:val="23"/>
                <w:color w:val="auto"/>
              </w:rPr>
            </w:pPr>
          </w:p>
        </w:tc>
      </w:tr>
      <w:tr>
        <w:trPr>
          <w:trHeight w:val="384"/>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636"/>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636"/>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2024</w:t>
            </w:r>
          </w:p>
        </w:tc>
      </w:tr>
    </w:tbl>
    <w:p>
      <w:pPr>
        <w:spacing w:after="0" w:line="480" w:lineRule="exact"/>
        <w:rPr>
          <w:sz w:val="20"/>
          <w:szCs w:val="20"/>
          <w:color w:val="auto"/>
        </w:rPr>
      </w:pPr>
    </w:p>
    <w:p>
      <w:pPr>
        <w:sectPr>
          <w:pgSz w:w="11900" w:h="16838" w:orient="portrait"/>
          <w:cols w:equalWidth="0" w:num="2">
            <w:col w:w="2760" w:space="720"/>
            <w:col w:w="7540"/>
          </w:cols>
          <w:pgMar w:left="320" w:top="126" w:right="5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020"/>
          </w:cols>
          <w:pgMar w:left="320" w:top="126" w:right="55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6"/>
          <w:szCs w:val="16"/>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BAIL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ENTRE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1405 PTQM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 xml:space="preserve">(ci-après le </w:t>
      </w:r>
      <w:r>
        <w:rPr>
          <w:rFonts w:ascii="Arial" w:cs="Arial" w:eastAsia="Arial" w:hAnsi="Arial"/>
          <w:sz w:val="16"/>
          <w:szCs w:val="16"/>
          <w:b w:val="1"/>
          <w:bCs w:val="1"/>
          <w:color w:val="282828"/>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Bailleur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Opsens Inc</w:t>
      </w:r>
      <w:r>
        <w:rPr>
          <w:rFonts w:ascii="Arial" w:cs="Arial" w:eastAsia="Arial" w:hAnsi="Arial"/>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 xml:space="preserve">(ci-après le </w:t>
      </w:r>
      <w:r>
        <w:rPr>
          <w:rFonts w:ascii="Arial" w:cs="Arial" w:eastAsia="Arial" w:hAnsi="Arial"/>
          <w:sz w:val="16"/>
          <w:szCs w:val="16"/>
          <w:b w:val="1"/>
          <w:bCs w:val="1"/>
          <w:color w:val="282828"/>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Locataire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Adresse des Lieux loues : 750,.boulevard du Parc Technologique</w:t>
      </w:r>
    </w:p>
    <w:p>
      <w:pPr>
        <w:spacing w:after="0" w:line="15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Québec (Québec) G1P 4S3</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Échéance du terme du bail ; 30 septembre·2025</w:t>
      </w:r>
    </w:p>
    <w:p>
      <w:pPr>
        <w:sectPr>
          <w:pgSz w:w="11900" w:h="16838" w:orient="portrait"/>
          <w:cols w:equalWidth="0" w:num="1">
            <w:col w:w="10120"/>
          </w:cols>
          <w:pgMar w:left="1440" w:top="82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260" w:type="dxa"/>
            <w:vAlign w:val="bottom"/>
          </w:tcPr>
          <w:p>
            <w:pPr>
              <w:spacing w:after="0"/>
              <w:rPr>
                <w:sz w:val="15"/>
                <w:szCs w:val="15"/>
                <w:color w:val="auto"/>
              </w:rPr>
            </w:pPr>
          </w:p>
        </w:tc>
        <w:tc>
          <w:tcPr>
            <w:tcW w:w="7020" w:type="dxa"/>
            <w:vAlign w:val="bottom"/>
          </w:tcPr>
          <w:p>
            <w:pPr>
              <w:ind w:left="3200"/>
              <w:spacing w:after="0"/>
              <w:rPr>
                <w:sz w:val="20"/>
                <w:szCs w:val="20"/>
                <w:color w:val="auto"/>
              </w:rPr>
            </w:pPr>
            <w:r>
              <w:rPr>
                <w:rFonts w:ascii="Arial" w:cs="Arial" w:eastAsia="Arial" w:hAnsi="Arial"/>
                <w:sz w:val="13"/>
                <w:szCs w:val="13"/>
                <w:b w:val="1"/>
                <w:bCs w:val="1"/>
                <w:color w:val="auto"/>
              </w:rPr>
              <w:t>TABLE DES MATIÈRES</w:t>
            </w:r>
          </w:p>
        </w:tc>
        <w:tc>
          <w:tcPr>
            <w:tcW w:w="2500" w:type="dxa"/>
            <w:vAlign w:val="bottom"/>
          </w:tcPr>
          <w:p>
            <w:pPr>
              <w:spacing w:after="0"/>
              <w:rPr>
                <w:sz w:val="15"/>
                <w:szCs w:val="15"/>
                <w:color w:val="auto"/>
              </w:rPr>
            </w:pPr>
          </w:p>
        </w:tc>
      </w:tr>
      <w:tr>
        <w:trPr>
          <w:trHeight w:val="492"/>
        </w:trPr>
        <w:tc>
          <w:tcPr>
            <w:tcW w:w="260" w:type="dxa"/>
            <w:vAlign w:val="bottom"/>
          </w:tcPr>
          <w:p>
            <w:pPr>
              <w:spacing w:after="0"/>
              <w:rPr>
                <w:sz w:val="20"/>
                <w:szCs w:val="20"/>
                <w:color w:val="auto"/>
              </w:rPr>
            </w:pPr>
            <w:r>
              <w:rPr>
                <w:rFonts w:ascii="Arial" w:cs="Arial" w:eastAsia="Arial" w:hAnsi="Arial"/>
                <w:sz w:val="16"/>
                <w:szCs w:val="16"/>
                <w:color w:val="auto"/>
              </w:rPr>
              <w:t>1.</w:t>
            </w:r>
          </w:p>
        </w:tc>
        <w:tc>
          <w:tcPr>
            <w:tcW w:w="7020" w:type="dxa"/>
            <w:vAlign w:val="bottom"/>
          </w:tcPr>
          <w:p>
            <w:pPr>
              <w:ind w:left="60"/>
              <w:spacing w:after="0"/>
              <w:rPr>
                <w:sz w:val="20"/>
                <w:szCs w:val="20"/>
                <w:color w:val="auto"/>
              </w:rPr>
            </w:pPr>
            <w:r>
              <w:rPr>
                <w:rFonts w:ascii="Arial" w:cs="Arial" w:eastAsia="Arial" w:hAnsi="Arial"/>
                <w:sz w:val="16"/>
                <w:szCs w:val="16"/>
                <w:color w:val="auto"/>
              </w:rPr>
              <w:t>INTENTION DES PARTIES</w:t>
            </w:r>
          </w:p>
        </w:tc>
        <w:tc>
          <w:tcPr>
            <w:tcW w:w="2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2.</w:t>
            </w:r>
          </w:p>
        </w:tc>
        <w:tc>
          <w:tcPr>
            <w:tcW w:w="7020" w:type="dxa"/>
            <w:vAlign w:val="bottom"/>
          </w:tcPr>
          <w:p>
            <w:pPr>
              <w:ind w:left="60"/>
              <w:spacing w:after="0"/>
              <w:rPr>
                <w:sz w:val="20"/>
                <w:szCs w:val="20"/>
                <w:color w:val="auto"/>
              </w:rPr>
            </w:pPr>
            <w:r>
              <w:rPr>
                <w:rFonts w:ascii="Arial" w:cs="Arial" w:eastAsia="Arial" w:hAnsi="Arial"/>
                <w:sz w:val="16"/>
                <w:szCs w:val="16"/>
                <w:color w:val="auto"/>
              </w:rPr>
              <w:t>IMMEUBLE</w:t>
            </w:r>
          </w:p>
        </w:tc>
        <w:tc>
          <w:tcPr>
            <w:tcW w:w="2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3.</w:t>
            </w:r>
          </w:p>
        </w:tc>
        <w:tc>
          <w:tcPr>
            <w:tcW w:w="7020" w:type="dxa"/>
            <w:vAlign w:val="bottom"/>
          </w:tcPr>
          <w:p>
            <w:pPr>
              <w:ind w:left="60"/>
              <w:spacing w:after="0"/>
              <w:rPr>
                <w:sz w:val="20"/>
                <w:szCs w:val="20"/>
                <w:color w:val="auto"/>
              </w:rPr>
            </w:pPr>
            <w:r>
              <w:rPr>
                <w:rFonts w:ascii="Arial" w:cs="Arial" w:eastAsia="Arial" w:hAnsi="Arial"/>
                <w:sz w:val="16"/>
                <w:szCs w:val="16"/>
                <w:color w:val="auto"/>
              </w:rPr>
              <w:t>LIEUX LOUES</w:t>
            </w:r>
          </w:p>
        </w:tc>
        <w:tc>
          <w:tcPr>
            <w:tcW w:w="2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4.</w:t>
            </w:r>
          </w:p>
        </w:tc>
        <w:tc>
          <w:tcPr>
            <w:tcW w:w="7020" w:type="dxa"/>
            <w:vAlign w:val="bottom"/>
          </w:tcPr>
          <w:p>
            <w:pPr>
              <w:ind w:left="60"/>
              <w:spacing w:after="0"/>
              <w:rPr>
                <w:sz w:val="20"/>
                <w:szCs w:val="20"/>
                <w:color w:val="auto"/>
              </w:rPr>
            </w:pPr>
            <w:r>
              <w:rPr>
                <w:rFonts w:ascii="Arial" w:cs="Arial" w:eastAsia="Arial" w:hAnsi="Arial"/>
                <w:sz w:val="16"/>
                <w:szCs w:val="16"/>
                <w:color w:val="auto"/>
              </w:rPr>
              <w:t>DURÉE DE LOCATION</w:t>
            </w:r>
          </w:p>
        </w:tc>
        <w:tc>
          <w:tcPr>
            <w:tcW w:w="2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9"/>
        </w:trPr>
        <w:tc>
          <w:tcPr>
            <w:tcW w:w="260" w:type="dxa"/>
            <w:vAlign w:val="bottom"/>
          </w:tcPr>
          <w:p>
            <w:pPr>
              <w:spacing w:after="0"/>
              <w:rPr>
                <w:sz w:val="20"/>
                <w:szCs w:val="20"/>
                <w:color w:val="auto"/>
              </w:rPr>
            </w:pPr>
            <w:r>
              <w:rPr>
                <w:rFonts w:ascii="Arial" w:cs="Arial" w:eastAsia="Arial" w:hAnsi="Arial"/>
                <w:sz w:val="16"/>
                <w:szCs w:val="16"/>
                <w:color w:val="auto"/>
              </w:rPr>
              <w:t>5.</w:t>
            </w:r>
          </w:p>
        </w:tc>
        <w:tc>
          <w:tcPr>
            <w:tcW w:w="7020" w:type="dxa"/>
            <w:vAlign w:val="bottom"/>
          </w:tcPr>
          <w:p>
            <w:pPr>
              <w:ind w:left="60"/>
              <w:spacing w:after="0"/>
              <w:rPr>
                <w:sz w:val="20"/>
                <w:szCs w:val="20"/>
                <w:color w:val="auto"/>
              </w:rPr>
            </w:pPr>
            <w:r>
              <w:rPr>
                <w:rFonts w:ascii="Arial" w:cs="Arial" w:eastAsia="Arial" w:hAnsi="Arial"/>
                <w:sz w:val="16"/>
                <w:szCs w:val="16"/>
                <w:color w:val="auto"/>
              </w:rPr>
              <w:t>USAGE</w:t>
            </w:r>
          </w:p>
        </w:tc>
        <w:tc>
          <w:tcPr>
            <w:tcW w:w="2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6.</w:t>
            </w:r>
          </w:p>
        </w:tc>
        <w:tc>
          <w:tcPr>
            <w:tcW w:w="7020" w:type="dxa"/>
            <w:vAlign w:val="bottom"/>
          </w:tcPr>
          <w:p>
            <w:pPr>
              <w:ind w:left="60"/>
              <w:spacing w:after="0"/>
              <w:rPr>
                <w:sz w:val="20"/>
                <w:szCs w:val="20"/>
                <w:color w:val="auto"/>
              </w:rPr>
            </w:pPr>
            <w:r>
              <w:rPr>
                <w:rFonts w:ascii="Arial" w:cs="Arial" w:eastAsia="Arial" w:hAnsi="Arial"/>
                <w:sz w:val="16"/>
                <w:szCs w:val="16"/>
                <w:color w:val="auto"/>
              </w:rPr>
              <w:t>OCCUPATION</w:t>
            </w:r>
          </w:p>
        </w:tc>
        <w:tc>
          <w:tcPr>
            <w:tcW w:w="2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7.</w:t>
            </w:r>
          </w:p>
        </w:tc>
        <w:tc>
          <w:tcPr>
            <w:tcW w:w="7020" w:type="dxa"/>
            <w:vAlign w:val="bottom"/>
          </w:tcPr>
          <w:p>
            <w:pPr>
              <w:ind w:left="60"/>
              <w:spacing w:after="0"/>
              <w:rPr>
                <w:sz w:val="20"/>
                <w:szCs w:val="20"/>
                <w:color w:val="auto"/>
              </w:rPr>
            </w:pPr>
            <w:r>
              <w:rPr>
                <w:rFonts w:ascii="Arial" w:cs="Arial" w:eastAsia="Arial" w:hAnsi="Arial"/>
                <w:sz w:val="16"/>
                <w:szCs w:val="16"/>
                <w:color w:val="auto"/>
              </w:rPr>
              <w:t>NON RELOCALISATION</w:t>
            </w:r>
          </w:p>
        </w:tc>
        <w:tc>
          <w:tcPr>
            <w:tcW w:w="2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8.</w:t>
            </w:r>
          </w:p>
        </w:tc>
        <w:tc>
          <w:tcPr>
            <w:tcW w:w="7020" w:type="dxa"/>
            <w:vAlign w:val="bottom"/>
          </w:tcPr>
          <w:p>
            <w:pPr>
              <w:ind w:left="60"/>
              <w:spacing w:after="0"/>
              <w:rPr>
                <w:sz w:val="20"/>
                <w:szCs w:val="20"/>
                <w:color w:val="auto"/>
              </w:rPr>
            </w:pPr>
            <w:r>
              <w:rPr>
                <w:rFonts w:ascii="Arial" w:cs="Arial" w:eastAsia="Arial" w:hAnsi="Arial"/>
                <w:sz w:val="16"/>
                <w:szCs w:val="16"/>
                <w:color w:val="auto"/>
              </w:rPr>
              <w:t>LOYER DE BASE</w:t>
            </w:r>
          </w:p>
        </w:tc>
        <w:tc>
          <w:tcPr>
            <w:tcW w:w="25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9.</w:t>
            </w:r>
          </w:p>
        </w:tc>
        <w:tc>
          <w:tcPr>
            <w:tcW w:w="7020" w:type="dxa"/>
            <w:vAlign w:val="bottom"/>
          </w:tcPr>
          <w:p>
            <w:pPr>
              <w:ind w:left="60"/>
              <w:spacing w:after="0"/>
              <w:rPr>
                <w:sz w:val="20"/>
                <w:szCs w:val="20"/>
                <w:color w:val="auto"/>
              </w:rPr>
            </w:pPr>
            <w:r>
              <w:rPr>
                <w:rFonts w:ascii="Arial" w:cs="Arial" w:eastAsia="Arial" w:hAnsi="Arial"/>
                <w:sz w:val="16"/>
                <w:szCs w:val="16"/>
                <w:color w:val="auto"/>
              </w:rPr>
              <w:t>LOYERS ADDITIONNELS</w:t>
            </w:r>
          </w:p>
        </w:tc>
        <w:tc>
          <w:tcPr>
            <w:tcW w:w="25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9"/>
        </w:trPr>
        <w:tc>
          <w:tcPr>
            <w:tcW w:w="260" w:type="dxa"/>
            <w:vAlign w:val="bottom"/>
          </w:tcPr>
          <w:p>
            <w:pPr>
              <w:spacing w:after="0"/>
              <w:rPr>
                <w:sz w:val="20"/>
                <w:szCs w:val="20"/>
                <w:color w:val="auto"/>
              </w:rPr>
            </w:pPr>
            <w:r>
              <w:rPr>
                <w:rFonts w:ascii="Arial" w:cs="Arial" w:eastAsia="Arial" w:hAnsi="Arial"/>
                <w:sz w:val="16"/>
                <w:szCs w:val="16"/>
                <w:color w:val="auto"/>
              </w:rPr>
              <w:t>10.</w:t>
            </w:r>
          </w:p>
        </w:tc>
        <w:tc>
          <w:tcPr>
            <w:tcW w:w="7020" w:type="dxa"/>
            <w:vAlign w:val="bottom"/>
          </w:tcPr>
          <w:p>
            <w:pPr>
              <w:ind w:left="140"/>
              <w:spacing w:after="0"/>
              <w:rPr>
                <w:sz w:val="20"/>
                <w:szCs w:val="20"/>
                <w:color w:val="auto"/>
              </w:rPr>
            </w:pPr>
            <w:r>
              <w:rPr>
                <w:rFonts w:ascii="Arial" w:cs="Arial" w:eastAsia="Arial" w:hAnsi="Arial"/>
                <w:sz w:val="16"/>
                <w:szCs w:val="16"/>
                <w:color w:val="auto"/>
              </w:rPr>
              <w:t>NETTOYAGE ET ENTRETIEN</w:t>
            </w:r>
          </w:p>
        </w:tc>
        <w:tc>
          <w:tcPr>
            <w:tcW w:w="25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8"/>
        </w:trPr>
        <w:tc>
          <w:tcPr>
            <w:tcW w:w="7280" w:type="dxa"/>
            <w:vAlign w:val="bottom"/>
            <w:gridSpan w:val="2"/>
          </w:tcPr>
          <w:p>
            <w:pPr>
              <w:spacing w:after="0"/>
              <w:rPr>
                <w:sz w:val="20"/>
                <w:szCs w:val="20"/>
                <w:color w:val="auto"/>
              </w:rPr>
            </w:pPr>
            <w:r>
              <w:rPr>
                <w:rFonts w:ascii="Arial" w:cs="Arial" w:eastAsia="Arial" w:hAnsi="Arial"/>
                <w:sz w:val="16"/>
                <w:szCs w:val="16"/>
                <w:color w:val="auto"/>
              </w:rPr>
              <w:t>11.  CHAUFFAGE, CLIMATISATION, VENTILATION ET ÉCLAIRAGE</w:t>
            </w:r>
          </w:p>
        </w:tc>
        <w:tc>
          <w:tcPr>
            <w:tcW w:w="25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12.</w:t>
            </w:r>
          </w:p>
        </w:tc>
        <w:tc>
          <w:tcPr>
            <w:tcW w:w="7020" w:type="dxa"/>
            <w:vAlign w:val="bottom"/>
          </w:tcPr>
          <w:p>
            <w:pPr>
              <w:ind w:left="140"/>
              <w:spacing w:after="0"/>
              <w:rPr>
                <w:sz w:val="20"/>
                <w:szCs w:val="20"/>
                <w:color w:val="auto"/>
              </w:rPr>
            </w:pPr>
            <w:r>
              <w:rPr>
                <w:rFonts w:ascii="Arial" w:cs="Arial" w:eastAsia="Arial" w:hAnsi="Arial"/>
                <w:sz w:val="16"/>
                <w:szCs w:val="16"/>
                <w:color w:val="auto"/>
              </w:rPr>
              <w:t>OBLIGATIONS DU LOCATAIRE</w:t>
            </w:r>
          </w:p>
        </w:tc>
        <w:tc>
          <w:tcPr>
            <w:tcW w:w="25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13.</w:t>
            </w:r>
          </w:p>
        </w:tc>
        <w:tc>
          <w:tcPr>
            <w:tcW w:w="7020" w:type="dxa"/>
            <w:vAlign w:val="bottom"/>
          </w:tcPr>
          <w:p>
            <w:pPr>
              <w:ind w:left="140"/>
              <w:spacing w:after="0"/>
              <w:rPr>
                <w:sz w:val="20"/>
                <w:szCs w:val="20"/>
                <w:color w:val="auto"/>
              </w:rPr>
            </w:pPr>
            <w:r>
              <w:rPr>
                <w:rFonts w:ascii="Arial" w:cs="Arial" w:eastAsia="Arial" w:hAnsi="Arial"/>
                <w:sz w:val="16"/>
                <w:szCs w:val="16"/>
                <w:color w:val="auto"/>
              </w:rPr>
              <w:t>ASSURANCES</w:t>
            </w:r>
          </w:p>
        </w:tc>
        <w:tc>
          <w:tcPr>
            <w:tcW w:w="25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14.</w:t>
            </w:r>
          </w:p>
        </w:tc>
        <w:tc>
          <w:tcPr>
            <w:tcW w:w="7020" w:type="dxa"/>
            <w:vAlign w:val="bottom"/>
          </w:tcPr>
          <w:p>
            <w:pPr>
              <w:ind w:left="140"/>
              <w:spacing w:after="0"/>
              <w:rPr>
                <w:sz w:val="20"/>
                <w:szCs w:val="20"/>
                <w:color w:val="auto"/>
              </w:rPr>
            </w:pPr>
            <w:r>
              <w:rPr>
                <w:rFonts w:ascii="Arial" w:cs="Arial" w:eastAsia="Arial" w:hAnsi="Arial"/>
                <w:sz w:val="16"/>
                <w:szCs w:val="16"/>
                <w:color w:val="auto"/>
              </w:rPr>
              <w:t>OBLIGATIONS DU BAILLEUR</w:t>
            </w:r>
          </w:p>
        </w:tc>
        <w:tc>
          <w:tcPr>
            <w:tcW w:w="2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15.</w:t>
            </w:r>
          </w:p>
        </w:tc>
        <w:tc>
          <w:tcPr>
            <w:tcW w:w="7020" w:type="dxa"/>
            <w:vAlign w:val="bottom"/>
          </w:tcPr>
          <w:p>
            <w:pPr>
              <w:ind w:left="140"/>
              <w:spacing w:after="0"/>
              <w:rPr>
                <w:sz w:val="20"/>
                <w:szCs w:val="20"/>
                <w:color w:val="auto"/>
              </w:rPr>
            </w:pPr>
            <w:r>
              <w:rPr>
                <w:rFonts w:ascii="Arial" w:cs="Arial" w:eastAsia="Arial" w:hAnsi="Arial"/>
                <w:sz w:val="16"/>
                <w:szCs w:val="16"/>
                <w:color w:val="auto"/>
              </w:rPr>
              <w:t>INCENDIE OU FORCE MAJEURE</w:t>
            </w:r>
          </w:p>
        </w:tc>
        <w:tc>
          <w:tcPr>
            <w:tcW w:w="2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9"/>
        </w:trPr>
        <w:tc>
          <w:tcPr>
            <w:tcW w:w="260" w:type="dxa"/>
            <w:vAlign w:val="bottom"/>
          </w:tcPr>
          <w:p>
            <w:pPr>
              <w:spacing w:after="0"/>
              <w:rPr>
                <w:sz w:val="20"/>
                <w:szCs w:val="20"/>
                <w:color w:val="auto"/>
              </w:rPr>
            </w:pPr>
            <w:r>
              <w:rPr>
                <w:rFonts w:ascii="Arial" w:cs="Arial" w:eastAsia="Arial" w:hAnsi="Arial"/>
                <w:sz w:val="16"/>
                <w:szCs w:val="16"/>
                <w:color w:val="auto"/>
              </w:rPr>
              <w:t>16.</w:t>
            </w:r>
          </w:p>
        </w:tc>
        <w:tc>
          <w:tcPr>
            <w:tcW w:w="7020" w:type="dxa"/>
            <w:vAlign w:val="bottom"/>
          </w:tcPr>
          <w:p>
            <w:pPr>
              <w:ind w:left="140"/>
              <w:spacing w:after="0"/>
              <w:rPr>
                <w:sz w:val="20"/>
                <w:szCs w:val="20"/>
                <w:color w:val="auto"/>
              </w:rPr>
            </w:pPr>
            <w:r>
              <w:rPr>
                <w:rFonts w:ascii="Arial" w:cs="Arial" w:eastAsia="Arial" w:hAnsi="Arial"/>
                <w:sz w:val="16"/>
                <w:szCs w:val="16"/>
                <w:color w:val="auto"/>
              </w:rPr>
              <w:t>BLESSURES CORPORELLES ET DOMMAGES</w:t>
            </w:r>
          </w:p>
        </w:tc>
        <w:tc>
          <w:tcPr>
            <w:tcW w:w="2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17.</w:t>
            </w:r>
          </w:p>
        </w:tc>
        <w:tc>
          <w:tcPr>
            <w:tcW w:w="7020" w:type="dxa"/>
            <w:vAlign w:val="bottom"/>
          </w:tcPr>
          <w:p>
            <w:pPr>
              <w:ind w:left="140"/>
              <w:spacing w:after="0"/>
              <w:rPr>
                <w:sz w:val="20"/>
                <w:szCs w:val="20"/>
                <w:color w:val="auto"/>
              </w:rPr>
            </w:pPr>
            <w:r>
              <w:rPr>
                <w:rFonts w:ascii="Arial" w:cs="Arial" w:eastAsia="Arial" w:hAnsi="Arial"/>
                <w:sz w:val="16"/>
                <w:szCs w:val="16"/>
                <w:color w:val="auto"/>
              </w:rPr>
              <w:t>DÉFAUT</w:t>
            </w:r>
          </w:p>
        </w:tc>
        <w:tc>
          <w:tcPr>
            <w:tcW w:w="2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18.</w:t>
            </w:r>
          </w:p>
        </w:tc>
        <w:tc>
          <w:tcPr>
            <w:tcW w:w="7020" w:type="dxa"/>
            <w:vAlign w:val="bottom"/>
          </w:tcPr>
          <w:p>
            <w:pPr>
              <w:ind w:left="140"/>
              <w:spacing w:after="0"/>
              <w:rPr>
                <w:sz w:val="20"/>
                <w:szCs w:val="20"/>
                <w:color w:val="auto"/>
              </w:rPr>
            </w:pPr>
            <w:r>
              <w:rPr>
                <w:rFonts w:ascii="Arial" w:cs="Arial" w:eastAsia="Arial" w:hAnsi="Arial"/>
                <w:sz w:val="16"/>
                <w:szCs w:val="16"/>
                <w:color w:val="auto"/>
              </w:rPr>
              <w:t>VISITE DES LIEUX</w:t>
            </w:r>
          </w:p>
        </w:tc>
        <w:tc>
          <w:tcPr>
            <w:tcW w:w="2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19.</w:t>
            </w:r>
          </w:p>
        </w:tc>
        <w:tc>
          <w:tcPr>
            <w:tcW w:w="7020" w:type="dxa"/>
            <w:vAlign w:val="bottom"/>
          </w:tcPr>
          <w:p>
            <w:pPr>
              <w:ind w:left="140"/>
              <w:spacing w:after="0"/>
              <w:rPr>
                <w:sz w:val="20"/>
                <w:szCs w:val="20"/>
                <w:color w:val="auto"/>
              </w:rPr>
            </w:pPr>
            <w:r>
              <w:rPr>
                <w:rFonts w:ascii="Arial" w:cs="Arial" w:eastAsia="Arial" w:hAnsi="Arial"/>
                <w:sz w:val="16"/>
                <w:szCs w:val="16"/>
                <w:color w:val="auto"/>
              </w:rPr>
              <w:t>AMÉLIORATIONS LOCATIVES</w:t>
            </w:r>
          </w:p>
        </w:tc>
        <w:tc>
          <w:tcPr>
            <w:tcW w:w="2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9"/>
        </w:trPr>
        <w:tc>
          <w:tcPr>
            <w:tcW w:w="260" w:type="dxa"/>
            <w:vAlign w:val="bottom"/>
          </w:tcPr>
          <w:p>
            <w:pPr>
              <w:spacing w:after="0"/>
              <w:rPr>
                <w:sz w:val="20"/>
                <w:szCs w:val="20"/>
                <w:color w:val="auto"/>
              </w:rPr>
            </w:pPr>
            <w:r>
              <w:rPr>
                <w:rFonts w:ascii="Arial" w:cs="Arial" w:eastAsia="Arial" w:hAnsi="Arial"/>
                <w:sz w:val="16"/>
                <w:szCs w:val="16"/>
                <w:color w:val="auto"/>
              </w:rPr>
              <w:t>20.</w:t>
            </w:r>
          </w:p>
        </w:tc>
        <w:tc>
          <w:tcPr>
            <w:tcW w:w="7020" w:type="dxa"/>
            <w:vAlign w:val="bottom"/>
          </w:tcPr>
          <w:p>
            <w:pPr>
              <w:ind w:left="140"/>
              <w:spacing w:after="0"/>
              <w:rPr>
                <w:sz w:val="20"/>
                <w:szCs w:val="20"/>
                <w:color w:val="auto"/>
              </w:rPr>
            </w:pPr>
            <w:r>
              <w:rPr>
                <w:rFonts w:ascii="Arial" w:cs="Arial" w:eastAsia="Arial" w:hAnsi="Arial"/>
                <w:sz w:val="16"/>
                <w:szCs w:val="16"/>
                <w:color w:val="auto"/>
              </w:rPr>
              <w:t>HONORAIRES POUR LA SUPERVISION DES TRAVAUX</w:t>
            </w:r>
          </w:p>
        </w:tc>
        <w:tc>
          <w:tcPr>
            <w:tcW w:w="2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21.</w:t>
            </w:r>
          </w:p>
        </w:tc>
        <w:tc>
          <w:tcPr>
            <w:tcW w:w="7020" w:type="dxa"/>
            <w:vAlign w:val="bottom"/>
          </w:tcPr>
          <w:p>
            <w:pPr>
              <w:ind w:left="140"/>
              <w:spacing w:after="0"/>
              <w:rPr>
                <w:sz w:val="20"/>
                <w:szCs w:val="20"/>
                <w:color w:val="auto"/>
              </w:rPr>
            </w:pPr>
            <w:r>
              <w:rPr>
                <w:rFonts w:ascii="Arial" w:cs="Arial" w:eastAsia="Arial" w:hAnsi="Arial"/>
                <w:sz w:val="16"/>
                <w:szCs w:val="16"/>
                <w:color w:val="auto"/>
              </w:rPr>
              <w:t>MODIFICATIONS ET INSTALLATION</w:t>
            </w:r>
          </w:p>
        </w:tc>
        <w:tc>
          <w:tcPr>
            <w:tcW w:w="2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22.</w:t>
            </w:r>
          </w:p>
        </w:tc>
        <w:tc>
          <w:tcPr>
            <w:tcW w:w="7020" w:type="dxa"/>
            <w:vAlign w:val="bottom"/>
          </w:tcPr>
          <w:p>
            <w:pPr>
              <w:ind w:left="140"/>
              <w:spacing w:after="0"/>
              <w:rPr>
                <w:sz w:val="20"/>
                <w:szCs w:val="20"/>
                <w:color w:val="auto"/>
              </w:rPr>
            </w:pPr>
            <w:r>
              <w:rPr>
                <w:rFonts w:ascii="Arial" w:cs="Arial" w:eastAsia="Arial" w:hAnsi="Arial"/>
                <w:sz w:val="16"/>
                <w:szCs w:val="16"/>
                <w:color w:val="auto"/>
              </w:rPr>
              <w:t>ACCEPTATION DES LIEUX LOUES</w:t>
            </w:r>
          </w:p>
        </w:tc>
        <w:tc>
          <w:tcPr>
            <w:tcW w:w="2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9"/>
        </w:trPr>
        <w:tc>
          <w:tcPr>
            <w:tcW w:w="260" w:type="dxa"/>
            <w:vAlign w:val="bottom"/>
          </w:tcPr>
          <w:p>
            <w:pPr>
              <w:spacing w:after="0"/>
              <w:rPr>
                <w:sz w:val="20"/>
                <w:szCs w:val="20"/>
                <w:color w:val="auto"/>
              </w:rPr>
            </w:pPr>
            <w:r>
              <w:rPr>
                <w:rFonts w:ascii="Arial" w:cs="Arial" w:eastAsia="Arial" w:hAnsi="Arial"/>
                <w:sz w:val="16"/>
                <w:szCs w:val="16"/>
                <w:color w:val="auto"/>
              </w:rPr>
              <w:t>23.</w:t>
            </w:r>
          </w:p>
        </w:tc>
        <w:tc>
          <w:tcPr>
            <w:tcW w:w="7020" w:type="dxa"/>
            <w:vAlign w:val="bottom"/>
          </w:tcPr>
          <w:p>
            <w:pPr>
              <w:ind w:left="140"/>
              <w:spacing w:after="0"/>
              <w:rPr>
                <w:sz w:val="20"/>
                <w:szCs w:val="20"/>
                <w:color w:val="auto"/>
              </w:rPr>
            </w:pPr>
            <w:r>
              <w:rPr>
                <w:rFonts w:ascii="Arial" w:cs="Arial" w:eastAsia="Arial" w:hAnsi="Arial"/>
                <w:sz w:val="16"/>
                <w:szCs w:val="16"/>
                <w:color w:val="auto"/>
              </w:rPr>
              <w:t>RESPONSABILITÉ DES PARTIES</w:t>
            </w:r>
          </w:p>
        </w:tc>
        <w:tc>
          <w:tcPr>
            <w:tcW w:w="2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24.</w:t>
            </w:r>
          </w:p>
        </w:tc>
        <w:tc>
          <w:tcPr>
            <w:tcW w:w="7020" w:type="dxa"/>
            <w:vAlign w:val="bottom"/>
          </w:tcPr>
          <w:p>
            <w:pPr>
              <w:ind w:left="140"/>
              <w:spacing w:after="0"/>
              <w:rPr>
                <w:sz w:val="20"/>
                <w:szCs w:val="20"/>
                <w:color w:val="auto"/>
              </w:rPr>
            </w:pPr>
            <w:r>
              <w:rPr>
                <w:rFonts w:ascii="Arial" w:cs="Arial" w:eastAsia="Arial" w:hAnsi="Arial"/>
                <w:sz w:val="16"/>
                <w:szCs w:val="16"/>
                <w:color w:val="auto"/>
              </w:rPr>
              <w:t>REMISE EN ÉTAT DES LIEUX LOUES</w:t>
            </w:r>
          </w:p>
        </w:tc>
        <w:tc>
          <w:tcPr>
            <w:tcW w:w="2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25.</w:t>
            </w:r>
          </w:p>
        </w:tc>
        <w:tc>
          <w:tcPr>
            <w:tcW w:w="7020" w:type="dxa"/>
            <w:vAlign w:val="bottom"/>
          </w:tcPr>
          <w:p>
            <w:pPr>
              <w:ind w:left="140"/>
              <w:spacing w:after="0"/>
              <w:rPr>
                <w:sz w:val="20"/>
                <w:szCs w:val="20"/>
                <w:color w:val="auto"/>
              </w:rPr>
            </w:pPr>
            <w:r>
              <w:rPr>
                <w:rFonts w:ascii="Arial" w:cs="Arial" w:eastAsia="Arial" w:hAnsi="Arial"/>
                <w:sz w:val="16"/>
                <w:szCs w:val="16"/>
                <w:color w:val="auto"/>
              </w:rPr>
              <w:t>PUBLICATION DU BAIL</w:t>
            </w:r>
          </w:p>
        </w:tc>
        <w:tc>
          <w:tcPr>
            <w:tcW w:w="2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9"/>
        </w:trPr>
        <w:tc>
          <w:tcPr>
            <w:tcW w:w="260" w:type="dxa"/>
            <w:vAlign w:val="bottom"/>
          </w:tcPr>
          <w:p>
            <w:pPr>
              <w:spacing w:after="0"/>
              <w:rPr>
                <w:sz w:val="20"/>
                <w:szCs w:val="20"/>
                <w:color w:val="auto"/>
              </w:rPr>
            </w:pPr>
            <w:r>
              <w:rPr>
                <w:rFonts w:ascii="Arial" w:cs="Arial" w:eastAsia="Arial" w:hAnsi="Arial"/>
                <w:sz w:val="16"/>
                <w:szCs w:val="16"/>
                <w:color w:val="auto"/>
              </w:rPr>
              <w:t>26.</w:t>
            </w:r>
          </w:p>
        </w:tc>
        <w:tc>
          <w:tcPr>
            <w:tcW w:w="7020" w:type="dxa"/>
            <w:vAlign w:val="bottom"/>
          </w:tcPr>
          <w:p>
            <w:pPr>
              <w:ind w:left="140"/>
              <w:spacing w:after="0"/>
              <w:rPr>
                <w:sz w:val="20"/>
                <w:szCs w:val="20"/>
                <w:color w:val="auto"/>
              </w:rPr>
            </w:pPr>
            <w:r>
              <w:rPr>
                <w:rFonts w:ascii="Arial" w:cs="Arial" w:eastAsia="Arial" w:hAnsi="Arial"/>
                <w:sz w:val="16"/>
                <w:szCs w:val="16"/>
                <w:color w:val="auto"/>
              </w:rPr>
              <w:t>HYPOTHÈQUES ET SUBORDINATION</w:t>
            </w:r>
          </w:p>
        </w:tc>
        <w:tc>
          <w:tcPr>
            <w:tcW w:w="2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27.</w:t>
            </w:r>
          </w:p>
        </w:tc>
        <w:tc>
          <w:tcPr>
            <w:tcW w:w="7020" w:type="dxa"/>
            <w:vAlign w:val="bottom"/>
          </w:tcPr>
          <w:p>
            <w:pPr>
              <w:ind w:left="140"/>
              <w:spacing w:after="0"/>
              <w:rPr>
                <w:sz w:val="20"/>
                <w:szCs w:val="20"/>
                <w:color w:val="auto"/>
              </w:rPr>
            </w:pPr>
            <w:r>
              <w:rPr>
                <w:rFonts w:ascii="Arial" w:cs="Arial" w:eastAsia="Arial" w:hAnsi="Arial"/>
                <w:sz w:val="16"/>
                <w:szCs w:val="16"/>
                <w:color w:val="auto"/>
              </w:rPr>
              <w:t>IDENTIFICATION</w:t>
            </w:r>
          </w:p>
        </w:tc>
        <w:tc>
          <w:tcPr>
            <w:tcW w:w="2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9"/>
        </w:trPr>
        <w:tc>
          <w:tcPr>
            <w:tcW w:w="260" w:type="dxa"/>
            <w:vAlign w:val="bottom"/>
          </w:tcPr>
          <w:p>
            <w:pPr>
              <w:spacing w:after="0"/>
              <w:rPr>
                <w:sz w:val="20"/>
                <w:szCs w:val="20"/>
                <w:color w:val="auto"/>
              </w:rPr>
            </w:pPr>
            <w:r>
              <w:rPr>
                <w:rFonts w:ascii="Arial" w:cs="Arial" w:eastAsia="Arial" w:hAnsi="Arial"/>
                <w:sz w:val="16"/>
                <w:szCs w:val="16"/>
                <w:color w:val="auto"/>
              </w:rPr>
              <w:t>28.</w:t>
            </w:r>
          </w:p>
        </w:tc>
        <w:tc>
          <w:tcPr>
            <w:tcW w:w="7020" w:type="dxa"/>
            <w:vAlign w:val="bottom"/>
          </w:tcPr>
          <w:p>
            <w:pPr>
              <w:ind w:left="140"/>
              <w:spacing w:after="0"/>
              <w:rPr>
                <w:sz w:val="20"/>
                <w:szCs w:val="20"/>
                <w:color w:val="auto"/>
              </w:rPr>
            </w:pPr>
            <w:r>
              <w:rPr>
                <w:rFonts w:ascii="Arial" w:cs="Arial" w:eastAsia="Arial" w:hAnsi="Arial"/>
                <w:sz w:val="16"/>
                <w:szCs w:val="16"/>
                <w:color w:val="auto"/>
              </w:rPr>
              <w:t>STATIONNEMENT EXTÉRIEUR</w:t>
            </w:r>
          </w:p>
        </w:tc>
        <w:tc>
          <w:tcPr>
            <w:tcW w:w="2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29.</w:t>
            </w:r>
          </w:p>
        </w:tc>
        <w:tc>
          <w:tcPr>
            <w:tcW w:w="7020" w:type="dxa"/>
            <w:vAlign w:val="bottom"/>
          </w:tcPr>
          <w:p>
            <w:pPr>
              <w:ind w:left="140"/>
              <w:spacing w:after="0"/>
              <w:rPr>
                <w:sz w:val="20"/>
                <w:szCs w:val="20"/>
                <w:color w:val="auto"/>
              </w:rPr>
            </w:pPr>
            <w:r>
              <w:rPr>
                <w:rFonts w:ascii="Arial" w:cs="Arial" w:eastAsia="Arial" w:hAnsi="Arial"/>
                <w:sz w:val="16"/>
                <w:szCs w:val="16"/>
                <w:color w:val="auto"/>
              </w:rPr>
              <w:t>FRAIS OE COURTAGE</w:t>
            </w:r>
          </w:p>
        </w:tc>
        <w:tc>
          <w:tcPr>
            <w:tcW w:w="2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8"/>
        </w:trPr>
        <w:tc>
          <w:tcPr>
            <w:tcW w:w="260" w:type="dxa"/>
            <w:vAlign w:val="bottom"/>
          </w:tcPr>
          <w:p>
            <w:pPr>
              <w:spacing w:after="0"/>
              <w:rPr>
                <w:sz w:val="20"/>
                <w:szCs w:val="20"/>
                <w:color w:val="auto"/>
              </w:rPr>
            </w:pPr>
            <w:r>
              <w:rPr>
                <w:rFonts w:ascii="Arial" w:cs="Arial" w:eastAsia="Arial" w:hAnsi="Arial"/>
                <w:sz w:val="16"/>
                <w:szCs w:val="16"/>
                <w:color w:val="auto"/>
              </w:rPr>
              <w:t>30.</w:t>
            </w:r>
          </w:p>
        </w:tc>
        <w:tc>
          <w:tcPr>
            <w:tcW w:w="7020" w:type="dxa"/>
            <w:vAlign w:val="bottom"/>
          </w:tcPr>
          <w:p>
            <w:pPr>
              <w:ind w:left="140"/>
              <w:spacing w:after="0"/>
              <w:rPr>
                <w:sz w:val="20"/>
                <w:szCs w:val="20"/>
                <w:color w:val="auto"/>
              </w:rPr>
            </w:pPr>
            <w:r>
              <w:rPr>
                <w:rFonts w:ascii="Arial" w:cs="Arial" w:eastAsia="Arial" w:hAnsi="Arial"/>
                <w:sz w:val="16"/>
                <w:szCs w:val="16"/>
                <w:color w:val="auto"/>
              </w:rPr>
              <w:t>DROIT DE RÉSILIATION</w:t>
            </w:r>
          </w:p>
        </w:tc>
        <w:tc>
          <w:tcPr>
            <w:tcW w:w="2500" w:type="dxa"/>
            <w:vAlign w:val="bottom"/>
          </w:tcPr>
          <w:p>
            <w:pPr>
              <w:jc w:val="right"/>
              <w:spacing w:after="0"/>
              <w:rPr>
                <w:sz w:val="20"/>
                <w:szCs w:val="20"/>
                <w:color w:val="auto"/>
              </w:rPr>
            </w:pPr>
            <w:r>
              <w:rPr>
                <w:rFonts w:ascii="Arial" w:cs="Arial" w:eastAsia="Arial" w:hAnsi="Arial"/>
                <w:sz w:val="16"/>
                <w:szCs w:val="16"/>
                <w:color w:val="auto"/>
              </w:rPr>
              <w:t>18</w:t>
            </w:r>
          </w:p>
        </w:tc>
      </w:tr>
    </w:tbl>
    <w:p>
      <w:pPr>
        <w:sectPr>
          <w:pgSz w:w="11900" w:h="16838" w:orient="portrait"/>
          <w:cols w:equalWidth="0" w:num="1">
            <w:col w:w="10120"/>
          </w:cols>
          <w:pgMar w:left="1440" w:top="828" w:right="339" w:bottom="1440" w:gutter="0" w:footer="0" w:header="0"/>
        </w:sectPr>
      </w:pPr>
    </w:p>
    <w:bookmarkStart w:id="110" w:name="page111"/>
    <w:bookmarkEnd w:id="110"/>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6"/>
                <w:szCs w:val="16"/>
                <w:color w:val="auto"/>
              </w:rPr>
              <w:t>Page 3</w:t>
            </w:r>
          </w:p>
        </w:tc>
      </w:tr>
      <w:tr>
        <w:trPr>
          <w:trHeight w:val="768"/>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31.</w:t>
            </w:r>
          </w:p>
        </w:tc>
        <w:tc>
          <w:tcPr>
            <w:tcW w:w="5820" w:type="dxa"/>
            <w:vAlign w:val="bottom"/>
          </w:tcPr>
          <w:p>
            <w:pPr>
              <w:ind w:left="100"/>
              <w:spacing w:after="0"/>
              <w:rPr>
                <w:sz w:val="20"/>
                <w:szCs w:val="20"/>
                <w:color w:val="auto"/>
              </w:rPr>
            </w:pPr>
            <w:r>
              <w:rPr>
                <w:rFonts w:ascii="Arial" w:cs="Arial" w:eastAsia="Arial" w:hAnsi="Arial"/>
                <w:sz w:val="16"/>
                <w:szCs w:val="16"/>
                <w:color w:val="auto"/>
              </w:rPr>
              <w:t>DROIT DE PREMIÈRE OFFRE</w:t>
            </w:r>
          </w:p>
        </w:tc>
        <w:tc>
          <w:tcPr>
            <w:tcW w:w="36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9"/>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32.</w:t>
            </w:r>
          </w:p>
        </w:tc>
        <w:tc>
          <w:tcPr>
            <w:tcW w:w="5820" w:type="dxa"/>
            <w:vAlign w:val="bottom"/>
          </w:tcPr>
          <w:p>
            <w:pPr>
              <w:ind w:left="100"/>
              <w:spacing w:after="0"/>
              <w:rPr>
                <w:sz w:val="20"/>
                <w:szCs w:val="20"/>
                <w:color w:val="auto"/>
              </w:rPr>
            </w:pPr>
            <w:r>
              <w:rPr>
                <w:rFonts w:ascii="Arial" w:cs="Arial" w:eastAsia="Arial" w:hAnsi="Arial"/>
                <w:sz w:val="16"/>
                <w:szCs w:val="16"/>
                <w:color w:val="auto"/>
              </w:rPr>
              <w:t>OPTION D'EXPANSION</w:t>
            </w:r>
          </w:p>
        </w:tc>
        <w:tc>
          <w:tcPr>
            <w:tcW w:w="36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8"/>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33.</w:t>
            </w:r>
          </w:p>
        </w:tc>
        <w:tc>
          <w:tcPr>
            <w:tcW w:w="5820" w:type="dxa"/>
            <w:vAlign w:val="bottom"/>
          </w:tcPr>
          <w:p>
            <w:pPr>
              <w:ind w:left="100"/>
              <w:spacing w:after="0"/>
              <w:rPr>
                <w:sz w:val="20"/>
                <w:szCs w:val="20"/>
                <w:color w:val="auto"/>
              </w:rPr>
            </w:pPr>
            <w:r>
              <w:rPr>
                <w:rFonts w:ascii="Arial" w:cs="Arial" w:eastAsia="Arial" w:hAnsi="Arial"/>
                <w:sz w:val="16"/>
                <w:szCs w:val="16"/>
                <w:color w:val="auto"/>
              </w:rPr>
              <w:t>CESSION ET SOUS-LOCATION</w:t>
            </w:r>
          </w:p>
        </w:tc>
        <w:tc>
          <w:tcPr>
            <w:tcW w:w="36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8"/>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34.</w:t>
            </w:r>
          </w:p>
        </w:tc>
        <w:tc>
          <w:tcPr>
            <w:tcW w:w="5820" w:type="dxa"/>
            <w:vAlign w:val="bottom"/>
          </w:tcPr>
          <w:p>
            <w:pPr>
              <w:ind w:left="100"/>
              <w:spacing w:after="0"/>
              <w:rPr>
                <w:sz w:val="20"/>
                <w:szCs w:val="20"/>
                <w:color w:val="auto"/>
              </w:rPr>
            </w:pPr>
            <w:r>
              <w:rPr>
                <w:rFonts w:ascii="Arial" w:cs="Arial" w:eastAsia="Arial" w:hAnsi="Arial"/>
                <w:sz w:val="16"/>
                <w:szCs w:val="16"/>
                <w:color w:val="auto"/>
              </w:rPr>
              <w:t>OPTION DE RENOUVELLEMENT</w:t>
            </w:r>
          </w:p>
        </w:tc>
        <w:tc>
          <w:tcPr>
            <w:tcW w:w="36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8"/>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35.</w:t>
            </w:r>
          </w:p>
        </w:tc>
        <w:tc>
          <w:tcPr>
            <w:tcW w:w="5820" w:type="dxa"/>
            <w:vAlign w:val="bottom"/>
          </w:tcPr>
          <w:p>
            <w:pPr>
              <w:ind w:left="100"/>
              <w:spacing w:after="0"/>
              <w:rPr>
                <w:sz w:val="20"/>
                <w:szCs w:val="20"/>
                <w:color w:val="auto"/>
              </w:rPr>
            </w:pPr>
            <w:r>
              <w:rPr>
                <w:rFonts w:ascii="Arial" w:cs="Arial" w:eastAsia="Arial" w:hAnsi="Arial"/>
                <w:sz w:val="16"/>
                <w:szCs w:val="16"/>
                <w:color w:val="auto"/>
              </w:rPr>
              <w:t>FORCE MAJEURE</w:t>
            </w:r>
          </w:p>
        </w:tc>
        <w:tc>
          <w:tcPr>
            <w:tcW w:w="36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8"/>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36.</w:t>
            </w:r>
          </w:p>
        </w:tc>
        <w:tc>
          <w:tcPr>
            <w:tcW w:w="5820" w:type="dxa"/>
            <w:vAlign w:val="bottom"/>
          </w:tcPr>
          <w:p>
            <w:pPr>
              <w:ind w:left="100"/>
              <w:spacing w:after="0"/>
              <w:rPr>
                <w:sz w:val="20"/>
                <w:szCs w:val="20"/>
                <w:color w:val="auto"/>
              </w:rPr>
            </w:pPr>
            <w:r>
              <w:rPr>
                <w:rFonts w:ascii="Arial" w:cs="Arial" w:eastAsia="Arial" w:hAnsi="Arial"/>
                <w:sz w:val="16"/>
                <w:szCs w:val="16"/>
                <w:color w:val="auto"/>
              </w:rPr>
              <w:t>AVIS</w:t>
            </w:r>
          </w:p>
        </w:tc>
        <w:tc>
          <w:tcPr>
            <w:tcW w:w="36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9"/>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37.</w:t>
            </w:r>
          </w:p>
        </w:tc>
        <w:tc>
          <w:tcPr>
            <w:tcW w:w="5820" w:type="dxa"/>
            <w:vAlign w:val="bottom"/>
          </w:tcPr>
          <w:p>
            <w:pPr>
              <w:ind w:left="100"/>
              <w:spacing w:after="0"/>
              <w:rPr>
                <w:sz w:val="20"/>
                <w:szCs w:val="20"/>
                <w:color w:val="auto"/>
              </w:rPr>
            </w:pPr>
            <w:r>
              <w:rPr>
                <w:rFonts w:ascii="Arial" w:cs="Arial" w:eastAsia="Arial" w:hAnsi="Arial"/>
                <w:sz w:val="16"/>
                <w:szCs w:val="16"/>
                <w:color w:val="auto"/>
              </w:rPr>
              <w:t>PUBLICATION</w:t>
            </w:r>
          </w:p>
        </w:tc>
        <w:tc>
          <w:tcPr>
            <w:tcW w:w="36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8"/>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38.</w:t>
            </w:r>
          </w:p>
        </w:tc>
        <w:tc>
          <w:tcPr>
            <w:tcW w:w="5820" w:type="dxa"/>
            <w:vAlign w:val="bottom"/>
          </w:tcPr>
          <w:p>
            <w:pPr>
              <w:ind w:left="100"/>
              <w:spacing w:after="0"/>
              <w:rPr>
                <w:sz w:val="20"/>
                <w:szCs w:val="20"/>
                <w:color w:val="auto"/>
              </w:rPr>
            </w:pPr>
            <w:r>
              <w:rPr>
                <w:rFonts w:ascii="Arial" w:cs="Arial" w:eastAsia="Arial" w:hAnsi="Arial"/>
                <w:sz w:val="16"/>
                <w:szCs w:val="16"/>
                <w:color w:val="auto"/>
              </w:rPr>
              <w:t>ACCEPTATION CONDITIONNELLE</w:t>
            </w:r>
          </w:p>
        </w:tc>
        <w:tc>
          <w:tcPr>
            <w:tcW w:w="36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8"/>
        </w:trPr>
        <w:tc>
          <w:tcPr>
            <w:tcW w:w="300" w:type="dxa"/>
            <w:vAlign w:val="bottom"/>
          </w:tcPr>
          <w:p>
            <w:pPr>
              <w:jc w:val="right"/>
              <w:ind w:right="1"/>
              <w:spacing w:after="0"/>
              <w:rPr>
                <w:sz w:val="20"/>
                <w:szCs w:val="20"/>
                <w:color w:val="auto"/>
              </w:rPr>
            </w:pPr>
            <w:r>
              <w:rPr>
                <w:rFonts w:ascii="Arial" w:cs="Arial" w:eastAsia="Arial" w:hAnsi="Arial"/>
                <w:sz w:val="16"/>
                <w:szCs w:val="16"/>
                <w:color w:val="auto"/>
                <w:w w:val="89"/>
              </w:rPr>
              <w:t>39.</w:t>
            </w:r>
          </w:p>
        </w:tc>
        <w:tc>
          <w:tcPr>
            <w:tcW w:w="5820" w:type="dxa"/>
            <w:vAlign w:val="bottom"/>
          </w:tcPr>
          <w:p>
            <w:pPr>
              <w:ind w:left="100"/>
              <w:spacing w:after="0"/>
              <w:rPr>
                <w:sz w:val="20"/>
                <w:szCs w:val="20"/>
                <w:color w:val="auto"/>
              </w:rPr>
            </w:pPr>
            <w:r>
              <w:rPr>
                <w:rFonts w:ascii="Arial" w:cs="Arial" w:eastAsia="Arial" w:hAnsi="Arial"/>
                <w:sz w:val="16"/>
                <w:szCs w:val="16"/>
                <w:color w:val="auto"/>
              </w:rPr>
              <w:t>CONFIDENTIALITÉ</w:t>
            </w:r>
          </w:p>
        </w:tc>
        <w:tc>
          <w:tcPr>
            <w:tcW w:w="3680" w:type="dxa"/>
            <w:vAlign w:val="bottom"/>
          </w:tcPr>
          <w:p>
            <w:pPr>
              <w:jc w:val="right"/>
              <w:spacing w:after="0"/>
              <w:rPr>
                <w:sz w:val="20"/>
                <w:szCs w:val="20"/>
                <w:color w:val="auto"/>
              </w:rPr>
            </w:pPr>
            <w:r>
              <w:rPr>
                <w:rFonts w:ascii="Arial" w:cs="Arial" w:eastAsia="Arial" w:hAnsi="Arial"/>
                <w:sz w:val="16"/>
                <w:szCs w:val="16"/>
                <w:color w:val="auto"/>
              </w:rPr>
              <w:t>23</w:t>
            </w:r>
          </w:p>
        </w:tc>
      </w:tr>
    </w:tbl>
    <w:p>
      <w:pPr>
        <w:sectPr>
          <w:pgSz w:w="11900" w:h="16838" w:orient="portrait"/>
          <w:cols w:equalWidth="0" w:num="1">
            <w:col w:w="10120"/>
          </w:cols>
          <w:pgMar w:left="1440" w:top="82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BAIL</w:t>
      </w:r>
    </w:p>
    <w:p>
      <w:pPr>
        <w:spacing w:after="0" w:line="241" w:lineRule="exact"/>
        <w:rPr>
          <w:sz w:val="20"/>
          <w:szCs w:val="20"/>
          <w:color w:val="auto"/>
        </w:rPr>
      </w:pPr>
    </w:p>
    <w:p>
      <w:pPr>
        <w:jc w:val="both"/>
        <w:ind w:left="1060" w:right="200" w:hanging="980"/>
        <w:spacing w:after="0" w:line="258" w:lineRule="auto"/>
        <w:tabs>
          <w:tab w:leader="none" w:pos="1040" w:val="left"/>
        </w:tabs>
        <w:rPr>
          <w:sz w:val="20"/>
          <w:szCs w:val="20"/>
          <w:color w:val="auto"/>
        </w:rPr>
      </w:pPr>
      <w:r>
        <w:rPr>
          <w:rFonts w:ascii="Arial" w:cs="Arial" w:eastAsia="Arial" w:hAnsi="Arial"/>
          <w:sz w:val="16"/>
          <w:szCs w:val="16"/>
          <w:b w:val="1"/>
          <w:bCs w:val="1"/>
          <w:color w:val="030303"/>
        </w:rPr>
        <w:t>ENTRE:</w:t>
        <w:tab/>
        <w:t xml:space="preserve">1405 PTQM (SEC), </w:t>
      </w:r>
      <w:r>
        <w:rPr>
          <w:rFonts w:ascii="Arial" w:cs="Arial" w:eastAsia="Arial" w:hAnsi="Arial"/>
          <w:sz w:val="16"/>
          <w:szCs w:val="16"/>
          <w:color w:val="030303"/>
        </w:rPr>
        <w:t>société dument constituée, ayant son siège au 1135 Grande Allée Ouest, bureau 210, Québec</w:t>
      </w:r>
      <w:r>
        <w:rPr>
          <w:rFonts w:ascii="Arial" w:cs="Arial" w:eastAsia="Arial" w:hAnsi="Arial"/>
          <w:sz w:val="16"/>
          <w:szCs w:val="16"/>
          <w:b w:val="1"/>
          <w:bCs w:val="1"/>
          <w:color w:val="030303"/>
        </w:rPr>
        <w:t xml:space="preserve"> </w:t>
      </w:r>
      <w:r>
        <w:rPr>
          <w:rFonts w:ascii="Arial" w:cs="Arial" w:eastAsia="Arial" w:hAnsi="Arial"/>
          <w:sz w:val="16"/>
          <w:szCs w:val="16"/>
          <w:color w:val="131313"/>
        </w:rPr>
        <w:t>(Québec)</w:t>
      </w:r>
      <w:r>
        <w:rPr>
          <w:rFonts w:ascii="Arial" w:cs="Arial" w:eastAsia="Arial" w:hAnsi="Arial"/>
          <w:sz w:val="16"/>
          <w:szCs w:val="16"/>
          <w:b w:val="1"/>
          <w:bCs w:val="1"/>
          <w:color w:val="030303"/>
        </w:rPr>
        <w:t xml:space="preserve"> </w:t>
      </w:r>
      <w:r>
        <w:rPr>
          <w:rFonts w:ascii="Arial" w:cs="Arial" w:eastAsia="Arial" w:hAnsi="Arial"/>
          <w:sz w:val="16"/>
          <w:szCs w:val="16"/>
          <w:color w:val="030303"/>
        </w:rPr>
        <w:t>G1S 1E7, représentée aux présentes par monsieur Marc Simard, représentant dument autorise tel qu'il le déclare;</w:t>
      </w: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6"/>
          <w:szCs w:val="16"/>
          <w:color w:val="131313"/>
        </w:rPr>
        <w:t xml:space="preserve">(ci-après </w:t>
      </w:r>
      <w:r>
        <w:rPr>
          <w:rFonts w:ascii="Arial" w:cs="Arial" w:eastAsia="Arial" w:hAnsi="Arial"/>
          <w:sz w:val="16"/>
          <w:szCs w:val="16"/>
          <w:color w:val="030303"/>
        </w:rPr>
        <w:t>le</w:t>
      </w:r>
      <w:r>
        <w:rPr>
          <w:rFonts w:ascii="Arial" w:cs="Arial" w:eastAsia="Arial" w:hAnsi="Arial"/>
          <w:sz w:val="16"/>
          <w:szCs w:val="16"/>
          <w:color w:val="131313"/>
        </w:rPr>
        <w:t xml:space="preserve"> </w:t>
      </w:r>
      <w:r>
        <w:rPr>
          <w:rFonts w:ascii="Arial" w:cs="Arial" w:eastAsia="Arial" w:hAnsi="Arial"/>
          <w:sz w:val="16"/>
          <w:szCs w:val="16"/>
          <w:color w:val="282828"/>
        </w:rPr>
        <w:t>«</w:t>
      </w:r>
      <w:r>
        <w:rPr>
          <w:rFonts w:ascii="Arial" w:cs="Arial" w:eastAsia="Arial" w:hAnsi="Arial"/>
          <w:sz w:val="16"/>
          <w:szCs w:val="16"/>
          <w:color w:val="131313"/>
        </w:rPr>
        <w:t xml:space="preserve"> </w:t>
      </w:r>
      <w:r>
        <w:rPr>
          <w:rFonts w:ascii="Arial" w:cs="Arial" w:eastAsia="Arial" w:hAnsi="Arial"/>
          <w:sz w:val="16"/>
          <w:szCs w:val="16"/>
          <w:b w:val="1"/>
          <w:bCs w:val="1"/>
          <w:color w:val="282828"/>
        </w:rPr>
        <w:t>Bailleur</w:t>
      </w:r>
      <w:r>
        <w:rPr>
          <w:rFonts w:ascii="Arial" w:cs="Arial" w:eastAsia="Arial" w:hAnsi="Arial"/>
          <w:sz w:val="16"/>
          <w:szCs w:val="16"/>
          <w:color w:val="131313"/>
        </w:rPr>
        <w:t xml:space="preserve"> </w:t>
      </w:r>
      <w:r>
        <w:rPr>
          <w:rFonts w:ascii="Arial" w:cs="Arial" w:eastAsia="Arial" w:hAnsi="Arial"/>
          <w:sz w:val="16"/>
          <w:szCs w:val="16"/>
          <w:color w:val="282828"/>
        </w:rPr>
        <w:t>») ;</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940" w:right="200" w:hanging="977"/>
        <w:spacing w:after="0" w:line="284" w:lineRule="auto"/>
        <w:tabs>
          <w:tab w:leader="none" w:pos="920" w:val="left"/>
        </w:tabs>
        <w:rPr>
          <w:sz w:val="20"/>
          <w:szCs w:val="20"/>
          <w:color w:val="auto"/>
        </w:rPr>
      </w:pPr>
      <w:r>
        <w:rPr>
          <w:rFonts w:ascii="Arial" w:cs="Arial" w:eastAsia="Arial" w:hAnsi="Arial"/>
          <w:sz w:val="16"/>
          <w:szCs w:val="16"/>
          <w:b w:val="1"/>
          <w:bCs w:val="1"/>
          <w:color w:val="030303"/>
        </w:rPr>
        <w:t>ET :</w:t>
      </w:r>
      <w:r>
        <w:rPr>
          <w:sz w:val="20"/>
          <w:szCs w:val="20"/>
          <w:color w:val="auto"/>
        </w:rPr>
        <w:tab/>
      </w:r>
      <w:r>
        <w:rPr>
          <w:rFonts w:ascii="Arial" w:cs="Arial" w:eastAsia="Arial" w:hAnsi="Arial"/>
          <w:sz w:val="16"/>
          <w:szCs w:val="16"/>
          <w:b w:val="1"/>
          <w:bCs w:val="1"/>
          <w:color w:val="030303"/>
        </w:rPr>
        <w:t xml:space="preserve">OPSENS INC., </w:t>
      </w:r>
      <w:r>
        <w:rPr>
          <w:rFonts w:ascii="Arial" w:cs="Arial" w:eastAsia="Arial" w:hAnsi="Arial"/>
          <w:sz w:val="16"/>
          <w:szCs w:val="16"/>
          <w:color w:val="030303"/>
        </w:rPr>
        <w:t>une société constituée en vertu des lois du Canada, ayant une place d'affaire au 2014, rue Cyrille-Duquet, bur.</w:t>
      </w:r>
      <w:r>
        <w:rPr>
          <w:rFonts w:ascii="Arial" w:cs="Arial" w:eastAsia="Arial" w:hAnsi="Arial"/>
          <w:sz w:val="16"/>
          <w:szCs w:val="16"/>
          <w:b w:val="1"/>
          <w:bCs w:val="1"/>
          <w:color w:val="030303"/>
        </w:rPr>
        <w:t xml:space="preserve"> </w:t>
      </w:r>
      <w:r>
        <w:rPr>
          <w:rFonts w:ascii="Arial" w:cs="Arial" w:eastAsia="Arial" w:hAnsi="Arial"/>
          <w:sz w:val="16"/>
          <w:szCs w:val="16"/>
          <w:color w:val="030303"/>
        </w:rPr>
        <w:t>125, dans la ville de Québec, province de Québec, agissant aux présentes par l'entremise de monsieur Louis Laflamme, Président, dument autorise tel qu'il le déclare;</w:t>
      </w:r>
    </w:p>
    <w:p>
      <w:pPr>
        <w:spacing w:after="0" w:line="235" w:lineRule="exact"/>
        <w:rPr>
          <w:sz w:val="20"/>
          <w:szCs w:val="20"/>
          <w:color w:val="auto"/>
        </w:rPr>
      </w:pPr>
    </w:p>
    <w:p>
      <w:pPr>
        <w:ind w:left="1220"/>
        <w:spacing w:after="0"/>
        <w:rPr>
          <w:sz w:val="20"/>
          <w:szCs w:val="20"/>
          <w:color w:val="auto"/>
        </w:rPr>
      </w:pPr>
      <w:r>
        <w:rPr>
          <w:rFonts w:ascii="Arial" w:cs="Arial" w:eastAsia="Arial" w:hAnsi="Arial"/>
          <w:sz w:val="16"/>
          <w:szCs w:val="16"/>
          <w:color w:val="131313"/>
        </w:rPr>
        <w:t xml:space="preserve">(ci-après </w:t>
      </w:r>
      <w:r>
        <w:rPr>
          <w:rFonts w:ascii="Arial" w:cs="Arial" w:eastAsia="Arial" w:hAnsi="Arial"/>
          <w:sz w:val="16"/>
          <w:szCs w:val="16"/>
          <w:color w:val="030303"/>
        </w:rPr>
        <w:t>le</w:t>
      </w:r>
      <w:r>
        <w:rPr>
          <w:rFonts w:ascii="Arial" w:cs="Arial" w:eastAsia="Arial" w:hAnsi="Arial"/>
          <w:sz w:val="16"/>
          <w:szCs w:val="16"/>
          <w:color w:val="131313"/>
        </w:rPr>
        <w:t xml:space="preserve"> </w:t>
      </w:r>
      <w:r>
        <w:rPr>
          <w:rFonts w:ascii="Arial" w:cs="Arial" w:eastAsia="Arial" w:hAnsi="Arial"/>
          <w:sz w:val="16"/>
          <w:szCs w:val="16"/>
          <w:color w:val="282828"/>
        </w:rPr>
        <w:t>«</w:t>
      </w:r>
      <w:r>
        <w:rPr>
          <w:rFonts w:ascii="Arial" w:cs="Arial" w:eastAsia="Arial" w:hAnsi="Arial"/>
          <w:sz w:val="16"/>
          <w:szCs w:val="16"/>
          <w:color w:val="131313"/>
        </w:rPr>
        <w:t xml:space="preserve"> </w:t>
      </w:r>
      <w:r>
        <w:rPr>
          <w:rFonts w:ascii="Arial" w:cs="Arial" w:eastAsia="Arial" w:hAnsi="Arial"/>
          <w:sz w:val="16"/>
          <w:szCs w:val="16"/>
          <w:b w:val="1"/>
          <w:bCs w:val="1"/>
          <w:color w:val="030303"/>
        </w:rPr>
        <w:t>Locataire</w:t>
      </w:r>
      <w:r>
        <w:rPr>
          <w:rFonts w:ascii="Arial" w:cs="Arial" w:eastAsia="Arial" w:hAnsi="Arial"/>
          <w:sz w:val="16"/>
          <w:szCs w:val="16"/>
          <w:color w:val="131313"/>
        </w:rPr>
        <w:t xml:space="preserve"> </w:t>
      </w:r>
      <w:r>
        <w:rPr>
          <w:rFonts w:ascii="Arial" w:cs="Arial" w:eastAsia="Arial" w:hAnsi="Arial"/>
          <w:sz w:val="16"/>
          <w:szCs w:val="16"/>
          <w:color w:val="282828"/>
        </w:rPr>
        <w:t>»)</w:t>
      </w:r>
    </w:p>
    <w:p>
      <w:pPr>
        <w:spacing w:after="0" w:line="200" w:lineRule="exact"/>
        <w:rPr>
          <w:sz w:val="20"/>
          <w:szCs w:val="20"/>
          <w:color w:val="auto"/>
        </w:rPr>
      </w:pPr>
    </w:p>
    <w:p>
      <w:pPr>
        <w:spacing w:after="0" w:line="26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LESQUELLES CONVIENNENT DE CE QUI SUIT :</w:t>
      </w:r>
    </w:p>
    <w:p>
      <w:pPr>
        <w:spacing w:after="0" w:line="200" w:lineRule="exact"/>
        <w:rPr>
          <w:sz w:val="20"/>
          <w:szCs w:val="20"/>
          <w:color w:val="auto"/>
        </w:rPr>
      </w:pPr>
    </w:p>
    <w:p>
      <w:pPr>
        <w:spacing w:after="0" w:line="332" w:lineRule="exact"/>
        <w:rPr>
          <w:sz w:val="20"/>
          <w:szCs w:val="20"/>
          <w:color w:val="auto"/>
        </w:rPr>
      </w:pPr>
    </w:p>
    <w:p>
      <w:pPr>
        <w:ind w:left="540" w:hanging="385"/>
        <w:spacing w:after="0"/>
        <w:tabs>
          <w:tab w:leader="none" w:pos="54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INTENTION DES PARTIES</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Les parties désirent que cet écrits s'interprète comme un contrat de gré à gré.</w:t>
      </w:r>
    </w:p>
    <w:p>
      <w:pPr>
        <w:spacing w:after="0" w:line="240" w:lineRule="exact"/>
        <w:rPr>
          <w:sz w:val="20"/>
          <w:szCs w:val="20"/>
          <w:color w:val="auto"/>
        </w:rPr>
      </w:pPr>
    </w:p>
    <w:p>
      <w:pPr>
        <w:ind w:left="540" w:hanging="385"/>
        <w:spacing w:after="0"/>
        <w:tabs>
          <w:tab w:leader="none" w:pos="54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IMMEUBLE</w:t>
      </w:r>
    </w:p>
    <w:p>
      <w:pPr>
        <w:spacing w:after="0" w:line="28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Les Lieux Loues seront la totalité de. l'Édifice situe au 750 boulevard du Parc.</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Technologique Québec (Qc) G1P 4S3 (« Édifice »), érige sur un terrain (le</w:t>
      </w:r>
    </w:p>
    <w:p>
      <w:pPr>
        <w:spacing w:after="0" w:line="6" w:lineRule="exact"/>
        <w:rPr>
          <w:sz w:val="20"/>
          <w:szCs w:val="20"/>
          <w:color w:val="auto"/>
        </w:rPr>
      </w:pPr>
    </w:p>
    <w:p>
      <w:pPr>
        <w:ind w:left="800" w:right="4360" w:hanging="6"/>
        <w:spacing w:after="0" w:line="289" w:lineRule="auto"/>
        <w:tabs>
          <w:tab w:leader="none" w:pos="93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Terrain ». L'Édifice et le Terrain peuvent collectivement être désignes l’« immeuble ».</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Désignation cadastrale</w:t>
      </w:r>
    </w:p>
    <w:p>
      <w:pPr>
        <w:spacing w:after="0" w:line="28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La désignation cadastrale de l'immeuble ou sont situés les Lieux loues· est la suivante:</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Un immeuble connu et désigne comme étant forme du lot numéro QUATRE</w:t>
      </w:r>
    </w:p>
    <w:p>
      <w:pPr>
        <w:spacing w:after="0" w:line="28" w:lineRule="exact"/>
        <w:rPr>
          <w:sz w:val="20"/>
          <w:szCs w:val="20"/>
          <w:color w:val="auto"/>
        </w:rPr>
      </w:pPr>
    </w:p>
    <w:p>
      <w:pPr>
        <w:ind w:left="800" w:right="20"/>
        <w:spacing w:after="0" w:line="257" w:lineRule="auto"/>
        <w:rPr>
          <w:sz w:val="20"/>
          <w:szCs w:val="20"/>
          <w:color w:val="auto"/>
        </w:rPr>
      </w:pPr>
      <w:r>
        <w:rPr>
          <w:rFonts w:ascii="Arial" w:cs="Arial" w:eastAsia="Arial" w:hAnsi="Arial"/>
          <w:sz w:val="16"/>
          <w:szCs w:val="16"/>
          <w:color w:val="auto"/>
        </w:rPr>
        <w:t>MILLIONS SEPT CENT VINGT-SEPT MILLE HUIT CENT QUATRE-VINGT-SIX (4 727 886) du cadastre du Québec du bureau.de la publicité des droits de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la circonscription foncière de Québec.</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TERRASSE</w:t>
      </w:r>
    </w:p>
    <w:p>
      <w:pPr>
        <w:spacing w:after="0" w:line="18" w:lineRule="exact"/>
        <w:rPr>
          <w:sz w:val="20"/>
          <w:szCs w:val="20"/>
          <w:color w:val="auto"/>
        </w:rPr>
      </w:pPr>
    </w:p>
    <w:p>
      <w:pPr>
        <w:jc w:val="both"/>
        <w:ind w:left="800" w:right="180"/>
        <w:spacing w:after="0" w:line="257" w:lineRule="auto"/>
        <w:rPr>
          <w:sz w:val="20"/>
          <w:szCs w:val="20"/>
          <w:color w:val="auto"/>
        </w:rPr>
      </w:pPr>
      <w:r>
        <w:rPr>
          <w:rFonts w:ascii="Arial" w:cs="Arial" w:eastAsia="Arial" w:hAnsi="Arial"/>
          <w:sz w:val="16"/>
          <w:szCs w:val="16"/>
          <w:color w:val="auto"/>
        </w:rPr>
        <w:t>A compter de la Date d'Occupation et pendant la Durée du Bail et ses prolongations ou renouvellements, le Bailleur mettra en tout temps à la disposition exclusive du Locataire, une Terrasse situe sur le côte ouest de L’Édifice (Ci-après désigne la (« Terrasse »). Cet espace sera fourni gratuitement et sans frais pendant la Durée du Bail et ses prolongations ou renouvellements.</w:t>
      </w:r>
    </w:p>
    <w:p>
      <w:pPr>
        <w:sectPr>
          <w:pgSz w:w="11900" w:h="16838" w:orient="portrait"/>
          <w:cols w:equalWidth="0" w:num="1">
            <w:col w:w="10120"/>
          </w:cols>
          <w:pgMar w:left="1440" w:top="82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hanging="398"/>
        <w:spacing w:after="0"/>
        <w:tabs>
          <w:tab w:leader="none" w:pos="54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LIEUX LOUES</w:t>
      </w:r>
    </w:p>
    <w:p>
      <w:pPr>
        <w:spacing w:after="0" w:line="253" w:lineRule="exact"/>
        <w:rPr>
          <w:sz w:val="20"/>
          <w:szCs w:val="20"/>
          <w:color w:val="auto"/>
        </w:rPr>
      </w:pPr>
    </w:p>
    <w:p>
      <w:pPr>
        <w:jc w:val="both"/>
        <w:ind w:left="1200" w:hanging="379"/>
        <w:spacing w:after="0" w:line="259" w:lineRule="auto"/>
        <w:tabs>
          <w:tab w:leader="none" w:pos="118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6"/>
          <w:szCs w:val="16"/>
          <w:color w:val="auto"/>
        </w:rPr>
        <w:t>Les Lieux Loues seront la totalité de l'Édifice situe au 750 boulevard du Parc Technologique Québec (Qc) G1P 4S3 (« Édifice ») et auront une superficie locative de VINGT-NEUF MILLES HUIT CENT CINQ (29 805) pieds carres identifie à l'annexe « A », incluant la proportion attribuable du Locataire des aires communes et des aires de service, désignée comme la superficie, locative (la « Superficie Locative »).</w:t>
      </w:r>
    </w:p>
    <w:p>
      <w:pPr>
        <w:spacing w:after="0" w:line="186" w:lineRule="exact"/>
        <w:rPr>
          <w:sz w:val="20"/>
          <w:szCs w:val="20"/>
          <w:color w:val="auto"/>
        </w:rPr>
      </w:pPr>
    </w:p>
    <w:p>
      <w:pPr>
        <w:ind w:left="540" w:hanging="398"/>
        <w:spacing w:after="0"/>
        <w:tabs>
          <w:tab w:leader="none" w:pos="5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DURÉE DE LOCATION</w:t>
      </w:r>
    </w:p>
    <w:p>
      <w:pPr>
        <w:spacing w:after="0" w:line="227" w:lineRule="exact"/>
        <w:rPr>
          <w:sz w:val="20"/>
          <w:szCs w:val="20"/>
          <w:color w:val="auto"/>
        </w:rPr>
      </w:pPr>
    </w:p>
    <w:p>
      <w:pPr>
        <w:ind w:left="1200" w:right="60" w:hanging="379"/>
        <w:spacing w:after="0" w:line="238" w:lineRule="auto"/>
        <w:tabs>
          <w:tab w:leader="none" w:pos="118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6"/>
          <w:szCs w:val="16"/>
          <w:color w:val="auto"/>
        </w:rPr>
        <w:t xml:space="preserve">La durée de location sera de DIX (10) années (ci-après désignée la « Durée de Location ») et débutera </w:t>
      </w:r>
      <w:r>
        <w:rPr>
          <w:rFonts w:ascii="Arial" w:cs="Arial" w:eastAsia="Arial" w:hAnsi="Arial"/>
          <w:sz w:val="16"/>
          <w:szCs w:val="16"/>
          <w:i w:val="1"/>
          <w:iCs w:val="1"/>
          <w:color w:val="auto"/>
        </w:rPr>
        <w:t>le</w:t>
      </w:r>
      <w:r>
        <w:rPr>
          <w:rFonts w:ascii="Arial" w:cs="Arial" w:eastAsia="Arial" w:hAnsi="Arial"/>
          <w:sz w:val="16"/>
          <w:szCs w:val="16"/>
          <w:color w:val="auto"/>
        </w:rPr>
        <w:t xml:space="preserve"> 1</w:t>
      </w:r>
      <w:r>
        <w:rPr>
          <w:rFonts w:ascii="Arial" w:cs="Arial" w:eastAsia="Arial" w:hAnsi="Arial"/>
          <w:sz w:val="20"/>
          <w:szCs w:val="20"/>
          <w:color w:val="auto"/>
          <w:vertAlign w:val="superscript"/>
        </w:rPr>
        <w:t>er</w:t>
      </w:r>
      <w:r>
        <w:rPr>
          <w:rFonts w:ascii="Arial" w:cs="Arial" w:eastAsia="Arial" w:hAnsi="Arial"/>
          <w:sz w:val="16"/>
          <w:szCs w:val="16"/>
          <w:color w:val="auto"/>
        </w:rPr>
        <w:t xml:space="preserve"> octobre 2015 (ci-après désignée le « Début de la Durée ») pour se terminer </w:t>
      </w:r>
      <w:r>
        <w:rPr>
          <w:rFonts w:ascii="Arial" w:cs="Arial" w:eastAsia="Arial" w:hAnsi="Arial"/>
          <w:sz w:val="16"/>
          <w:szCs w:val="16"/>
          <w:i w:val="1"/>
          <w:iCs w:val="1"/>
          <w:color w:val="auto"/>
        </w:rPr>
        <w:t>le</w:t>
      </w:r>
      <w:r>
        <w:rPr>
          <w:rFonts w:ascii="Arial" w:cs="Arial" w:eastAsia="Arial" w:hAnsi="Arial"/>
          <w:sz w:val="16"/>
          <w:szCs w:val="16"/>
          <w:color w:val="auto"/>
        </w:rPr>
        <w:t xml:space="preserve"> 30 septembre 2025 (ci-après désigne l’« Expiration de la Durée»}.</w:t>
      </w:r>
    </w:p>
    <w:p>
      <w:pPr>
        <w:spacing w:after="0" w:line="202" w:lineRule="exact"/>
        <w:rPr>
          <w:sz w:val="20"/>
          <w:szCs w:val="20"/>
          <w:color w:val="auto"/>
        </w:rPr>
      </w:pPr>
    </w:p>
    <w:p>
      <w:pPr>
        <w:ind w:left="540" w:hanging="398"/>
        <w:spacing w:after="0"/>
        <w:tabs>
          <w:tab w:leader="none" w:pos="54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USAGE</w:t>
      </w:r>
    </w:p>
    <w:p>
      <w:pPr>
        <w:spacing w:after="0" w:line="227" w:lineRule="exact"/>
        <w:rPr>
          <w:sz w:val="20"/>
          <w:szCs w:val="20"/>
          <w:color w:val="auto"/>
        </w:rPr>
      </w:pPr>
    </w:p>
    <w:p>
      <w:pPr>
        <w:ind w:left="800"/>
        <w:spacing w:after="0"/>
        <w:tabs>
          <w:tab w:leader="none" w:pos="1160" w:val="left"/>
        </w:tabs>
        <w:rPr>
          <w:sz w:val="20"/>
          <w:szCs w:val="20"/>
          <w:color w:val="auto"/>
        </w:rPr>
      </w:pPr>
      <w:r>
        <w:rPr>
          <w:rFonts w:ascii="Arial" w:cs="Arial" w:eastAsia="Arial" w:hAnsi="Arial"/>
          <w:sz w:val="16"/>
          <w:szCs w:val="16"/>
          <w:b w:val="1"/>
          <w:bCs w:val="1"/>
          <w:color w:val="282828"/>
        </w:rPr>
        <w:t>5.1</w:t>
      </w:r>
      <w:r>
        <w:rPr>
          <w:sz w:val="20"/>
          <w:szCs w:val="20"/>
          <w:color w:val="auto"/>
        </w:rPr>
        <w:tab/>
      </w:r>
      <w:r>
        <w:rPr>
          <w:rFonts w:ascii="Arial" w:cs="Arial" w:eastAsia="Arial" w:hAnsi="Arial"/>
          <w:sz w:val="15"/>
          <w:szCs w:val="15"/>
          <w:color w:val="auto"/>
        </w:rPr>
        <w:t>Les Lieux Loues seront utilisés pour des fins générales de bureaux, et de laboratoire.</w:t>
      </w:r>
    </w:p>
    <w:p>
      <w:pPr>
        <w:spacing w:after="0" w:line="253" w:lineRule="exact"/>
        <w:rPr>
          <w:sz w:val="20"/>
          <w:szCs w:val="20"/>
          <w:color w:val="auto"/>
        </w:rPr>
      </w:pPr>
    </w:p>
    <w:p>
      <w:pPr>
        <w:ind w:left="1180" w:right="80" w:hanging="396"/>
        <w:spacing w:after="0" w:line="275" w:lineRule="auto"/>
        <w:tabs>
          <w:tab w:leader="none" w:pos="1160" w:val="left"/>
        </w:tabs>
        <w:rPr>
          <w:sz w:val="20"/>
          <w:szCs w:val="20"/>
          <w:color w:val="auto"/>
        </w:rPr>
      </w:pPr>
      <w:r>
        <w:rPr>
          <w:rFonts w:ascii="Arial" w:cs="Arial" w:eastAsia="Arial" w:hAnsi="Arial"/>
          <w:sz w:val="16"/>
          <w:szCs w:val="16"/>
          <w:b w:val="1"/>
          <w:bCs w:val="1"/>
          <w:color w:val="282828"/>
        </w:rPr>
        <w:t>5.2</w:t>
      </w:r>
      <w:r>
        <w:rPr>
          <w:sz w:val="20"/>
          <w:szCs w:val="20"/>
          <w:color w:val="auto"/>
        </w:rPr>
        <w:tab/>
      </w:r>
      <w:r>
        <w:rPr>
          <w:rFonts w:ascii="Arial" w:cs="Arial" w:eastAsia="Arial" w:hAnsi="Arial"/>
          <w:sz w:val="16"/>
          <w:szCs w:val="16"/>
          <w:color w:val="auto"/>
        </w:rPr>
        <w:t>Le paragraphe précèdent ne pourra être interprété de façon à altérer le droit du Locataire de sous-louer les Lieux Loues ou de céder le Bail.</w:t>
      </w:r>
    </w:p>
    <w:p>
      <w:pPr>
        <w:spacing w:after="0" w:line="201" w:lineRule="exact"/>
        <w:rPr>
          <w:sz w:val="20"/>
          <w:szCs w:val="20"/>
          <w:color w:val="auto"/>
        </w:rPr>
      </w:pPr>
    </w:p>
    <w:p>
      <w:pPr>
        <w:ind w:left="1180" w:right="380" w:hanging="396"/>
        <w:spacing w:after="0" w:line="275" w:lineRule="auto"/>
        <w:tabs>
          <w:tab w:leader="none" w:pos="1160" w:val="left"/>
        </w:tabs>
        <w:rPr>
          <w:sz w:val="20"/>
          <w:szCs w:val="20"/>
          <w:color w:val="auto"/>
        </w:rPr>
      </w:pPr>
      <w:r>
        <w:rPr>
          <w:rFonts w:ascii="Arial" w:cs="Arial" w:eastAsia="Arial" w:hAnsi="Arial"/>
          <w:sz w:val="16"/>
          <w:szCs w:val="16"/>
          <w:b w:val="1"/>
          <w:bCs w:val="1"/>
          <w:color w:val="282828"/>
        </w:rPr>
        <w:t>5.3</w:t>
      </w:r>
      <w:r>
        <w:rPr>
          <w:sz w:val="20"/>
          <w:szCs w:val="20"/>
          <w:color w:val="auto"/>
        </w:rPr>
        <w:tab/>
      </w:r>
      <w:r>
        <w:rPr>
          <w:rFonts w:ascii="Arial" w:cs="Arial" w:eastAsia="Arial" w:hAnsi="Arial"/>
          <w:sz w:val="16"/>
          <w:szCs w:val="16"/>
          <w:color w:val="auto"/>
        </w:rPr>
        <w:t>Le Bailleur garantit que l'utilisation des Lieux Loues, telle que décrite précédemment, ne contrevient pas à quelconque loi, règlement, ordonnance ou directive.</w:t>
      </w:r>
    </w:p>
    <w:p>
      <w:pPr>
        <w:spacing w:after="0" w:line="175" w:lineRule="exact"/>
        <w:rPr>
          <w:sz w:val="20"/>
          <w:szCs w:val="20"/>
          <w:color w:val="auto"/>
        </w:rPr>
      </w:pPr>
    </w:p>
    <w:p>
      <w:pPr>
        <w:ind w:left="540" w:hanging="398"/>
        <w:spacing w:after="0"/>
        <w:tabs>
          <w:tab w:leader="none" w:pos="5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OCCUPATION</w:t>
      </w:r>
    </w:p>
    <w:p>
      <w:pPr>
        <w:spacing w:after="0" w:line="227" w:lineRule="exact"/>
        <w:rPr>
          <w:sz w:val="20"/>
          <w:szCs w:val="20"/>
          <w:color w:val="auto"/>
        </w:rPr>
      </w:pPr>
    </w:p>
    <w:p>
      <w:pPr>
        <w:ind w:left="1180" w:right="100" w:hanging="380"/>
        <w:spacing w:after="0" w:line="255" w:lineRule="auto"/>
        <w:tabs>
          <w:tab w:leader="none" w:pos="1160" w:val="left"/>
        </w:tabs>
        <w:rPr>
          <w:sz w:val="20"/>
          <w:szCs w:val="20"/>
          <w:color w:val="auto"/>
        </w:rPr>
      </w:pPr>
      <w:r>
        <w:rPr>
          <w:rFonts w:ascii="Arial" w:cs="Arial" w:eastAsia="Arial" w:hAnsi="Arial"/>
          <w:sz w:val="16"/>
          <w:szCs w:val="16"/>
          <w:b w:val="1"/>
          <w:bCs w:val="1"/>
          <w:color w:val="282828"/>
        </w:rPr>
        <w:t>6.1</w:t>
      </w:r>
      <w:r>
        <w:rPr>
          <w:sz w:val="20"/>
          <w:szCs w:val="20"/>
          <w:color w:val="auto"/>
        </w:rPr>
        <w:tab/>
      </w:r>
      <w:r>
        <w:rPr>
          <w:rFonts w:ascii="Arial" w:cs="Arial" w:eastAsia="Arial" w:hAnsi="Arial"/>
          <w:sz w:val="16"/>
          <w:szCs w:val="16"/>
          <w:color w:val="auto"/>
        </w:rPr>
        <w:t>Le Locataire pourra prendre possession des Lieux Loues dès la prise de possession par le Bailleur de l'Édifice, au plus tard le 1er juillet 2015 (la « Date d'Occupation »), afin de procéder aux travaux d'aménagement dans les Lieux Loues et subséquemment d'y exercer ses activités dans le cours normal de ses affaires. Cette occupation est consentie sans contrepartie pécuniaire, en conséquence le Locataire ne versera ni Loyers de Base ni Loyers Additionnels pendant ladite période. Tout retard occasionne par le Bailleur dans la livraison des Lieux Loues aura pour effet de différer le Début de la Durée d'un nombre équivalent de jours.</w:t>
      </w:r>
    </w:p>
    <w:p>
      <w:pPr>
        <w:spacing w:after="0" w:line="218" w:lineRule="exact"/>
        <w:rPr>
          <w:sz w:val="20"/>
          <w:szCs w:val="20"/>
          <w:color w:val="auto"/>
        </w:rPr>
      </w:pPr>
    </w:p>
    <w:p>
      <w:pPr>
        <w:ind w:left="1180" w:right="560" w:hanging="396"/>
        <w:spacing w:after="0" w:line="275" w:lineRule="auto"/>
        <w:tabs>
          <w:tab w:leader="none" w:pos="1160" w:val="left"/>
        </w:tabs>
        <w:rPr>
          <w:sz w:val="20"/>
          <w:szCs w:val="20"/>
          <w:color w:val="auto"/>
        </w:rPr>
      </w:pPr>
      <w:r>
        <w:rPr>
          <w:rFonts w:ascii="Arial" w:cs="Arial" w:eastAsia="Arial" w:hAnsi="Arial"/>
          <w:sz w:val="16"/>
          <w:szCs w:val="16"/>
          <w:b w:val="1"/>
          <w:bCs w:val="1"/>
          <w:color w:val="282828"/>
        </w:rPr>
        <w:t>6.2</w:t>
      </w:r>
      <w:r>
        <w:rPr>
          <w:sz w:val="20"/>
          <w:szCs w:val="20"/>
          <w:color w:val="auto"/>
        </w:rPr>
        <w:tab/>
      </w:r>
      <w:r>
        <w:rPr>
          <w:rFonts w:ascii="Arial" w:cs="Arial" w:eastAsia="Arial" w:hAnsi="Arial"/>
          <w:sz w:val="16"/>
          <w:szCs w:val="16"/>
          <w:color w:val="auto"/>
        </w:rPr>
        <w:t>Le Locataire et le Bailleur respecteront cependant les autres clauses à caractère non monétaire stipulées dans le Bail à compter du moment où le Locataire occupera ainsi les Lieux Loues.</w:t>
      </w:r>
    </w:p>
    <w:p>
      <w:pPr>
        <w:spacing w:after="0" w:line="188" w:lineRule="exact"/>
        <w:rPr>
          <w:sz w:val="20"/>
          <w:szCs w:val="20"/>
          <w:color w:val="auto"/>
        </w:rPr>
      </w:pPr>
    </w:p>
    <w:p>
      <w:pPr>
        <w:ind w:left="1180" w:right="40" w:hanging="396"/>
        <w:spacing w:after="0" w:line="293" w:lineRule="auto"/>
        <w:tabs>
          <w:tab w:leader="none" w:pos="1160" w:val="left"/>
        </w:tabs>
        <w:rPr>
          <w:sz w:val="20"/>
          <w:szCs w:val="20"/>
          <w:color w:val="auto"/>
        </w:rPr>
      </w:pPr>
      <w:r>
        <w:rPr>
          <w:rFonts w:ascii="Arial" w:cs="Arial" w:eastAsia="Arial" w:hAnsi="Arial"/>
          <w:sz w:val="16"/>
          <w:szCs w:val="16"/>
          <w:b w:val="1"/>
          <w:bCs w:val="1"/>
          <w:color w:val="282828"/>
        </w:rPr>
        <w:t>6.3</w:t>
      </w:r>
      <w:r>
        <w:rPr>
          <w:sz w:val="20"/>
          <w:szCs w:val="20"/>
          <w:color w:val="auto"/>
        </w:rPr>
        <w:tab/>
      </w:r>
      <w:r>
        <w:rPr>
          <w:rFonts w:ascii="Arial" w:cs="Arial" w:eastAsia="Arial" w:hAnsi="Arial"/>
          <w:sz w:val="16"/>
          <w:szCs w:val="16"/>
          <w:color w:val="auto"/>
        </w:rPr>
        <w:t>Pendant la Durée de Location, le Locataire ne sera pas tenu d'occuper physiquement les Lieux Loues pourvu qu'il respecte les autres termes et conditions du Bail qui sent conciliables avec la non-occupation des Lieux Loues.</w:t>
      </w:r>
    </w:p>
    <w:p>
      <w:pPr>
        <w:spacing w:after="0" w:line="160" w:lineRule="exact"/>
        <w:rPr>
          <w:sz w:val="20"/>
          <w:szCs w:val="20"/>
          <w:color w:val="auto"/>
        </w:rPr>
      </w:pPr>
    </w:p>
    <w:p>
      <w:pPr>
        <w:ind w:left="540" w:hanging="398"/>
        <w:spacing w:after="0"/>
        <w:tabs>
          <w:tab w:leader="none" w:pos="54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NON RELOCALISATION</w:t>
      </w:r>
    </w:p>
    <w:p>
      <w:pPr>
        <w:spacing w:after="0" w:line="227" w:lineRule="exact"/>
        <w:rPr>
          <w:sz w:val="20"/>
          <w:szCs w:val="20"/>
          <w:color w:val="auto"/>
        </w:rPr>
      </w:pPr>
    </w:p>
    <w:p>
      <w:pPr>
        <w:ind w:left="1180" w:right="40" w:hanging="396"/>
        <w:spacing w:after="0" w:line="293" w:lineRule="auto"/>
        <w:tabs>
          <w:tab w:leader="none" w:pos="116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6"/>
          <w:szCs w:val="16"/>
          <w:color w:val="auto"/>
        </w:rPr>
        <w:t>En aucun temps à compter de l'acceptation par le Bailleur de la présente Offre de Location, le Bailleur ne pourra relocaliser les Lieux Loues, en tout ou en partie, que ce soit-dans l'Édifice ou dans tout autre immeuble.</w:t>
      </w:r>
    </w:p>
    <w:p>
      <w:pPr>
        <w:sectPr>
          <w:pgSz w:w="11900" w:h="16838" w:orient="portrait"/>
          <w:cols w:equalWidth="0" w:num="1">
            <w:col w:w="10120"/>
          </w:cols>
          <w:pgMar w:left="1440" w:top="82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398"/>
        <w:spacing w:after="0"/>
        <w:tabs>
          <w:tab w:leader="none" w:pos="54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LOYER DE BASE</w:t>
      </w:r>
    </w:p>
    <w:p>
      <w:pPr>
        <w:spacing w:after="0" w:line="121" w:lineRule="exact"/>
        <w:rPr>
          <w:sz w:val="20"/>
          <w:szCs w:val="20"/>
          <w:color w:val="auto"/>
        </w:rPr>
      </w:pPr>
    </w:p>
    <w:p>
      <w:pPr>
        <w:jc w:val="both"/>
        <w:ind w:left="1180" w:hanging="397"/>
        <w:spacing w:after="0" w:line="258" w:lineRule="auto"/>
        <w:tabs>
          <w:tab w:leader="none" w:pos="116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6"/>
          <w:szCs w:val="16"/>
          <w:color w:val="auto"/>
        </w:rPr>
        <w:t>Le locataire s’engage à payer au Bailleur, à titre de Loyer de Base, pour la première année (1er) de la Durée de Location la somme annuelle de NEUF DOLLARS ET QUATORZE CENTS (9.14 $) par pied carre pour la Superficie Locative louée. (ci après désigne le « Loyer de Base »).</w:t>
      </w:r>
    </w:p>
    <w:p>
      <w:pPr>
        <w:spacing w:after="0" w:line="255" w:lineRule="exact"/>
        <w:rPr>
          <w:sz w:val="20"/>
          <w:szCs w:val="20"/>
          <w:color w:val="auto"/>
        </w:rPr>
      </w:pPr>
    </w:p>
    <w:p>
      <w:pPr>
        <w:ind w:left="1180" w:right="980"/>
        <w:spacing w:after="0" w:line="267" w:lineRule="auto"/>
        <w:rPr>
          <w:sz w:val="20"/>
          <w:szCs w:val="20"/>
          <w:color w:val="auto"/>
        </w:rPr>
      </w:pPr>
      <w:r>
        <w:rPr>
          <w:rFonts w:ascii="Arial" w:cs="Arial" w:eastAsia="Arial" w:hAnsi="Arial"/>
          <w:sz w:val="16"/>
          <w:szCs w:val="16"/>
          <w:color w:val="auto"/>
        </w:rPr>
        <w:t>Pour chacune des années subséquentes, et ce, jusqu'à l'Expiration de la Durée, le Loyer de Base sera augmenté annuellement à la date d'anniversaire du Bail au taux</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de 2.5%.</w:t>
      </w:r>
    </w:p>
    <w:p>
      <w:pPr>
        <w:spacing w:after="0" w:line="147" w:lineRule="exact"/>
        <w:rPr>
          <w:sz w:val="20"/>
          <w:szCs w:val="20"/>
          <w:color w:val="auto"/>
        </w:rPr>
      </w:pPr>
    </w:p>
    <w:p>
      <w:pPr>
        <w:ind w:left="1180" w:right="300" w:hanging="397"/>
        <w:spacing w:after="0" w:line="259" w:lineRule="auto"/>
        <w:tabs>
          <w:tab w:leader="none" w:pos="116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6"/>
          <w:szCs w:val="16"/>
          <w:color w:val="auto"/>
        </w:rPr>
        <w:t>Le Loyer de Base sera paye à l'avance, le premier jour de chaque mois, jusqu'a l'Expiration de la Durée, en. versements mensuels, égaux et consécutifs. Dans l'éventualité où le premier ou le dernier jour de la Durée de Location ne Serait pas le premier ou le demier jour d'un mois civil, ou que le Loyer de Base ne.serait pas payable le premier jour du mois alors, le Locataire paiera pour cette partie du mois· le Loyer de Base sur une base « per diem ».</w:t>
      </w:r>
    </w:p>
    <w:p>
      <w:pPr>
        <w:spacing w:after="0" w:line="226" w:lineRule="exact"/>
        <w:rPr>
          <w:sz w:val="20"/>
          <w:szCs w:val="20"/>
          <w:color w:val="auto"/>
        </w:rPr>
      </w:pPr>
    </w:p>
    <w:p>
      <w:pPr>
        <w:ind w:left="540" w:hanging="398"/>
        <w:spacing w:after="0"/>
        <w:tabs>
          <w:tab w:leader="none" w:pos="54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LOYERS ADDITIONNELS</w:t>
      </w:r>
    </w:p>
    <w:p>
      <w:pPr>
        <w:spacing w:after="0" w:line="240" w:lineRule="exact"/>
        <w:rPr>
          <w:sz w:val="20"/>
          <w:szCs w:val="20"/>
          <w:color w:val="auto"/>
        </w:rPr>
      </w:pPr>
    </w:p>
    <w:p>
      <w:pPr>
        <w:ind w:left="1180" w:hanging="397"/>
        <w:spacing w:after="0" w:line="293" w:lineRule="auto"/>
        <w:tabs>
          <w:tab w:leader="none" w:pos="1160" w:val="left"/>
        </w:tabs>
        <w:rPr>
          <w:sz w:val="20"/>
          <w:szCs w:val="20"/>
          <w:color w:val="auto"/>
        </w:rPr>
      </w:pPr>
      <w:r>
        <w:rPr>
          <w:rFonts w:ascii="Arial" w:cs="Arial" w:eastAsia="Arial" w:hAnsi="Arial"/>
          <w:sz w:val="16"/>
          <w:szCs w:val="16"/>
          <w:b w:val="1"/>
          <w:bCs w:val="1"/>
          <w:color w:val="auto"/>
        </w:rPr>
        <w:t>9.1</w:t>
      </w:r>
      <w:r>
        <w:rPr>
          <w:sz w:val="20"/>
          <w:szCs w:val="20"/>
          <w:color w:val="auto"/>
        </w:rPr>
        <w:tab/>
      </w:r>
      <w:r>
        <w:rPr>
          <w:rFonts w:ascii="Arial" w:cs="Arial" w:eastAsia="Arial" w:hAnsi="Arial"/>
          <w:sz w:val="16"/>
          <w:szCs w:val="16"/>
          <w:color w:val="auto"/>
        </w:rPr>
        <w:t>II est entendu que le Locataire paiera sur une base mensuelle, en sus du Loyer de Base, tous les frais d'exploitation et les taxes foncières qui sent imputables au Locataire.</w:t>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Le Locataire s'engage à verser également, en douze versements égaux et consécutifs, le montant de ce loyer additionnel.</w:t>
      </w:r>
    </w:p>
    <w:p>
      <w:pPr>
        <w:spacing w:after="0" w:line="26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Le Bailleur communiquera en début de chaque année le montant des frais qu'il a estime pour l'année.</w:t>
      </w:r>
    </w:p>
    <w:p>
      <w:pPr>
        <w:spacing w:after="0" w:line="94" w:lineRule="exact"/>
        <w:rPr>
          <w:sz w:val="20"/>
          <w:szCs w:val="20"/>
          <w:color w:val="auto"/>
        </w:rPr>
      </w:pPr>
    </w:p>
    <w:p>
      <w:pPr>
        <w:ind w:left="1180" w:right="40" w:hanging="1"/>
        <w:spacing w:after="0" w:line="259" w:lineRule="auto"/>
        <w:rPr>
          <w:sz w:val="20"/>
          <w:szCs w:val="20"/>
          <w:color w:val="auto"/>
        </w:rPr>
      </w:pPr>
      <w:r>
        <w:rPr>
          <w:rFonts w:ascii="Arial" w:cs="Arial" w:eastAsia="Arial" w:hAnsi="Arial"/>
          <w:sz w:val="16"/>
          <w:szCs w:val="16"/>
          <w:color w:val="auto"/>
        </w:rPr>
        <w:t>De plus, à la fin de chaque année, le Bailleur remettra au Locataire un relevé du montant des frais encourus pour l'année écoulée ainsi que le montant total payable par le Locataire. Le Bailleur fournira aussi' au Locataire, sur demande de ce demier, les documents ayant servi à compiler le montant des frais. Si le montant détermine par le Bailleur, pour l’année écoulée, est supérieur ou inférieur au total des montants déjà payes par le Locataire au Bailleur, alors les ajustements appropries devront être faits dans les trente (30) jours suivant la remise du relevé mentionne ci-dessus.</w:t>
      </w:r>
    </w:p>
    <w:p>
      <w:pPr>
        <w:spacing w:after="0" w:line="22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Aux fins de la présente clause, les définitions suivantes s’appliquent :</w:t>
      </w:r>
    </w:p>
    <w:p>
      <w:pPr>
        <w:spacing w:after="0" w:line="306" w:lineRule="exact"/>
        <w:rPr>
          <w:sz w:val="20"/>
          <w:szCs w:val="20"/>
          <w:color w:val="auto"/>
        </w:rPr>
      </w:pPr>
    </w:p>
    <w:p>
      <w:pPr>
        <w:ind w:left="540" w:hanging="3"/>
        <w:spacing w:after="0" w:line="267" w:lineRule="auto"/>
        <w:rPr>
          <w:sz w:val="20"/>
          <w:szCs w:val="20"/>
          <w:color w:val="auto"/>
        </w:rPr>
      </w:pPr>
      <w:r>
        <w:rPr>
          <w:rFonts w:ascii="Arial" w:cs="Arial" w:eastAsia="Arial" w:hAnsi="Arial"/>
          <w:sz w:val="16"/>
          <w:szCs w:val="16"/>
          <w:color w:val="auto"/>
        </w:rPr>
        <w:t>Frais d’exploitation (ci-avant et ci-après désignée la « Frais d'Exploitation »): inclut ‘tous les frais, débourses et dépenses, de quelque nature que ce soit, relatifs à l'exploitation, l’entretien, la réparation, la supervision et la gestion de l'immeuble, et sans limiter la généralité de ce qui précède, comprend ce qui suit :</w:t>
      </w:r>
    </w:p>
    <w:p>
      <w:pPr>
        <w:spacing w:after="0" w:line="221" w:lineRule="exact"/>
        <w:rPr>
          <w:sz w:val="20"/>
          <w:szCs w:val="20"/>
          <w:color w:val="auto"/>
        </w:rPr>
      </w:pPr>
    </w:p>
    <w:p>
      <w:pPr>
        <w:jc w:val="both"/>
        <w:ind w:left="1820" w:hanging="334"/>
        <w:spacing w:after="0" w:line="258" w:lineRule="auto"/>
        <w:tabs>
          <w:tab w:leader="none" w:pos="18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les salaires, gages et coûts relies aux avantages sociaux, aux assurances centre le chômage et les accidents de travail et aux· régimes de retraite de toute nature, des employés du Bailleur affectes a l'exploitation, a l'entretien, a la réparation, a la</w:t>
      </w:r>
    </w:p>
    <w:p>
      <w:pPr>
        <w:ind w:left="1780"/>
        <w:spacing w:after="0"/>
        <w:rPr>
          <w:rFonts w:ascii="Arial" w:cs="Arial" w:eastAsia="Arial" w:hAnsi="Arial"/>
          <w:sz w:val="16"/>
          <w:szCs w:val="16"/>
          <w:color w:val="auto"/>
        </w:rPr>
      </w:pPr>
      <w:r>
        <w:rPr>
          <w:rFonts w:ascii="Arial" w:cs="Arial" w:eastAsia="Arial" w:hAnsi="Arial"/>
          <w:sz w:val="16"/>
          <w:szCs w:val="16"/>
          <w:color w:val="auto"/>
        </w:rPr>
        <w:t>surveillance, a la supervision et à la gestion de l'immeuble (équivalent à 5% des revenus de l'Édifice):</w:t>
      </w:r>
    </w:p>
    <w:p>
      <w:pPr>
        <w:spacing w:after="0" w:line="228" w:lineRule="exact"/>
        <w:rPr>
          <w:rFonts w:ascii="Arial" w:cs="Arial" w:eastAsia="Arial" w:hAnsi="Arial"/>
          <w:sz w:val="16"/>
          <w:szCs w:val="16"/>
          <w:color w:val="auto"/>
        </w:rPr>
      </w:pPr>
    </w:p>
    <w:p>
      <w:pPr>
        <w:ind w:left="1820" w:hanging="334"/>
        <w:spacing w:after="0" w:line="275" w:lineRule="auto"/>
        <w:tabs>
          <w:tab w:leader="none" w:pos="18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 cout de tous les biens et services fournis, employés ou utilises dans l'exploitation, l'entretien, ta réparation, la surveillance, la supervision et la gestion de l’immeuble ;</w:t>
      </w:r>
    </w:p>
    <w:p>
      <w:pPr>
        <w:spacing w:after="0" w:line="201" w:lineRule="exact"/>
        <w:rPr>
          <w:rFonts w:ascii="Arial" w:cs="Arial" w:eastAsia="Arial" w:hAnsi="Arial"/>
          <w:sz w:val="16"/>
          <w:szCs w:val="16"/>
          <w:color w:val="auto"/>
        </w:rPr>
      </w:pPr>
    </w:p>
    <w:p>
      <w:pPr>
        <w:ind w:left="1820" w:hanging="334"/>
        <w:spacing w:after="0" w:line="275" w:lineRule="auto"/>
        <w:tabs>
          <w:tab w:leader="none" w:pos="18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la valeur locative raisonnable, au cours de chaque exercice financier de l'espace occupe par !es employés du Bailleur charges de l'administration, de la supervision ou</w:t>
      </w:r>
    </w:p>
    <w:p>
      <w:pPr>
        <w:sectPr>
          <w:pgSz w:w="11900" w:h="16838" w:orient="portrait"/>
          <w:cols w:equalWidth="0" w:num="1">
            <w:col w:w="10120"/>
          </w:cols>
          <w:pgMar w:left="1440" w:top="82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820" w:firstLine="4"/>
        <w:spacing w:after="0" w:line="250" w:lineRule="auto"/>
        <w:rPr>
          <w:sz w:val="20"/>
          <w:szCs w:val="20"/>
          <w:color w:val="auto"/>
        </w:rPr>
      </w:pPr>
      <w:r>
        <w:rPr>
          <w:rFonts w:ascii="Arial" w:cs="Arial" w:eastAsia="Arial" w:hAnsi="Arial"/>
          <w:sz w:val="16"/>
          <w:szCs w:val="16"/>
          <w:color w:val="auto"/>
        </w:rPr>
        <w:t>de la gestion de l'immeuble ainsi que pour taus les services administratifs du Bailleur de même que de tout espace requis ou utilises dans l'immeuble pour fins de sécurité, bien-être, santé, protection ou autres· services semblables, pour le bénéfice de l'Immeuble et de ses usagers en général ;</w:t>
      </w:r>
    </w:p>
    <w:p>
      <w:pPr>
        <w:spacing w:after="0" w:line="207" w:lineRule="exact"/>
        <w:rPr>
          <w:sz w:val="20"/>
          <w:szCs w:val="20"/>
          <w:color w:val="auto"/>
        </w:rPr>
      </w:pPr>
    </w:p>
    <w:p>
      <w:pPr>
        <w:ind w:left="1800" w:hanging="314"/>
        <w:spacing w:after="0"/>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les couts relatifs au maintien d'un service de sécurité et d'ordre public;</w:t>
      </w:r>
    </w:p>
    <w:p>
      <w:pPr>
        <w:spacing w:after="0" w:line="226" w:lineRule="exact"/>
        <w:rPr>
          <w:rFonts w:ascii="Arial" w:cs="Arial" w:eastAsia="Arial" w:hAnsi="Arial"/>
          <w:sz w:val="16"/>
          <w:szCs w:val="16"/>
          <w:color w:val="auto"/>
        </w:rPr>
      </w:pPr>
    </w:p>
    <w:p>
      <w:pPr>
        <w:ind w:left="1800" w:hanging="314"/>
        <w:spacing w:after="0"/>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les frais de vérification, comptabilité et gestion encourus relativement a l'exploitation. de l'immeuble;</w:t>
      </w:r>
    </w:p>
    <w:p>
      <w:pPr>
        <w:spacing w:after="0" w:line="213" w:lineRule="exact"/>
        <w:rPr>
          <w:rFonts w:ascii="Arial" w:cs="Arial" w:eastAsia="Arial" w:hAnsi="Arial"/>
          <w:sz w:val="16"/>
          <w:szCs w:val="16"/>
          <w:color w:val="auto"/>
        </w:rPr>
      </w:pPr>
    </w:p>
    <w:p>
      <w:pPr>
        <w:jc w:val="both"/>
        <w:ind w:left="1820" w:hanging="334"/>
        <w:spacing w:after="0" w:line="229" w:lineRule="auto"/>
        <w:tabs>
          <w:tab w:leader="none" w:pos="18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les couts relies a l'aménagement, a l’entretien et a la réparation de l'immeuble, y compris le nettoyage des fenêtres et des murs extérieurs, l'enlèvement de la neige, la cueillette des ordures, l'entretien paysager, le jardinage, le repavage, la prévention et la détection du feu, de même qu'aux contrats avec des entrepreneurs indépendants ;</w:t>
      </w:r>
    </w:p>
    <w:p>
      <w:pPr>
        <w:spacing w:after="0" w:line="188" w:lineRule="exact"/>
        <w:rPr>
          <w:rFonts w:ascii="Arial" w:cs="Arial" w:eastAsia="Arial" w:hAnsi="Arial"/>
          <w:sz w:val="16"/>
          <w:szCs w:val="16"/>
          <w:color w:val="auto"/>
        </w:rPr>
      </w:pPr>
    </w:p>
    <w:p>
      <w:pPr>
        <w:jc w:val="both"/>
        <w:ind w:left="1820" w:hanging="334"/>
        <w:spacing w:after="0" w:line="220" w:lineRule="auto"/>
        <w:tabs>
          <w:tab w:leader="none" w:pos="1808" w:val="left"/>
        </w:tabs>
        <w:numPr>
          <w:ilvl w:val="0"/>
          <w:numId w:val="52"/>
        </w:numPr>
        <w:rPr>
          <w:rFonts w:ascii="Arial" w:cs="Arial" w:eastAsia="Arial" w:hAnsi="Arial"/>
          <w:sz w:val="14"/>
          <w:szCs w:val="14"/>
          <w:color w:val="auto"/>
        </w:rPr>
      </w:pPr>
      <w:r>
        <w:rPr>
          <w:rFonts w:ascii="Arial" w:cs="Arial" w:eastAsia="Arial" w:hAnsi="Arial"/>
          <w:sz w:val="16"/>
          <w:szCs w:val="16"/>
          <w:color w:val="auto"/>
        </w:rPr>
        <w:t>le cout de toutes les réparations a l'immeuble (excluant les réparations majeures et les réparations de nature structurale), ainsi que le cout d'entretien de tout équipement, appareil, machinerie ou autres biens de l'immeuble (excluant la réparation ou le remplacement d’éléments majeurs du système de base de l'Édifice ou toute réparation ou remplacement rendu nécessaire en raison d'une mauvaise conception, d'un vice cache ou d'un vice de construction ayant trait à l’immeuble;</w:t>
      </w:r>
    </w:p>
    <w:p>
      <w:pPr>
        <w:spacing w:after="0" w:line="190" w:lineRule="exact"/>
        <w:rPr>
          <w:rFonts w:ascii="Arial" w:cs="Arial" w:eastAsia="Arial" w:hAnsi="Arial"/>
          <w:sz w:val="14"/>
          <w:szCs w:val="14"/>
          <w:color w:val="auto"/>
        </w:rPr>
      </w:pPr>
    </w:p>
    <w:p>
      <w:pPr>
        <w:jc w:val="both"/>
        <w:ind w:left="1820" w:hanging="334"/>
        <w:spacing w:after="0" w:line="224" w:lineRule="auto"/>
        <w:tabs>
          <w:tab w:leader="none" w:pos="1808" w:val="left"/>
        </w:tabs>
        <w:numPr>
          <w:ilvl w:val="0"/>
          <w:numId w:val="52"/>
        </w:numPr>
        <w:rPr>
          <w:rFonts w:ascii="Arial" w:cs="Arial" w:eastAsia="Arial" w:hAnsi="Arial"/>
          <w:sz w:val="14"/>
          <w:szCs w:val="14"/>
          <w:color w:val="auto"/>
        </w:rPr>
      </w:pPr>
      <w:r>
        <w:rPr>
          <w:rFonts w:ascii="Arial" w:cs="Arial" w:eastAsia="Arial" w:hAnsi="Arial"/>
          <w:sz w:val="16"/>
          <w:szCs w:val="16"/>
          <w:color w:val="auto"/>
        </w:rPr>
        <w:t>le cout de toute modification et amélioration a l'immeuble, y compris à la machinerie et a l'équipement qui s'y trouvent lorsque, de l’avis du Bailleur, telles dépenses pourraient réduire les frais d'exploitation ou seraient de nature à améliorer le bien-être, ou la sécurité du Locataire ou autres occupants de l'immeuble ou si ces équipements, modifications, matériels ou améliorations sont exigés par la loi ;</w:t>
      </w:r>
    </w:p>
    <w:p>
      <w:pPr>
        <w:spacing w:after="0" w:line="187" w:lineRule="exact"/>
        <w:rPr>
          <w:rFonts w:ascii="Arial" w:cs="Arial" w:eastAsia="Arial" w:hAnsi="Arial"/>
          <w:sz w:val="14"/>
          <w:szCs w:val="14"/>
          <w:color w:val="auto"/>
        </w:rPr>
      </w:pPr>
    </w:p>
    <w:p>
      <w:pPr>
        <w:jc w:val="both"/>
        <w:ind w:left="1820" w:hanging="334"/>
        <w:spacing w:after="0" w:line="216" w:lineRule="auto"/>
        <w:tabs>
          <w:tab w:leader="none" w:pos="1808" w:val="left"/>
        </w:tabs>
        <w:numPr>
          <w:ilvl w:val="0"/>
          <w:numId w:val="52"/>
        </w:numPr>
        <w:rPr>
          <w:rFonts w:ascii="Arial" w:cs="Arial" w:eastAsia="Arial" w:hAnsi="Arial"/>
          <w:sz w:val="14"/>
          <w:szCs w:val="14"/>
          <w:color w:val="auto"/>
        </w:rPr>
      </w:pPr>
      <w:r>
        <w:rPr>
          <w:rFonts w:ascii="Arial" w:cs="Arial" w:eastAsia="Arial" w:hAnsi="Arial"/>
          <w:sz w:val="16"/>
          <w:szCs w:val="16"/>
          <w:color w:val="auto"/>
        </w:rPr>
        <w:t>le capital total de l'amortissement, calcule selon la méthode de l'amortissement linéaire et base sur la durée de vie utile des immobilisations, sur le cout de tous équipements, appareils, machinerie et autres biens requis pour l'exploitation, l'entretien, la réparation, la surveillance, la supervision, l'administration, la rénovation ou l'amélioration de l'immeuble, qui ont une durée de vie utile plus longue qu’un exercice financier, de l'avis du Bailleur, et dont le cout n'a pas été entièrement inclus dans les Frais d'exploitation de l’exercice financier de· leur acquisition, avec intérêt au taux préférentiel de l'institution financière du Bailleur sur la portion non dépréciée ou non amortie du cout de tels biens;</w:t>
      </w:r>
    </w:p>
    <w:p>
      <w:pPr>
        <w:spacing w:after="0" w:line="192" w:lineRule="exact"/>
        <w:rPr>
          <w:rFonts w:ascii="Arial" w:cs="Arial" w:eastAsia="Arial" w:hAnsi="Arial"/>
          <w:sz w:val="14"/>
          <w:szCs w:val="14"/>
          <w:color w:val="auto"/>
        </w:rPr>
      </w:pPr>
    </w:p>
    <w:p>
      <w:pPr>
        <w:ind w:left="1820" w:hanging="334"/>
        <w:spacing w:after="0" w:line="273" w:lineRule="auto"/>
        <w:tabs>
          <w:tab w:leader="none" w:pos="1808" w:val="left"/>
        </w:tabs>
        <w:numPr>
          <w:ilvl w:val="0"/>
          <w:numId w:val="52"/>
        </w:numPr>
        <w:rPr>
          <w:rFonts w:ascii="Arial" w:cs="Arial" w:eastAsia="Arial" w:hAnsi="Arial"/>
          <w:sz w:val="13"/>
          <w:szCs w:val="13"/>
          <w:color w:val="auto"/>
        </w:rPr>
      </w:pPr>
      <w:r>
        <w:rPr>
          <w:rFonts w:ascii="Arial" w:cs="Arial" w:eastAsia="Arial" w:hAnsi="Arial"/>
          <w:sz w:val="15"/>
          <w:szCs w:val="15"/>
          <w:color w:val="auto"/>
        </w:rPr>
        <w:t>le cout de toutes les primes des polices d'assurance pouvant être souscrites par le Bailleur relativement à l'immeuble, conformément à des pratiques d'assurance prudentes ou selon les exigences des créanciers du. Bailleur ;</w:t>
      </w:r>
    </w:p>
    <w:p>
      <w:pPr>
        <w:spacing w:after="0" w:line="177" w:lineRule="exact"/>
        <w:rPr>
          <w:rFonts w:ascii="Arial" w:cs="Arial" w:eastAsia="Arial" w:hAnsi="Arial"/>
          <w:sz w:val="13"/>
          <w:szCs w:val="13"/>
          <w:color w:val="auto"/>
        </w:rPr>
      </w:pPr>
    </w:p>
    <w:p>
      <w:pPr>
        <w:ind w:left="1800"/>
        <w:spacing w:after="0"/>
        <w:rPr>
          <w:rFonts w:ascii="Arial" w:cs="Arial" w:eastAsia="Arial" w:hAnsi="Arial"/>
          <w:sz w:val="13"/>
          <w:szCs w:val="13"/>
          <w:color w:val="auto"/>
        </w:rPr>
      </w:pPr>
      <w:r>
        <w:rPr>
          <w:rFonts w:ascii="Arial" w:cs="Arial" w:eastAsia="Arial" w:hAnsi="Arial"/>
          <w:sz w:val="16"/>
          <w:szCs w:val="16"/>
          <w:b w:val="1"/>
          <w:bCs w:val="1"/>
          <w:color w:val="auto"/>
        </w:rPr>
        <w:t xml:space="preserve">9.1.1  </w:t>
      </w:r>
      <w:r>
        <w:rPr>
          <w:rFonts w:ascii="Arial" w:cs="Arial" w:eastAsia="Arial" w:hAnsi="Arial"/>
          <w:sz w:val="16"/>
          <w:szCs w:val="16"/>
          <w:i w:val="1"/>
          <w:iCs w:val="1"/>
          <w:color w:val="auto"/>
        </w:rPr>
        <w:t>Les couts suivants ne feront pas partie des Frais d'Exploitation et seront entièrement assumes par le Bailleur :</w:t>
      </w:r>
    </w:p>
    <w:p>
      <w:pPr>
        <w:spacing w:after="0" w:line="280" w:lineRule="exact"/>
        <w:rPr>
          <w:sz w:val="20"/>
          <w:szCs w:val="20"/>
          <w:color w:val="auto"/>
        </w:rPr>
      </w:pPr>
    </w:p>
    <w:p>
      <w:pPr>
        <w:jc w:val="both"/>
        <w:ind w:left="2940" w:hanging="672"/>
        <w:spacing w:after="0" w:line="276" w:lineRule="auto"/>
        <w:tabs>
          <w:tab w:leader="none" w:pos="2920" w:val="left"/>
        </w:tabs>
        <w:rPr>
          <w:sz w:val="20"/>
          <w:szCs w:val="20"/>
          <w:color w:val="auto"/>
        </w:rPr>
      </w:pPr>
      <w:r>
        <w:rPr>
          <w:rFonts w:ascii="Arial" w:cs="Arial" w:eastAsia="Arial" w:hAnsi="Arial"/>
          <w:sz w:val="16"/>
          <w:szCs w:val="16"/>
          <w:b w:val="1"/>
          <w:bCs w:val="1"/>
          <w:color w:val="auto"/>
        </w:rPr>
        <w:t>9.1.1.1</w:t>
      </w:r>
      <w:r>
        <w:rPr>
          <w:sz w:val="20"/>
          <w:szCs w:val="20"/>
          <w:color w:val="auto"/>
        </w:rPr>
        <w:tab/>
      </w:r>
      <w:r>
        <w:rPr>
          <w:rFonts w:ascii="Arial" w:cs="Arial" w:eastAsia="Arial" w:hAnsi="Arial"/>
          <w:sz w:val="16"/>
          <w:szCs w:val="16"/>
          <w:color w:val="auto"/>
        </w:rPr>
        <w:t>toute dépense ou cout ou partie de ceux-ci pour lequel le Bailleur est, directement ou indirectement, dédommage ou rembourse en vertu de garanties légales ou contractuelles ou récit une quelconque compensation d'une compagnie en vertu d'un contrat d'assurance;</w:t>
      </w:r>
    </w:p>
    <w:p>
      <w:pPr>
        <w:spacing w:after="0" w:line="187" w:lineRule="exact"/>
        <w:rPr>
          <w:sz w:val="20"/>
          <w:szCs w:val="20"/>
          <w:color w:val="auto"/>
        </w:rPr>
      </w:pPr>
    </w:p>
    <w:p>
      <w:pPr>
        <w:ind w:left="2940" w:right="140" w:hanging="672"/>
        <w:spacing w:after="0" w:line="220" w:lineRule="auto"/>
        <w:tabs>
          <w:tab w:leader="none" w:pos="2920" w:val="left"/>
        </w:tabs>
        <w:rPr>
          <w:sz w:val="20"/>
          <w:szCs w:val="20"/>
          <w:color w:val="auto"/>
        </w:rPr>
      </w:pPr>
      <w:r>
        <w:rPr>
          <w:rFonts w:ascii="Arial" w:cs="Arial" w:eastAsia="Arial" w:hAnsi="Arial"/>
          <w:sz w:val="16"/>
          <w:szCs w:val="16"/>
          <w:b w:val="1"/>
          <w:bCs w:val="1"/>
          <w:color w:val="auto"/>
        </w:rPr>
        <w:t>9.1.1.2</w:t>
      </w:r>
      <w:r>
        <w:rPr>
          <w:sz w:val="20"/>
          <w:szCs w:val="20"/>
          <w:color w:val="auto"/>
        </w:rPr>
        <w:tab/>
      </w:r>
      <w:r>
        <w:rPr>
          <w:rFonts w:ascii="Arial" w:cs="Arial" w:eastAsia="Arial" w:hAnsi="Arial"/>
          <w:sz w:val="16"/>
          <w:szCs w:val="16"/>
          <w:color w:val="auto"/>
        </w:rPr>
        <w:t>tous les montants payes a des tiers en raison du défaut, de l'omission, de l’erreur, de la faute ou du retard du Bailleur ou des personnes pour lesquelles il est légalement ou contractuellement responsable dans l'accomplissement de ses ou de leurs obligations, ainsi que les couts au pénalités résultant du défaut du Bailleur de respecter les obligations contractées en vertu de toute garantie, caution ou autre sureté affectant l'immeuble;</w:t>
      </w:r>
    </w:p>
    <w:p>
      <w:pPr>
        <w:sectPr>
          <w:pgSz w:w="11900" w:h="16838" w:orient="portrait"/>
          <w:cols w:equalWidth="0" w:num="1">
            <w:col w:w="10120"/>
          </w:cols>
          <w:pgMar w:left="1440" w:top="82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3060" w:hanging="669"/>
        <w:spacing w:after="0" w:line="267" w:lineRule="auto"/>
        <w:tabs>
          <w:tab w:leader="none" w:pos="3040" w:val="left"/>
        </w:tabs>
        <w:rPr>
          <w:sz w:val="20"/>
          <w:szCs w:val="20"/>
          <w:color w:val="auto"/>
        </w:rPr>
      </w:pPr>
      <w:r>
        <w:rPr>
          <w:rFonts w:ascii="Arial" w:cs="Arial" w:eastAsia="Arial" w:hAnsi="Arial"/>
          <w:sz w:val="16"/>
          <w:szCs w:val="16"/>
          <w:b w:val="1"/>
          <w:bCs w:val="1"/>
          <w:color w:val="auto"/>
        </w:rPr>
        <w:t>9.1.1.3</w:t>
      </w:r>
      <w:r>
        <w:rPr>
          <w:sz w:val="20"/>
          <w:szCs w:val="20"/>
          <w:color w:val="auto"/>
        </w:rPr>
        <w:tab/>
      </w:r>
      <w:r>
        <w:rPr>
          <w:rFonts w:ascii="Arial" w:cs="Arial" w:eastAsia="Arial" w:hAnsi="Arial"/>
          <w:sz w:val="16"/>
          <w:szCs w:val="16"/>
          <w:color w:val="auto"/>
        </w:rPr>
        <w:t>tous les couts ayant trait à la réparation ou au remplacement d'éléments majeurs du système de base de l'Édifice (incluant le chauffage, la ventilation, la climatisation, la plomberie et les ascenseurs);</w:t>
      </w:r>
    </w:p>
    <w:p>
      <w:pPr>
        <w:spacing w:after="0" w:line="194" w:lineRule="exact"/>
        <w:rPr>
          <w:sz w:val="20"/>
          <w:szCs w:val="20"/>
          <w:color w:val="auto"/>
        </w:rPr>
      </w:pPr>
    </w:p>
    <w:p>
      <w:pPr>
        <w:ind w:left="3060" w:right="60" w:hanging="669"/>
        <w:spacing w:after="0" w:line="253" w:lineRule="auto"/>
        <w:tabs>
          <w:tab w:leader="none" w:pos="3040" w:val="left"/>
        </w:tabs>
        <w:rPr>
          <w:sz w:val="20"/>
          <w:szCs w:val="20"/>
          <w:color w:val="auto"/>
        </w:rPr>
      </w:pPr>
      <w:r>
        <w:rPr>
          <w:rFonts w:ascii="Arial" w:cs="Arial" w:eastAsia="Arial" w:hAnsi="Arial"/>
          <w:sz w:val="16"/>
          <w:szCs w:val="16"/>
          <w:b w:val="1"/>
          <w:bCs w:val="1"/>
          <w:color w:val="auto"/>
        </w:rPr>
        <w:t>9.1.1.4</w:t>
      </w:r>
      <w:r>
        <w:rPr>
          <w:sz w:val="20"/>
          <w:szCs w:val="20"/>
          <w:color w:val="auto"/>
        </w:rPr>
        <w:tab/>
      </w:r>
      <w:r>
        <w:rPr>
          <w:rFonts w:ascii="Arial" w:cs="Arial" w:eastAsia="Arial" w:hAnsi="Arial"/>
          <w:sz w:val="16"/>
          <w:szCs w:val="16"/>
          <w:color w:val="auto"/>
        </w:rPr>
        <w:t>le cout de toute réparation ou remplacement a la structure incluant; sans y être. Limite, le remplacement du toit, ou toute réparation (autre que mineure) aux semelles de béton, aux fondations, aux planchers, aux murs-de soutènement intérieur ou extérieur, aux murs extérieurs, aux fenêtres, au toit, aux poutres de soutènement, aux colonnes de soutien de, même que toute réparation ou tout ajout nécessaire a la structure de l'Édifice afin que l'Édifice soit conforme aux lois et règlements applicables ainsi que les couts relies a tout agrandissement au rénovation importante de l'Édifice;</w:t>
      </w:r>
    </w:p>
    <w:p>
      <w:pPr>
        <w:spacing w:after="0" w:line="219" w:lineRule="exact"/>
        <w:rPr>
          <w:sz w:val="20"/>
          <w:szCs w:val="20"/>
          <w:color w:val="auto"/>
        </w:rPr>
      </w:pPr>
    </w:p>
    <w:p>
      <w:pPr>
        <w:ind w:left="3060" w:right="20" w:hanging="669"/>
        <w:spacing w:after="0" w:line="310" w:lineRule="auto"/>
        <w:tabs>
          <w:tab w:leader="none" w:pos="3040" w:val="left"/>
        </w:tabs>
        <w:rPr>
          <w:sz w:val="20"/>
          <w:szCs w:val="20"/>
          <w:color w:val="auto"/>
        </w:rPr>
      </w:pPr>
      <w:r>
        <w:rPr>
          <w:rFonts w:ascii="Arial" w:cs="Arial" w:eastAsia="Arial" w:hAnsi="Arial"/>
          <w:sz w:val="16"/>
          <w:szCs w:val="16"/>
          <w:b w:val="1"/>
          <w:bCs w:val="1"/>
          <w:color w:val="auto"/>
        </w:rPr>
        <w:t>9.1.1.5</w:t>
      </w:r>
      <w:r>
        <w:rPr>
          <w:sz w:val="20"/>
          <w:szCs w:val="20"/>
          <w:color w:val="auto"/>
        </w:rPr>
        <w:tab/>
      </w:r>
      <w:r>
        <w:rPr>
          <w:rFonts w:ascii="Arial" w:cs="Arial" w:eastAsia="Arial" w:hAnsi="Arial"/>
          <w:sz w:val="15"/>
          <w:szCs w:val="15"/>
          <w:color w:val="auto"/>
        </w:rPr>
        <w:t>l'amortissement du cout en capital initial de l'immeuble et de toute dévaluation comptabilisée à l'encontre du cout initial de l'immeuble ainsi que l’amortissement de tout agrandissement a l’Édifice ;</w:t>
      </w:r>
    </w:p>
    <w:p>
      <w:pPr>
        <w:spacing w:after="0" w:line="177" w:lineRule="exact"/>
        <w:rPr>
          <w:sz w:val="20"/>
          <w:szCs w:val="20"/>
          <w:color w:val="auto"/>
        </w:rPr>
      </w:pPr>
    </w:p>
    <w:p>
      <w:pPr>
        <w:ind w:left="3060" w:right="40" w:hanging="669"/>
        <w:spacing w:after="0" w:line="275" w:lineRule="auto"/>
        <w:tabs>
          <w:tab w:leader="none" w:pos="3040" w:val="left"/>
        </w:tabs>
        <w:rPr>
          <w:sz w:val="20"/>
          <w:szCs w:val="20"/>
          <w:color w:val="auto"/>
        </w:rPr>
      </w:pPr>
      <w:r>
        <w:rPr>
          <w:rFonts w:ascii="Arial" w:cs="Arial" w:eastAsia="Arial" w:hAnsi="Arial"/>
          <w:sz w:val="16"/>
          <w:szCs w:val="16"/>
          <w:b w:val="1"/>
          <w:bCs w:val="1"/>
          <w:color w:val="auto"/>
        </w:rPr>
        <w:t>9.1.1.6</w:t>
      </w:r>
      <w:r>
        <w:rPr>
          <w:sz w:val="20"/>
          <w:szCs w:val="20"/>
          <w:color w:val="auto"/>
        </w:rPr>
        <w:tab/>
      </w:r>
      <w:r>
        <w:rPr>
          <w:rFonts w:ascii="Arial" w:cs="Arial" w:eastAsia="Arial" w:hAnsi="Arial"/>
          <w:sz w:val="16"/>
          <w:szCs w:val="16"/>
          <w:color w:val="auto"/>
        </w:rPr>
        <w:t>toute réparation ou remplacement rendu nécessaire en raison d'une mauvaise conception, d'un vice cache ou d'un vice de construction ayant trait à l'immeuble;</w:t>
      </w:r>
    </w:p>
    <w:p>
      <w:pPr>
        <w:spacing w:after="0" w:line="188" w:lineRule="exact"/>
        <w:rPr>
          <w:sz w:val="20"/>
          <w:szCs w:val="20"/>
          <w:color w:val="auto"/>
        </w:rPr>
      </w:pPr>
    </w:p>
    <w:p>
      <w:pPr>
        <w:ind w:left="3060" w:right="40" w:hanging="669"/>
        <w:spacing w:after="0" w:line="259" w:lineRule="auto"/>
        <w:tabs>
          <w:tab w:leader="none" w:pos="3040" w:val="left"/>
        </w:tabs>
        <w:rPr>
          <w:sz w:val="20"/>
          <w:szCs w:val="20"/>
          <w:color w:val="auto"/>
        </w:rPr>
      </w:pPr>
      <w:r>
        <w:rPr>
          <w:rFonts w:ascii="Arial" w:cs="Arial" w:eastAsia="Arial" w:hAnsi="Arial"/>
          <w:sz w:val="16"/>
          <w:szCs w:val="16"/>
          <w:b w:val="1"/>
          <w:bCs w:val="1"/>
          <w:color w:val="auto"/>
        </w:rPr>
        <w:t>9.1.1.7</w:t>
      </w:r>
      <w:r>
        <w:rPr>
          <w:sz w:val="20"/>
          <w:szCs w:val="20"/>
          <w:color w:val="auto"/>
        </w:rPr>
        <w:tab/>
      </w:r>
      <w:r>
        <w:rPr>
          <w:rFonts w:ascii="Arial" w:cs="Arial" w:eastAsia="Arial" w:hAnsi="Arial"/>
          <w:sz w:val="16"/>
          <w:szCs w:val="16"/>
          <w:color w:val="auto"/>
        </w:rPr>
        <w:t>les taxes (sauf pour les Taxes) imposées au Bailleur et incidentes aux Loyers Additionnels, qu'il s’agisse de la taxe sur les produits et services ou d'une quelconque taxe de vente similaire, qui seront payes ou payables par le Bailleur et pour lesquelles le Bailleur bénéficiera d'un crédit ou d'un remboursement ou autre réduction;</w:t>
      </w:r>
    </w:p>
    <w:p>
      <w:pPr>
        <w:spacing w:after="0" w:line="213" w:lineRule="exact"/>
        <w:rPr>
          <w:sz w:val="20"/>
          <w:szCs w:val="20"/>
          <w:color w:val="auto"/>
        </w:rPr>
      </w:pPr>
    </w:p>
    <w:p>
      <w:pPr>
        <w:ind w:left="2400"/>
        <w:spacing w:after="0"/>
        <w:tabs>
          <w:tab w:leader="none" w:pos="3040" w:val="left"/>
        </w:tabs>
        <w:rPr>
          <w:sz w:val="20"/>
          <w:szCs w:val="20"/>
          <w:color w:val="auto"/>
        </w:rPr>
      </w:pPr>
      <w:r>
        <w:rPr>
          <w:rFonts w:ascii="Arial" w:cs="Arial" w:eastAsia="Arial" w:hAnsi="Arial"/>
          <w:sz w:val="16"/>
          <w:szCs w:val="16"/>
          <w:b w:val="1"/>
          <w:bCs w:val="1"/>
          <w:color w:val="auto"/>
        </w:rPr>
        <w:t>9.1.1.8</w:t>
      </w:r>
      <w:r>
        <w:rPr>
          <w:sz w:val="20"/>
          <w:szCs w:val="20"/>
          <w:color w:val="auto"/>
        </w:rPr>
        <w:tab/>
      </w:r>
      <w:r>
        <w:rPr>
          <w:rFonts w:ascii="Arial" w:cs="Arial" w:eastAsia="Arial" w:hAnsi="Arial"/>
          <w:sz w:val="15"/>
          <w:szCs w:val="15"/>
          <w:color w:val="auto"/>
        </w:rPr>
        <w:t>les honoraires et bonis de courtage;</w:t>
      </w:r>
    </w:p>
    <w:p>
      <w:pPr>
        <w:spacing w:after="0" w:line="240" w:lineRule="exact"/>
        <w:rPr>
          <w:sz w:val="20"/>
          <w:szCs w:val="20"/>
          <w:color w:val="auto"/>
        </w:rPr>
      </w:pPr>
    </w:p>
    <w:p>
      <w:pPr>
        <w:ind w:left="2400"/>
        <w:spacing w:after="0"/>
        <w:tabs>
          <w:tab w:leader="none" w:pos="3040" w:val="left"/>
        </w:tabs>
        <w:rPr>
          <w:sz w:val="20"/>
          <w:szCs w:val="20"/>
          <w:color w:val="auto"/>
        </w:rPr>
      </w:pPr>
      <w:r>
        <w:rPr>
          <w:rFonts w:ascii="Arial" w:cs="Arial" w:eastAsia="Arial" w:hAnsi="Arial"/>
          <w:sz w:val="16"/>
          <w:szCs w:val="16"/>
          <w:b w:val="1"/>
          <w:bCs w:val="1"/>
          <w:color w:val="auto"/>
        </w:rPr>
        <w:t>9.1.1.9</w:t>
      </w:r>
      <w:r>
        <w:rPr>
          <w:sz w:val="20"/>
          <w:szCs w:val="20"/>
          <w:color w:val="auto"/>
        </w:rPr>
        <w:tab/>
      </w:r>
      <w:r>
        <w:rPr>
          <w:rFonts w:ascii="Arial" w:cs="Arial" w:eastAsia="Arial" w:hAnsi="Arial"/>
          <w:sz w:val="15"/>
          <w:szCs w:val="15"/>
          <w:color w:val="auto"/>
        </w:rPr>
        <w:t>les couts attribuables au marketing, aux annonces, aux études de marche et à la publicité;</w:t>
      </w:r>
    </w:p>
    <w:p>
      <w:pPr>
        <w:spacing w:after="0" w:line="253"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 xml:space="preserve">9.1.1.10 </w:t>
      </w:r>
      <w:r>
        <w:rPr>
          <w:rFonts w:ascii="Arial" w:cs="Arial" w:eastAsia="Arial" w:hAnsi="Arial"/>
          <w:sz w:val="16"/>
          <w:szCs w:val="16"/>
          <w:color w:val="auto"/>
        </w:rPr>
        <w:t>tous frais de financement et tout intérêt sur tout emprunt pour le financement de l'immeuble;</w:t>
      </w:r>
    </w:p>
    <w:p>
      <w:pPr>
        <w:spacing w:after="0" w:line="240" w:lineRule="exact"/>
        <w:rPr>
          <w:sz w:val="20"/>
          <w:szCs w:val="20"/>
          <w:color w:val="auto"/>
        </w:rPr>
      </w:pPr>
    </w:p>
    <w:p>
      <w:pPr>
        <w:ind w:left="3060" w:right="140" w:hanging="669"/>
        <w:spacing w:after="0" w:line="267" w:lineRule="auto"/>
        <w:rPr>
          <w:sz w:val="20"/>
          <w:szCs w:val="20"/>
          <w:color w:val="auto"/>
        </w:rPr>
      </w:pPr>
      <w:r>
        <w:rPr>
          <w:rFonts w:ascii="Arial" w:cs="Arial" w:eastAsia="Arial" w:hAnsi="Arial"/>
          <w:sz w:val="16"/>
          <w:szCs w:val="16"/>
          <w:b w:val="1"/>
          <w:bCs w:val="1"/>
          <w:color w:val="auto"/>
        </w:rPr>
        <w:t xml:space="preserve">9.1.1.11 </w:t>
      </w:r>
      <w:r>
        <w:rPr>
          <w:rFonts w:ascii="Arial" w:cs="Arial" w:eastAsia="Arial" w:hAnsi="Arial"/>
          <w:sz w:val="16"/>
          <w:szCs w:val="16"/>
          <w:color w:val="auto"/>
        </w:rPr>
        <w:t>les contributions a des partis politiques ou toute autre contribution a des causes sociales ou autres</w:t>
      </w:r>
      <w:r>
        <w:rPr>
          <w:rFonts w:ascii="Arial" w:cs="Arial" w:eastAsia="Arial" w:hAnsi="Arial"/>
          <w:sz w:val="16"/>
          <w:szCs w:val="16"/>
          <w:b w:val="1"/>
          <w:bCs w:val="1"/>
          <w:color w:val="auto"/>
        </w:rPr>
        <w:t xml:space="preserve"> </w:t>
      </w:r>
      <w:r>
        <w:rPr>
          <w:rFonts w:ascii="Arial" w:cs="Arial" w:eastAsia="Arial" w:hAnsi="Arial"/>
          <w:sz w:val="16"/>
          <w:szCs w:val="16"/>
          <w:color w:val="auto"/>
        </w:rPr>
        <w:t>causes semblables, ainsi. qu'a des organismes culturels, sociaux au religieux au toute somme destinée à l'achat ou à la location d'œuvres d'art;</w:t>
      </w:r>
    </w:p>
    <w:p>
      <w:pPr>
        <w:spacing w:after="0" w:line="234" w:lineRule="exact"/>
        <w:rPr>
          <w:sz w:val="20"/>
          <w:szCs w:val="20"/>
          <w:color w:val="auto"/>
        </w:rPr>
      </w:pPr>
    </w:p>
    <w:p>
      <w:pPr>
        <w:jc w:val="both"/>
        <w:ind w:left="14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9.2</w:t>
      </w:r>
      <w:r>
        <w:rPr>
          <w:sz w:val="20"/>
          <w:szCs w:val="20"/>
          <w:color w:val="auto"/>
        </w:rPr>
        <w:tab/>
      </w:r>
      <w:r>
        <w:rPr>
          <w:rFonts w:ascii="Arial" w:cs="Arial" w:eastAsia="Arial" w:hAnsi="Arial"/>
          <w:sz w:val="16"/>
          <w:szCs w:val="16"/>
          <w:color w:val="auto"/>
        </w:rPr>
        <w:t xml:space="preserve">Taxes foncières (municipales et scolaires) (ci--avant et ci-après désignée la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Taxes </w:t>
      </w:r>
      <w:r>
        <w:rPr>
          <w:rFonts w:ascii="Times New Roman" w:cs="Times New Roman" w:eastAsia="Times New Roman" w:hAnsi="Times New Roman"/>
          <w:sz w:val="16"/>
          <w:szCs w:val="16"/>
          <w:color w:val="auto"/>
        </w:rPr>
        <w:t>») :</w:t>
      </w:r>
      <w:r>
        <w:rPr>
          <w:rFonts w:ascii="Arial" w:cs="Arial" w:eastAsia="Arial" w:hAnsi="Arial"/>
          <w:sz w:val="16"/>
          <w:szCs w:val="16"/>
          <w:color w:val="auto"/>
        </w:rPr>
        <w:t xml:space="preserve"> désigne tolites les taxes ou surtaxes foncières, municipales ou scolaires ou taus les impôts, contributions, cotisations, répartitions et/ou charges imposées par toute autorité fiscale en rapport avec l'immeuble, mais excluant spécifiquement ;</w:t>
      </w:r>
    </w:p>
    <w:p>
      <w:pPr>
        <w:spacing w:after="0" w:line="74" w:lineRule="exact"/>
        <w:rPr>
          <w:sz w:val="20"/>
          <w:szCs w:val="20"/>
          <w:color w:val="auto"/>
        </w:rPr>
      </w:pPr>
    </w:p>
    <w:p>
      <w:pPr>
        <w:ind w:left="2060" w:hanging="228"/>
        <w:spacing w:after="0"/>
        <w:tabs>
          <w:tab w:leader="none" w:pos="2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tout droit sur les mutations immobilières suite à une vente complète ou partielle de l'immeuble;</w:t>
      </w:r>
    </w:p>
    <w:p>
      <w:pPr>
        <w:spacing w:after="0" w:line="279" w:lineRule="exact"/>
        <w:rPr>
          <w:rFonts w:ascii="Arial" w:cs="Arial" w:eastAsia="Arial" w:hAnsi="Arial"/>
          <w:sz w:val="16"/>
          <w:szCs w:val="16"/>
          <w:color w:val="auto"/>
        </w:rPr>
      </w:pPr>
    </w:p>
    <w:p>
      <w:pPr>
        <w:ind w:left="2060" w:hanging="228"/>
        <w:spacing w:after="0"/>
        <w:tabs>
          <w:tab w:leader="none" w:pos="2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l'impôt sur le revenu ou les profits du Bailleur;</w:t>
      </w:r>
    </w:p>
    <w:p>
      <w:pPr>
        <w:spacing w:after="0" w:line="240" w:lineRule="exact"/>
        <w:rPr>
          <w:rFonts w:ascii="Arial" w:cs="Arial" w:eastAsia="Arial" w:hAnsi="Arial"/>
          <w:sz w:val="16"/>
          <w:szCs w:val="16"/>
          <w:color w:val="auto"/>
        </w:rPr>
      </w:pPr>
    </w:p>
    <w:p>
      <w:pPr>
        <w:ind w:left="2060" w:hanging="228"/>
        <w:spacing w:after="0"/>
        <w:tabs>
          <w:tab w:leader="none" w:pos="2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tout réajustement des taxes attribuable a une période ou le Locataire n'était pas locataire de l'Édifice;</w:t>
      </w:r>
    </w:p>
    <w:p>
      <w:pPr>
        <w:sectPr>
          <w:pgSz w:w="11900" w:h="16838" w:orient="portrait"/>
          <w:cols w:equalWidth="0" w:num="1">
            <w:col w:w="10120"/>
          </w:cols>
          <w:pgMar w:left="1440" w:top="82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60" w:right="40" w:hanging="236"/>
        <w:spacing w:after="0" w:line="275" w:lineRule="auto"/>
        <w:tabs>
          <w:tab w:leader="none" w:pos="205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tous les couts attribuables à la contestation des taxes lorsque les taxes qui font l'objet de contestation ne sont pas payables par le Locataire.</w:t>
      </w:r>
    </w:p>
    <w:p>
      <w:pPr>
        <w:spacing w:after="0" w:line="108" w:lineRule="exact"/>
        <w:rPr>
          <w:rFonts w:ascii="Arial" w:cs="Arial" w:eastAsia="Arial" w:hAnsi="Arial"/>
          <w:sz w:val="16"/>
          <w:szCs w:val="16"/>
          <w:color w:val="auto"/>
        </w:rPr>
      </w:pPr>
    </w:p>
    <w:p>
      <w:pPr>
        <w:ind w:left="2060" w:hanging="236"/>
        <w:spacing w:after="0"/>
        <w:tabs>
          <w:tab w:leader="none" w:pos="2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la Taxe sur le Capital et l'impôt des Grandes Corporations.</w:t>
      </w:r>
    </w:p>
    <w:p>
      <w:pPr>
        <w:spacing w:after="0" w:line="267"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b w:val="1"/>
          <w:bCs w:val="1"/>
          <w:color w:val="auto"/>
        </w:rPr>
        <w:t>9.3</w:t>
      </w:r>
      <w:r>
        <w:rPr>
          <w:sz w:val="20"/>
          <w:szCs w:val="20"/>
          <w:color w:val="auto"/>
        </w:rPr>
        <w:tab/>
      </w:r>
      <w:r>
        <w:rPr>
          <w:rFonts w:ascii="Arial" w:cs="Arial" w:eastAsia="Arial" w:hAnsi="Arial"/>
          <w:sz w:val="15"/>
          <w:szCs w:val="15"/>
          <w:color w:val="auto"/>
        </w:rPr>
        <w:t>Taxes supplémentaires</w:t>
      </w:r>
    </w:p>
    <w:p>
      <w:pPr>
        <w:spacing w:after="0" w:line="253" w:lineRule="exact"/>
        <w:rPr>
          <w:sz w:val="20"/>
          <w:szCs w:val="20"/>
          <w:color w:val="auto"/>
        </w:rPr>
      </w:pPr>
    </w:p>
    <w:p>
      <w:pPr>
        <w:ind w:left="1820" w:right="220"/>
        <w:spacing w:after="0" w:line="275" w:lineRule="auto"/>
        <w:rPr>
          <w:sz w:val="20"/>
          <w:szCs w:val="20"/>
          <w:color w:val="auto"/>
        </w:rPr>
      </w:pPr>
      <w:r>
        <w:rPr>
          <w:rFonts w:ascii="Arial" w:cs="Arial" w:eastAsia="Arial" w:hAnsi="Arial"/>
          <w:sz w:val="16"/>
          <w:szCs w:val="16"/>
          <w:color w:val="auto"/>
        </w:rPr>
        <w:t>De plus, le Locataire s'engage également à payer la taxe sur les produits et services (« TPS »), la taxe de vente du Québec (« TVQ ») et toute autre taxe de même nature présente et à venir.</w:t>
      </w:r>
    </w:p>
    <w:p>
      <w:pPr>
        <w:spacing w:after="0" w:line="214"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b w:val="1"/>
          <w:bCs w:val="1"/>
          <w:color w:val="auto"/>
        </w:rPr>
        <w:t>9.4</w:t>
      </w:r>
      <w:r>
        <w:rPr>
          <w:sz w:val="20"/>
          <w:szCs w:val="20"/>
          <w:color w:val="auto"/>
        </w:rPr>
        <w:tab/>
      </w:r>
      <w:r>
        <w:rPr>
          <w:rFonts w:ascii="Arial" w:cs="Arial" w:eastAsia="Arial" w:hAnsi="Arial"/>
          <w:sz w:val="15"/>
          <w:szCs w:val="15"/>
          <w:color w:val="auto"/>
        </w:rPr>
        <w:t>Consommation d'eau</w:t>
      </w:r>
    </w:p>
    <w:p>
      <w:pPr>
        <w:spacing w:after="0" w:line="306" w:lineRule="exact"/>
        <w:rPr>
          <w:sz w:val="20"/>
          <w:szCs w:val="20"/>
          <w:color w:val="auto"/>
        </w:rPr>
      </w:pPr>
    </w:p>
    <w:p>
      <w:pPr>
        <w:jc w:val="both"/>
        <w:ind w:left="1820"/>
        <w:spacing w:after="0" w:line="275" w:lineRule="auto"/>
        <w:rPr>
          <w:sz w:val="20"/>
          <w:szCs w:val="20"/>
          <w:color w:val="auto"/>
        </w:rPr>
      </w:pPr>
      <w:r>
        <w:rPr>
          <w:rFonts w:ascii="Arial" w:cs="Arial" w:eastAsia="Arial" w:hAnsi="Arial"/>
          <w:sz w:val="16"/>
          <w:szCs w:val="16"/>
          <w:color w:val="auto"/>
        </w:rPr>
        <w:t>Le Locataire sera responsable, s'il y a lieu, de toute taxe ou autres charges qui' pourraient être imposées par toute autorité compétente relativement à sa consommation d'eau. Cette charge sera incluse dans les frais communs.</w:t>
      </w:r>
    </w:p>
    <w:p>
      <w:pPr>
        <w:spacing w:after="0" w:line="241"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b w:val="1"/>
          <w:bCs w:val="1"/>
          <w:color w:val="auto"/>
        </w:rPr>
        <w:t>9.5</w:t>
      </w:r>
      <w:r>
        <w:rPr>
          <w:sz w:val="20"/>
          <w:szCs w:val="20"/>
          <w:color w:val="auto"/>
        </w:rPr>
        <w:tab/>
      </w:r>
      <w:r>
        <w:rPr>
          <w:rFonts w:ascii="Arial" w:cs="Arial" w:eastAsia="Arial" w:hAnsi="Arial"/>
          <w:sz w:val="16"/>
          <w:szCs w:val="16"/>
          <w:color w:val="auto"/>
        </w:rPr>
        <w:t>Électricité</w:t>
      </w:r>
    </w:p>
    <w:p>
      <w:pPr>
        <w:spacing w:after="0" w:line="293" w:lineRule="exact"/>
        <w:rPr>
          <w:sz w:val="20"/>
          <w:szCs w:val="20"/>
          <w:color w:val="auto"/>
        </w:rPr>
      </w:pPr>
    </w:p>
    <w:p>
      <w:pPr>
        <w:jc w:val="both"/>
        <w:ind w:left="1820"/>
        <w:spacing w:after="0" w:line="267" w:lineRule="auto"/>
        <w:rPr>
          <w:sz w:val="20"/>
          <w:szCs w:val="20"/>
          <w:color w:val="auto"/>
        </w:rPr>
      </w:pPr>
      <w:r>
        <w:rPr>
          <w:rFonts w:ascii="Arial" w:cs="Arial" w:eastAsia="Arial" w:hAnsi="Arial"/>
          <w:sz w:val="16"/>
          <w:szCs w:val="16"/>
          <w:color w:val="auto"/>
        </w:rPr>
        <w:t>Le Locataire paiera directement le cout pour l’électricité consommée dans les Lieux Loues, à Hydro-Québec ou à toute entreprise lui succédant. Il est convenu que le Bailleur fournira et installera, a ses frais si ce n'est déjà fait, un compteur électrique sépare lequel mesurera la quantité d'électricité consommée dans les Lieux Loues.</w:t>
      </w:r>
    </w:p>
    <w:p>
      <w:pPr>
        <w:spacing w:after="0" w:line="234" w:lineRule="exact"/>
        <w:rPr>
          <w:sz w:val="20"/>
          <w:szCs w:val="20"/>
          <w:color w:val="auto"/>
        </w:rPr>
      </w:pPr>
    </w:p>
    <w:p>
      <w:pPr>
        <w:jc w:val="both"/>
        <w:ind w:left="1180" w:firstLine="3"/>
        <w:spacing w:after="0" w:line="258" w:lineRule="auto"/>
        <w:tabs>
          <w:tab w:leader="none" w:pos="1323" w:val="left"/>
        </w:tabs>
        <w:numPr>
          <w:ilvl w:val="0"/>
          <w:numId w:val="55"/>
        </w:numPr>
        <w:rPr>
          <w:rFonts w:ascii="Arial" w:cs="Arial" w:eastAsia="Arial" w:hAnsi="Arial"/>
          <w:sz w:val="16"/>
          <w:szCs w:val="16"/>
          <w:color w:val="auto"/>
        </w:rPr>
      </w:pPr>
      <w:r>
        <w:rPr>
          <w:rFonts w:ascii="Arial" w:cs="Arial" w:eastAsia="Arial" w:hAnsi="Arial"/>
          <w:sz w:val="16"/>
          <w:szCs w:val="16"/>
          <w:color w:val="auto"/>
        </w:rPr>
        <w:t>n'y aura en aucun cas dédoublement des couts et des dépenses inclus dans rétablissement des Loyers Additionnels. Seules les dépenses effectivement encourues par le Bailleur, pendant la Durée de Location, contribueront au calcul des Loyers Additionnels, déduction faite de leur recouvrement</w:t>
      </w:r>
    </w:p>
    <w:p>
      <w:pPr>
        <w:spacing w:after="0" w:line="228" w:lineRule="exact"/>
        <w:rPr>
          <w:sz w:val="20"/>
          <w:szCs w:val="20"/>
          <w:color w:val="auto"/>
        </w:rPr>
      </w:pPr>
    </w:p>
    <w:p>
      <w:pPr>
        <w:jc w:val="both"/>
        <w:ind w:left="1180" w:firstLine="7"/>
        <w:spacing w:after="0" w:line="254" w:lineRule="auto"/>
        <w:rPr>
          <w:sz w:val="20"/>
          <w:szCs w:val="20"/>
          <w:color w:val="auto"/>
        </w:rPr>
      </w:pPr>
      <w:r>
        <w:rPr>
          <w:rFonts w:ascii="Arial" w:cs="Arial" w:eastAsia="Arial" w:hAnsi="Arial"/>
          <w:sz w:val="16"/>
          <w:szCs w:val="16"/>
          <w:color w:val="auto"/>
        </w:rPr>
        <w:t xml:space="preserve">Le Locataire aura le droit de questionner le Bailleur relativement aux Frais d'Exploitation et aux Taxes si le compte de Taxes n'avait pas été précédemment transmis. Le Bailleur convient de répondre promptement aux questions du Locataire, si le Locataire considéré que les Frais d'Exploitation ou les Taxes n'ont pas été calculés selon les principes comptables généralement reconnus ou conformément aux dispositions du Bail. Le Locataire devra cependant, nonobstant tel droit de questionner, payer sur demande tout montant devenant du </w:t>
      </w:r>
      <w:r>
        <w:rPr>
          <w:rFonts w:ascii="Times New Roman" w:cs="Times New Roman" w:eastAsia="Times New Roman" w:hAnsi="Times New Roman"/>
          <w:sz w:val="16"/>
          <w:szCs w:val="16"/>
          <w:color w:val="auto"/>
        </w:rPr>
        <w:t>et</w:t>
      </w:r>
      <w:r>
        <w:rPr>
          <w:rFonts w:ascii="Arial" w:cs="Arial" w:eastAsia="Arial" w:hAnsi="Arial"/>
          <w:sz w:val="16"/>
          <w:szCs w:val="16"/>
          <w:color w:val="auto"/>
        </w:rPr>
        <w:t xml:space="preserve"> exigible.</w:t>
      </w:r>
    </w:p>
    <w:p>
      <w:pPr>
        <w:spacing w:after="0" w:line="152" w:lineRule="exact"/>
        <w:rPr>
          <w:sz w:val="20"/>
          <w:szCs w:val="20"/>
          <w:color w:val="auto"/>
        </w:rPr>
      </w:pPr>
    </w:p>
    <w:p>
      <w:pPr>
        <w:jc w:val="both"/>
        <w:ind w:left="1180" w:firstLine="4"/>
        <w:spacing w:after="0" w:line="284" w:lineRule="auto"/>
        <w:rPr>
          <w:sz w:val="20"/>
          <w:szCs w:val="20"/>
          <w:color w:val="auto"/>
        </w:rPr>
      </w:pPr>
      <w:r>
        <w:rPr>
          <w:rFonts w:ascii="Arial" w:cs="Arial" w:eastAsia="Arial" w:hAnsi="Arial"/>
          <w:sz w:val="15"/>
          <w:szCs w:val="15"/>
          <w:color w:val="auto"/>
        </w:rPr>
        <w:t>Si, suite aux réponses du Bailleur, le Locataire n'est pas encore satisfait de la facturation des Frais d'Exploitation et des Taxes, le Locataire pourra demander aux vérificateurs indépendants du Bailleur, aux frais du Locataire, de préparer un rapport détaillé et certifié justifiant la conformité de la facturation des Frais d'Exploitation et des Taxes du Locataire, en vertu du Bail.</w:t>
      </w:r>
    </w:p>
    <w:p>
      <w:pPr>
        <w:spacing w:after="0" w:line="200" w:lineRule="exact"/>
        <w:rPr>
          <w:sz w:val="20"/>
          <w:szCs w:val="20"/>
          <w:color w:val="auto"/>
        </w:rPr>
      </w:pPr>
    </w:p>
    <w:p>
      <w:pPr>
        <w:spacing w:after="0" w:line="221" w:lineRule="exact"/>
        <w:rPr>
          <w:sz w:val="20"/>
          <w:szCs w:val="20"/>
          <w:color w:val="auto"/>
        </w:rPr>
      </w:pPr>
    </w:p>
    <w:p>
      <w:pPr>
        <w:ind w:left="540" w:hanging="398"/>
        <w:spacing w:after="0"/>
        <w:tabs>
          <w:tab w:leader="none" w:pos="54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NETTOYAGE ET ENTRETIEN</w:t>
      </w:r>
    </w:p>
    <w:p>
      <w:pPr>
        <w:spacing w:after="0" w:line="240"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5"/>
          <w:szCs w:val="15"/>
          <w:color w:val="auto"/>
        </w:rPr>
        <w:t>Le Locataire s'assurera que l'entretien et le nettoyage des Lieux Loues soient effectués selon ses besoins et à ses frais.</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Les couts relies a l'entretien et au nettoyage des Lieux Loues sont exclus des Frais d'Exploitation.</w:t>
      </w:r>
    </w:p>
    <w:p>
      <w:pPr>
        <w:sectPr>
          <w:pgSz w:w="11900" w:h="16838" w:orient="portrait"/>
          <w:cols w:equalWidth="0" w:num="1">
            <w:col w:w="10120"/>
          </w:cols>
          <w:pgMar w:left="1440" w:top="82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 w:hanging="378"/>
        <w:spacing w:after="0"/>
        <w:tabs>
          <w:tab w:leader="none" w:pos="52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CHAUFFAGE, CLIMATISATION, VENTILATION ET ÉCLAIRAGE</w:t>
      </w:r>
    </w:p>
    <w:p>
      <w:pPr>
        <w:spacing w:after="0" w:line="267"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5"/>
          <w:szCs w:val="15"/>
          <w:color w:val="auto"/>
        </w:rPr>
        <w:t>Le Bailleur assurera au Locataire un niveau de confort qui lui soit acceptable pendant les heures d'affaires du Locataire soit</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7 jours/7 et 24 heures/24.</w:t>
      </w:r>
    </w:p>
    <w:p>
      <w:pPr>
        <w:spacing w:after="0" w:line="237" w:lineRule="exact"/>
        <w:rPr>
          <w:sz w:val="20"/>
          <w:szCs w:val="20"/>
          <w:color w:val="auto"/>
        </w:rPr>
      </w:pPr>
    </w:p>
    <w:p>
      <w:pPr>
        <w:ind w:left="1420" w:right="24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11.2</w:t>
      </w:r>
      <w:r>
        <w:rPr>
          <w:sz w:val="20"/>
          <w:szCs w:val="20"/>
          <w:color w:val="auto"/>
        </w:rPr>
        <w:tab/>
      </w:r>
      <w:r>
        <w:rPr>
          <w:rFonts w:ascii="Arial" w:cs="Arial" w:eastAsia="Arial" w:hAnsi="Arial"/>
          <w:sz w:val="16"/>
          <w:szCs w:val="16"/>
          <w:color w:val="auto"/>
        </w:rPr>
        <w:t>Le Bailleur assurera au Locataire un niveau de confort acceptable. Ce niveau de confort sera en tout point comparable à celui offert dans d'autres édifices similaires et répondra aux normes minimales promulguées en date des présentes par «The American Society of Heating, Refrigeration and Air-Conditioning Engineers Inc. (« ASHRAE ») » et par la Commission de la santé et de la sécurité au travail (« CSST »).</w:t>
      </w:r>
    </w:p>
    <w:p>
      <w:pPr>
        <w:spacing w:after="0" w:line="226" w:lineRule="exact"/>
        <w:rPr>
          <w:sz w:val="20"/>
          <w:szCs w:val="20"/>
          <w:color w:val="auto"/>
        </w:rPr>
      </w:pPr>
    </w:p>
    <w:p>
      <w:pPr>
        <w:ind w:left="520" w:hanging="359"/>
        <w:spacing w:after="0"/>
        <w:tabs>
          <w:tab w:leader="none" w:pos="52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OBLIGATIONS DU LOCATAIRE</w:t>
      </w:r>
    </w:p>
    <w:p>
      <w:pPr>
        <w:spacing w:after="0" w:line="240" w:lineRule="exact"/>
        <w:rPr>
          <w:rFonts w:ascii="Arial" w:cs="Arial" w:eastAsia="Arial" w:hAnsi="Arial"/>
          <w:sz w:val="16"/>
          <w:szCs w:val="16"/>
          <w:b w:val="1"/>
          <w:bCs w:val="1"/>
          <w:color w:val="auto"/>
        </w:rPr>
      </w:pPr>
    </w:p>
    <w:p>
      <w:pPr>
        <w:ind w:left="960" w:right="1820" w:hanging="413"/>
        <w:spacing w:after="0" w:line="493" w:lineRule="auto"/>
        <w:rPr>
          <w:rFonts w:ascii="Arial" w:cs="Arial" w:eastAsia="Arial" w:hAnsi="Arial"/>
          <w:sz w:val="16"/>
          <w:szCs w:val="16"/>
          <w:b w:val="1"/>
          <w:bCs w:val="1"/>
          <w:color w:val="auto"/>
        </w:rPr>
      </w:pPr>
      <w:r>
        <w:rPr>
          <w:rFonts w:ascii="Arial" w:cs="Arial" w:eastAsia="Arial" w:hAnsi="Arial"/>
          <w:sz w:val="16"/>
          <w:szCs w:val="16"/>
          <w:color w:val="auto"/>
        </w:rPr>
        <w:t xml:space="preserve">Ce bail est fait aux charges et conditions suivantes que le Locataire promet et s'oblige d'exécuter comme suit : </w:t>
      </w:r>
      <w:r>
        <w:rPr>
          <w:rFonts w:ascii="Arial" w:cs="Arial" w:eastAsia="Arial" w:hAnsi="Arial"/>
          <w:sz w:val="16"/>
          <w:szCs w:val="16"/>
          <w:b w:val="1"/>
          <w:bCs w:val="1"/>
          <w:color w:val="auto"/>
        </w:rPr>
        <w:t xml:space="preserve">12.1 </w:t>
      </w:r>
      <w:r>
        <w:rPr>
          <w:rFonts w:ascii="Arial" w:cs="Arial" w:eastAsia="Arial" w:hAnsi="Arial"/>
          <w:sz w:val="16"/>
          <w:szCs w:val="16"/>
          <w:color w:val="auto"/>
        </w:rPr>
        <w:t>Réparations du Bailleur</w:t>
      </w:r>
    </w:p>
    <w:p>
      <w:pPr>
        <w:spacing w:after="0" w:line="39" w:lineRule="exact"/>
        <w:rPr>
          <w:sz w:val="20"/>
          <w:szCs w:val="20"/>
          <w:color w:val="auto"/>
        </w:rPr>
      </w:pPr>
    </w:p>
    <w:p>
      <w:pPr>
        <w:jc w:val="both"/>
        <w:ind w:left="1440"/>
        <w:spacing w:after="0" w:line="254" w:lineRule="auto"/>
        <w:rPr>
          <w:sz w:val="20"/>
          <w:szCs w:val="20"/>
          <w:color w:val="auto"/>
        </w:rPr>
      </w:pPr>
      <w:r>
        <w:rPr>
          <w:rFonts w:ascii="Arial" w:cs="Arial" w:eastAsia="Arial" w:hAnsi="Arial"/>
          <w:sz w:val="16"/>
          <w:szCs w:val="16"/>
          <w:color w:val="auto"/>
        </w:rPr>
        <w:t>En autant que le Locataire ait la jouissance paisible des Lieux Loues, pendant la durée du présent contrat, le Locataire devra souffrir toutes les réparations et améliorations grosses ou petites que le Bailleur désirera faire, incluant, de façon non limitative, les travaux de réparations, remplacement, modifications et améliorations des machinés, équipements et/ ou fournitures de l'immeuble, sans indemnité ni dommage à payer au Locataire de ce fait. Le Bailleur, dans l’exercice de ses droits, devra s'assurer de nuire le moins possible aux activités du Locataire.</w:t>
      </w:r>
    </w:p>
    <w:p>
      <w:pPr>
        <w:spacing w:after="0" w:line="232"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5"/>
          <w:szCs w:val="15"/>
          <w:color w:val="auto"/>
        </w:rPr>
        <w:t>Usage des services</w:t>
      </w:r>
    </w:p>
    <w:p>
      <w:pPr>
        <w:spacing w:after="0" w:line="253" w:lineRule="exact"/>
        <w:rPr>
          <w:sz w:val="20"/>
          <w:szCs w:val="20"/>
          <w:color w:val="auto"/>
        </w:rPr>
      </w:pPr>
    </w:p>
    <w:p>
      <w:pPr>
        <w:jc w:val="both"/>
        <w:ind w:left="1440"/>
        <w:spacing w:after="0" w:line="259" w:lineRule="auto"/>
        <w:rPr>
          <w:sz w:val="20"/>
          <w:szCs w:val="20"/>
          <w:color w:val="auto"/>
        </w:rPr>
      </w:pPr>
      <w:r>
        <w:rPr>
          <w:rFonts w:ascii="Arial" w:cs="Arial" w:eastAsia="Arial" w:hAnsi="Arial"/>
          <w:sz w:val="16"/>
          <w:szCs w:val="16"/>
          <w:color w:val="auto"/>
        </w:rPr>
        <w:t>Le Locataire convient de ne jamais consommer plus d'électricité que ne le permet une utilisation sure des circuits se trouvant dans les Lieux loues ou les desservant. Dans l’éventualité où, selon !'opinion du Bailleur, la consommation électrique du Locataire causerait une surcharge des circuits électriques, le Locataire devra réduire son utilisation desdits circuits de façon à éviter une telle surcharge ou a défaut, il devra permettre au Bailleur d’effectuer les modifications nécessaires afin d'assurer une utilisation sore des circuits et payer le cout desdites modifications au Bailleur.</w:t>
      </w:r>
    </w:p>
    <w:p>
      <w:pPr>
        <w:spacing w:after="0" w:line="107" w:lineRule="exact"/>
        <w:rPr>
          <w:sz w:val="20"/>
          <w:szCs w:val="20"/>
          <w:color w:val="auto"/>
        </w:rPr>
      </w:pPr>
    </w:p>
    <w:p>
      <w:pPr>
        <w:jc w:val="both"/>
        <w:ind w:left="1440"/>
        <w:spacing w:after="0" w:line="267" w:lineRule="auto"/>
        <w:rPr>
          <w:sz w:val="20"/>
          <w:szCs w:val="20"/>
          <w:color w:val="auto"/>
        </w:rPr>
      </w:pPr>
      <w:r>
        <w:rPr>
          <w:rFonts w:ascii="Arial" w:cs="Arial" w:eastAsia="Arial" w:hAnsi="Arial"/>
          <w:sz w:val="16"/>
          <w:szCs w:val="16"/>
          <w:color w:val="auto"/>
        </w:rPr>
        <w:t>Le Locataire reconnait que le présent bail n'oblige en aucun cas le Bailleur a founir au Locataire l'électricité, le chauffage, la climatisation ou autre service dent ce demier pourrait avoir besoin en raison de l'utilisation dans les Lieux loues d'équipements spéciaux.</w:t>
      </w:r>
    </w:p>
    <w:p>
      <w:pPr>
        <w:spacing w:after="0" w:line="207"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5"/>
          <w:szCs w:val="15"/>
          <w:color w:val="auto"/>
        </w:rPr>
        <w:t>Bruits, odeurs et substances nocives</w:t>
      </w:r>
    </w:p>
    <w:p>
      <w:pPr>
        <w:spacing w:after="0" w:line="267" w:lineRule="exact"/>
        <w:rPr>
          <w:sz w:val="20"/>
          <w:szCs w:val="20"/>
          <w:color w:val="auto"/>
        </w:rPr>
      </w:pPr>
    </w:p>
    <w:p>
      <w:pPr>
        <w:jc w:val="both"/>
        <w:ind w:left="1440"/>
        <w:spacing w:after="0" w:line="255" w:lineRule="auto"/>
        <w:rPr>
          <w:sz w:val="20"/>
          <w:szCs w:val="20"/>
          <w:color w:val="auto"/>
        </w:rPr>
      </w:pPr>
      <w:r>
        <w:rPr>
          <w:rFonts w:ascii="Arial" w:cs="Arial" w:eastAsia="Arial" w:hAnsi="Arial"/>
          <w:sz w:val="16"/>
          <w:szCs w:val="16"/>
          <w:color w:val="auto"/>
        </w:rPr>
        <w:t>Le Locataire n'occasionnera ni ne tolèrera quoi que ce soit de nuisible dans les Lieux loues ou leurs environs ni ne conservera aucune chose nuisible dans les Lieux loues ou leurs environs et maintiendra les Lieux loues libres de débris, de déchets, d'ordures de toutes sortes, de rongeurs, de vermines et de quoi que ce soit de nature dangereuse, nocive ou déplaisante ou susceptible de créer un risque d'incendie ou de vibrations, une chaleur ou des odeurs inusuelles ou désagréables ou des bruits excessifs ou n'importe quoi qui pourrait porter atteinte à la jouissance de l'immeuble et ses équipements par les clients et les autres Locataires de l'immeuble.</w:t>
      </w:r>
    </w:p>
    <w:p>
      <w:pPr>
        <w:spacing w:after="0" w:line="205" w:lineRule="exact"/>
        <w:rPr>
          <w:sz w:val="20"/>
          <w:szCs w:val="20"/>
          <w:color w:val="auto"/>
        </w:rPr>
      </w:pPr>
    </w:p>
    <w:p>
      <w:pPr>
        <w:ind w:left="1440"/>
        <w:spacing w:after="0" w:line="267" w:lineRule="auto"/>
        <w:rPr>
          <w:sz w:val="20"/>
          <w:szCs w:val="20"/>
          <w:color w:val="auto"/>
        </w:rPr>
      </w:pPr>
      <w:r>
        <w:rPr>
          <w:rFonts w:ascii="Arial" w:cs="Arial" w:eastAsia="Arial" w:hAnsi="Arial"/>
          <w:sz w:val="16"/>
          <w:szCs w:val="16"/>
          <w:color w:val="auto"/>
        </w:rPr>
        <w:t>Si le Locataire est en défaut en vertu de l'alinéa précèdent, il devra apporter les corrections nécessaires exigées par le Bailleur et a défaut d'apporter lesdites corrections nécessaires, le Bailleur pourra à son gré, effectuer lesdites corrections, le tout aux frais du Locataire.</w:t>
      </w:r>
    </w:p>
    <w:p>
      <w:pPr>
        <w:sectPr>
          <w:pgSz w:w="11900" w:h="16838" w:orient="portrait"/>
          <w:cols w:equalWidth="0" w:num="1">
            <w:col w:w="10120"/>
          </w:cols>
          <w:pgMar w:left="1440" w:top="82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5"/>
          <w:szCs w:val="15"/>
          <w:color w:val="auto"/>
        </w:rPr>
        <w:t>Usage des accessoires</w:t>
      </w:r>
    </w:p>
    <w:p>
      <w:pPr>
        <w:spacing w:after="0" w:line="25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Le Locataire devra :</w:t>
      </w:r>
    </w:p>
    <w:p>
      <w:pPr>
        <w:spacing w:after="0" w:line="280" w:lineRule="exact"/>
        <w:rPr>
          <w:sz w:val="20"/>
          <w:szCs w:val="20"/>
          <w:color w:val="auto"/>
        </w:rPr>
      </w:pPr>
    </w:p>
    <w:p>
      <w:pPr>
        <w:ind w:left="1440" w:hanging="326"/>
        <w:spacing w:after="0" w:line="258" w:lineRule="auto"/>
        <w:tabs>
          <w:tab w:leader="none" w:pos="14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veiller à ce qu'aucun dommage ne soit cause au système de chauffage, aux conduites d'eau, de gaz et d'électricité, aux toilettes, éviers et autres accessoires se trouvant sur les Lieux loues;</w:t>
      </w:r>
    </w:p>
    <w:p>
      <w:pPr>
        <w:spacing w:after="0" w:line="213" w:lineRule="exact"/>
        <w:rPr>
          <w:rFonts w:ascii="Arial" w:cs="Arial" w:eastAsia="Arial" w:hAnsi="Arial"/>
          <w:sz w:val="16"/>
          <w:szCs w:val="16"/>
          <w:color w:val="auto"/>
        </w:rPr>
      </w:pPr>
    </w:p>
    <w:p>
      <w:pPr>
        <w:ind w:left="1420" w:hanging="303"/>
        <w:spacing w:after="0"/>
        <w:tabs>
          <w:tab w:leader="none" w:pos="1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faire en sorte qu'aucune saleté ou autre embarras n'empêche le fonctionnement de ces accessoires;</w:t>
      </w:r>
    </w:p>
    <w:p>
      <w:pPr>
        <w:spacing w:after="0" w:line="266" w:lineRule="exact"/>
        <w:rPr>
          <w:rFonts w:ascii="Arial" w:cs="Arial" w:eastAsia="Arial" w:hAnsi="Arial"/>
          <w:sz w:val="16"/>
          <w:szCs w:val="16"/>
          <w:color w:val="auto"/>
        </w:rPr>
      </w:pPr>
    </w:p>
    <w:p>
      <w:pPr>
        <w:ind w:left="1440" w:right="240" w:hanging="329"/>
        <w:spacing w:after="0" w:line="275" w:lineRule="auto"/>
        <w:tabs>
          <w:tab w:leader="none" w:pos="14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aviser le Bailleur ou ses préposes, au meilleur de ses connaissances, des qu'une défectuosité quelconque est constatée dans l’un ou l'autre de ces accessoires.</w:t>
      </w:r>
    </w:p>
    <w:p>
      <w:pPr>
        <w:spacing w:after="0" w:line="200" w:lineRule="exact"/>
        <w:rPr>
          <w:sz w:val="20"/>
          <w:szCs w:val="20"/>
          <w:color w:val="auto"/>
        </w:rPr>
      </w:pPr>
    </w:p>
    <w:p>
      <w:pPr>
        <w:spacing w:after="0" w:line="253"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12.5</w:t>
      </w:r>
      <w:r>
        <w:rPr>
          <w:sz w:val="20"/>
          <w:szCs w:val="20"/>
          <w:color w:val="auto"/>
        </w:rPr>
        <w:tab/>
      </w:r>
      <w:r>
        <w:rPr>
          <w:rFonts w:ascii="Arial" w:cs="Arial" w:eastAsia="Arial" w:hAnsi="Arial"/>
          <w:sz w:val="15"/>
          <w:szCs w:val="15"/>
          <w:color w:val="auto"/>
        </w:rPr>
        <w:t>Accès aux lieux</w:t>
      </w:r>
    </w:p>
    <w:p>
      <w:pPr>
        <w:spacing w:after="0" w:line="161" w:lineRule="exact"/>
        <w:rPr>
          <w:sz w:val="20"/>
          <w:szCs w:val="20"/>
          <w:color w:val="auto"/>
        </w:rPr>
      </w:pPr>
    </w:p>
    <w:p>
      <w:pPr>
        <w:jc w:val="both"/>
        <w:ind w:left="1440"/>
        <w:spacing w:after="0" w:line="293" w:lineRule="auto"/>
        <w:rPr>
          <w:sz w:val="20"/>
          <w:szCs w:val="20"/>
          <w:color w:val="auto"/>
        </w:rPr>
      </w:pPr>
      <w:r>
        <w:rPr>
          <w:rFonts w:ascii="Arial" w:cs="Arial" w:eastAsia="Arial" w:hAnsi="Arial"/>
          <w:sz w:val="15"/>
          <w:szCs w:val="15"/>
          <w:color w:val="auto"/>
        </w:rPr>
        <w:t>Le Locataire devra permettre l'accès des Lieux loues au Bailleur ou a ses employés en tout temps en cas de nécessité aux fins d'en constater la condition, vérifier le système de chauffage ou de climatisation, ou pour toutes autres fins. Toutefois, le Bailleur devra faire parvenir un avis (verbal ou écrit) avant de faire une visite, sauf exception pour un cas d'urgence.</w:t>
      </w:r>
    </w:p>
    <w:p>
      <w:pPr>
        <w:spacing w:after="0" w:line="200" w:lineRule="exact"/>
        <w:rPr>
          <w:sz w:val="20"/>
          <w:szCs w:val="20"/>
          <w:color w:val="auto"/>
        </w:rPr>
      </w:pPr>
    </w:p>
    <w:p>
      <w:pPr>
        <w:spacing w:after="0" w:line="25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13.</w:t>
        <w:tab/>
        <w:t>ASSURANCES</w:t>
      </w:r>
    </w:p>
    <w:p>
      <w:pPr>
        <w:spacing w:after="0" w:line="240" w:lineRule="exact"/>
        <w:rPr>
          <w:sz w:val="20"/>
          <w:szCs w:val="20"/>
          <w:color w:val="auto"/>
        </w:rPr>
      </w:pPr>
    </w:p>
    <w:p>
      <w:pPr>
        <w:jc w:val="both"/>
        <w:ind w:left="540" w:firstLine="471"/>
        <w:spacing w:after="0" w:line="270" w:lineRule="auto"/>
        <w:rPr>
          <w:sz w:val="20"/>
          <w:szCs w:val="20"/>
          <w:color w:val="auto"/>
        </w:rPr>
      </w:pPr>
      <w:r>
        <w:rPr>
          <w:rFonts w:ascii="Arial" w:cs="Arial" w:eastAsia="Arial" w:hAnsi="Arial"/>
          <w:sz w:val="16"/>
          <w:szCs w:val="16"/>
          <w:color w:val="auto"/>
        </w:rPr>
        <w:t>Le Locataire devra respecter les règles et exigences de l‘organisation consultative des assureurs du Canada ou de toute autre organisation lui succédant, ainsi que les exigences de toutes compagnies d'assurances ayant émis les polices d'assurances en vigueur couvrant l'immeuble, quelle qu'en· soit la nature, y compris les polices d'assurances contre la responsabilité délictuelle ou quasi délictuelle.</w:t>
      </w:r>
    </w:p>
    <w:p>
      <w:pPr>
        <w:spacing w:after="0" w:line="206" w:lineRule="exact"/>
        <w:rPr>
          <w:sz w:val="20"/>
          <w:szCs w:val="20"/>
          <w:color w:val="auto"/>
        </w:rPr>
      </w:pPr>
    </w:p>
    <w:p>
      <w:pPr>
        <w:jc w:val="both"/>
        <w:ind w:left="540" w:firstLine="474"/>
        <w:spacing w:after="0" w:line="259" w:lineRule="auto"/>
        <w:rPr>
          <w:sz w:val="20"/>
          <w:szCs w:val="20"/>
          <w:color w:val="auto"/>
        </w:rPr>
      </w:pPr>
      <w:r>
        <w:rPr>
          <w:rFonts w:ascii="Arial" w:cs="Arial" w:eastAsia="Arial" w:hAnsi="Arial"/>
          <w:sz w:val="16"/>
          <w:szCs w:val="16"/>
          <w:color w:val="auto"/>
        </w:rPr>
        <w:t>Advenant le cas où le taux des primes de toute police d'assurances couvrant l'immeuble serait majoré en raison d'une infraction au présent bail par le Locataire, ou d'un changement dans les modalités d'exploitation du commerce du Locataire, le Bailleur pourra, en sus de tous ses autres recours, payer le montant de cette majoration, et ce montant deviendra immédiatement du et payable par le Locataire et recouvrable a titre de loyer additionnel.</w:t>
      </w:r>
    </w:p>
    <w:p>
      <w:pPr>
        <w:spacing w:after="0" w:line="239" w:lineRule="exact"/>
        <w:rPr>
          <w:sz w:val="20"/>
          <w:szCs w:val="20"/>
          <w:color w:val="auto"/>
        </w:rPr>
      </w:pPr>
    </w:p>
    <w:p>
      <w:pPr>
        <w:jc w:val="both"/>
        <w:ind w:left="540" w:firstLine="472"/>
        <w:spacing w:after="0" w:line="254" w:lineRule="auto"/>
        <w:rPr>
          <w:sz w:val="20"/>
          <w:szCs w:val="20"/>
          <w:color w:val="auto"/>
        </w:rPr>
      </w:pPr>
      <w:r>
        <w:rPr>
          <w:rFonts w:ascii="Arial" w:cs="Arial" w:eastAsia="Arial" w:hAnsi="Arial"/>
          <w:sz w:val="16"/>
          <w:szCs w:val="16"/>
          <w:color w:val="auto"/>
        </w:rPr>
        <w:t>Le Locataire devra également maintenir en vigueur, pendant toute la durée du présent bail, a ses propres dépens, une assurance contre la responsabilité civile a couverture étendue avec le Bailleur nomme comme assure additionnel pour un montant d'au moins deux million de dollars (2 000 000,00$) et avec des polices en forme satisfaisante en tout temps au Bailleur et auprès d'assureurs acceptables au Bailleur et le montant d'assurance tous risques couvrant les réclamations en cas de décès, de blessures corporelles aux personnes et de dommages matériels dans les Lieux loues couvrant les meubles, équipements, améliorations provenant d'u commerce exploite par le Locataire, dans l'immeuble ou de l'utilisation ou l'occupation des Lieux loues. Une copie de toute police d'assurances, des que contractée, sera immédiatement livrée au Bailleur. Toute police ainsi contractée doit nommer le Bailleur comme assure additionnel.</w:t>
      </w:r>
    </w:p>
    <w:p>
      <w:pPr>
        <w:spacing w:after="0" w:line="99" w:lineRule="exact"/>
        <w:rPr>
          <w:sz w:val="20"/>
          <w:szCs w:val="20"/>
          <w:color w:val="auto"/>
        </w:rPr>
      </w:pPr>
    </w:p>
    <w:p>
      <w:pPr>
        <w:jc w:val="both"/>
        <w:ind w:left="540" w:firstLine="472"/>
        <w:spacing w:after="0" w:line="253" w:lineRule="auto"/>
        <w:rPr>
          <w:sz w:val="20"/>
          <w:szCs w:val="20"/>
          <w:color w:val="auto"/>
        </w:rPr>
      </w:pPr>
      <w:r>
        <w:rPr>
          <w:rFonts w:ascii="Arial" w:cs="Arial" w:eastAsia="Arial" w:hAnsi="Arial"/>
          <w:sz w:val="16"/>
          <w:szCs w:val="16"/>
          <w:color w:val="auto"/>
        </w:rPr>
        <w:t>L’assurance responsabilité civile a couverture étendue contiendra une clause de responsabilité réciproque. Le cout ou les primes pour toutes et chacune de telles polices d'assurances sera paye par le Locataire. Le Locataire obtiendra de la part de ses assureurs a telles polices d'assurances, des engagements de notifier le Bailleur par écrit, au moins trente (30) jours avant toute annulation des polices d'assurances.</w:t>
      </w:r>
    </w:p>
    <w:p>
      <w:pPr>
        <w:sectPr>
          <w:pgSz w:w="11900" w:h="16838" w:orient="portrait"/>
          <w:cols w:equalWidth="0" w:num="1">
            <w:col w:w="10120"/>
          </w:cols>
          <w:pgMar w:left="1440" w:top="82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540" w:firstLine="470"/>
        <w:spacing w:after="0" w:line="275" w:lineRule="auto"/>
        <w:rPr>
          <w:sz w:val="20"/>
          <w:szCs w:val="20"/>
          <w:color w:val="auto"/>
        </w:rPr>
      </w:pPr>
      <w:r>
        <w:rPr>
          <w:rFonts w:ascii="Arial" w:cs="Arial" w:eastAsia="Arial" w:hAnsi="Arial"/>
          <w:sz w:val="15"/>
          <w:szCs w:val="15"/>
          <w:color w:val="auto"/>
        </w:rPr>
        <w:t>Le Locataire devra remettre au Bailleur des certificats attestant la souscription de telles polices d'assurances, émis par la firme de courtiers du Locataire, et ce dès leur souscription, laquelle devra avoir été réalisée avant l'entrée en vigueur du présent bail. A défaut par le Locataire d'obtenir ou de maintenir en vigueur telles assurances, le Bailleur aura le droit d'y procéder et d'effectuer le paiement des primes à cet effet et dans tel cas, le Locataire s'engage à payer au Bailleur le montant ainsi paye comme prime, lequel montant sera exigible à titre de· loyer additionnel, payable le premier (1er) jour du mois suivant la date de paiement effectue par le Bailleur.</w:t>
      </w:r>
    </w:p>
    <w:p>
      <w:pPr>
        <w:spacing w:after="0" w:line="125" w:lineRule="exact"/>
        <w:rPr>
          <w:sz w:val="20"/>
          <w:szCs w:val="20"/>
          <w:color w:val="auto"/>
        </w:rPr>
      </w:pPr>
    </w:p>
    <w:p>
      <w:pPr>
        <w:jc w:val="both"/>
        <w:ind w:left="540" w:firstLine="472"/>
        <w:spacing w:after="0" w:line="259" w:lineRule="auto"/>
        <w:rPr>
          <w:sz w:val="20"/>
          <w:szCs w:val="20"/>
          <w:color w:val="auto"/>
        </w:rPr>
      </w:pPr>
      <w:r>
        <w:rPr>
          <w:rFonts w:ascii="Arial" w:cs="Arial" w:eastAsia="Arial" w:hAnsi="Arial"/>
          <w:sz w:val="16"/>
          <w:szCs w:val="16"/>
          <w:color w:val="auto"/>
        </w:rPr>
        <w:t>Pendant toute la durée du présent bail, le Locataire devra assurer et maintenir en vigueur des assurances contre les risques d'incendie, avec couverture étendue et tous les autres risques et hasards, notamment une assurance centre les dégâts occasionnes par l'eau, le vol et le vandalisme, pour le plein montant de la valeur de remplacement de taus les objets se trouvant dans ou sur les Lieux loues et plus spécialement, mais sans limiter la généralité de ce qui· précède, l'ameublement, les agencèrent, les améliorations locatives et la marchandise ainsi que les glaces au vitres y compris les portes vitrées.</w:t>
      </w:r>
    </w:p>
    <w:p>
      <w:pPr>
        <w:spacing w:after="0" w:line="213" w:lineRule="exact"/>
        <w:rPr>
          <w:sz w:val="20"/>
          <w:szCs w:val="20"/>
          <w:color w:val="auto"/>
        </w:rPr>
      </w:pPr>
    </w:p>
    <w:p>
      <w:pPr>
        <w:jc w:val="both"/>
        <w:ind w:left="540" w:firstLine="472"/>
        <w:spacing w:after="0" w:line="275" w:lineRule="auto"/>
        <w:rPr>
          <w:sz w:val="20"/>
          <w:szCs w:val="20"/>
          <w:color w:val="auto"/>
        </w:rPr>
      </w:pPr>
      <w:r>
        <w:rPr>
          <w:rFonts w:ascii="Arial" w:cs="Arial" w:eastAsia="Arial" w:hAnsi="Arial"/>
          <w:sz w:val="16"/>
          <w:szCs w:val="16"/>
          <w:color w:val="auto"/>
        </w:rPr>
        <w:t>Les recommandations faites par le Bailleur au Locataire, par suite d'inspection des assureurs ou de leurs représentants, devront être suivies et le. Locataire devra en défrayer le coût si des installations spéciales et spécifiques sent requises.</w:t>
      </w:r>
    </w:p>
    <w:p>
      <w:pPr>
        <w:spacing w:after="0" w:line="200" w:lineRule="exact"/>
        <w:rPr>
          <w:sz w:val="20"/>
          <w:szCs w:val="20"/>
          <w:color w:val="auto"/>
        </w:rPr>
      </w:pPr>
    </w:p>
    <w:p>
      <w:pPr>
        <w:spacing w:after="0" w:line="253"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13.1</w:t>
      </w:r>
      <w:r>
        <w:rPr>
          <w:sz w:val="20"/>
          <w:szCs w:val="20"/>
          <w:color w:val="auto"/>
        </w:rPr>
        <w:tab/>
      </w:r>
      <w:r>
        <w:rPr>
          <w:rFonts w:ascii="Arial" w:cs="Arial" w:eastAsia="Arial" w:hAnsi="Arial"/>
          <w:sz w:val="15"/>
          <w:szCs w:val="15"/>
          <w:color w:val="auto"/>
        </w:rPr>
        <w:t>Vol et vandalisme</w:t>
      </w:r>
    </w:p>
    <w:p>
      <w:pPr>
        <w:spacing w:after="0" w:line="121" w:lineRule="exact"/>
        <w:rPr>
          <w:sz w:val="20"/>
          <w:szCs w:val="20"/>
          <w:color w:val="auto"/>
        </w:rPr>
      </w:pPr>
    </w:p>
    <w:p>
      <w:pPr>
        <w:jc w:val="both"/>
        <w:ind w:left="1440"/>
        <w:spacing w:after="0" w:line="275" w:lineRule="auto"/>
        <w:rPr>
          <w:sz w:val="20"/>
          <w:szCs w:val="20"/>
          <w:color w:val="auto"/>
        </w:rPr>
      </w:pPr>
      <w:r>
        <w:rPr>
          <w:rFonts w:ascii="Arial" w:cs="Arial" w:eastAsia="Arial" w:hAnsi="Arial"/>
          <w:sz w:val="16"/>
          <w:szCs w:val="16"/>
          <w:color w:val="auto"/>
        </w:rPr>
        <w:t>Le Locataire s'engage à ne rendre en aucun cas le propriétaire responsable en cas de vol et/au vandalisme commis dans les Lieux loues, sauf en cas de grossière négligence de la part du Bailleur.</w:t>
      </w:r>
    </w:p>
    <w:p>
      <w:pPr>
        <w:spacing w:after="0" w:line="200" w:lineRule="exact"/>
        <w:rPr>
          <w:sz w:val="20"/>
          <w:szCs w:val="20"/>
          <w:color w:val="auto"/>
        </w:rPr>
      </w:pPr>
    </w:p>
    <w:p>
      <w:pPr>
        <w:spacing w:after="0" w:line="240"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13.2</w:t>
      </w:r>
      <w:r>
        <w:rPr>
          <w:sz w:val="20"/>
          <w:szCs w:val="20"/>
          <w:color w:val="auto"/>
        </w:rPr>
        <w:tab/>
      </w:r>
      <w:r>
        <w:rPr>
          <w:rFonts w:ascii="Arial" w:cs="Arial" w:eastAsia="Arial" w:hAnsi="Arial"/>
          <w:sz w:val="15"/>
          <w:szCs w:val="15"/>
          <w:color w:val="auto"/>
        </w:rPr>
        <w:t>Priorité ou hypothèque</w:t>
      </w:r>
    </w:p>
    <w:p>
      <w:pPr>
        <w:spacing w:after="0" w:line="253" w:lineRule="exact"/>
        <w:rPr>
          <w:sz w:val="20"/>
          <w:szCs w:val="20"/>
          <w:color w:val="auto"/>
        </w:rPr>
      </w:pPr>
    </w:p>
    <w:p>
      <w:pPr>
        <w:jc w:val="both"/>
        <w:ind w:left="1440"/>
        <w:spacing w:after="0" w:line="254" w:lineRule="auto"/>
        <w:rPr>
          <w:sz w:val="20"/>
          <w:szCs w:val="20"/>
          <w:color w:val="auto"/>
        </w:rPr>
      </w:pPr>
      <w:r>
        <w:rPr>
          <w:rFonts w:ascii="Arial" w:cs="Arial" w:eastAsia="Arial" w:hAnsi="Arial"/>
          <w:sz w:val="16"/>
          <w:szCs w:val="16"/>
          <w:color w:val="auto"/>
        </w:rPr>
        <w:t>Il est bien convenu que tout travail effectue ou demande d'être exécuté par le Locataire le sera en son nom et que le Locataire n'est pas le mandataire du Bailleur. Le Locataire veillera à tenir le droit de propriété du Bailleur dans l'immeuble, incluant le terrain, franc et exempt de toute priorité, hypothèque ou créance prioritaire, pouvant résulter de tels travaux et dédommagera et tiendra le Bailleur indemne centre toute réclamation, toute perte, tous frais légaux ou autres et toute demande se rapportant à de tels travaux.</w:t>
      </w:r>
    </w:p>
    <w:p>
      <w:pPr>
        <w:spacing w:after="0" w:line="232" w:lineRule="exact"/>
        <w:rPr>
          <w:sz w:val="20"/>
          <w:szCs w:val="20"/>
          <w:color w:val="auto"/>
        </w:rPr>
      </w:pPr>
    </w:p>
    <w:p>
      <w:pPr>
        <w:jc w:val="both"/>
        <w:ind w:left="1440"/>
        <w:spacing w:after="0" w:line="267" w:lineRule="auto"/>
        <w:rPr>
          <w:sz w:val="20"/>
          <w:szCs w:val="20"/>
          <w:color w:val="auto"/>
        </w:rPr>
      </w:pPr>
      <w:r>
        <w:rPr>
          <w:rFonts w:ascii="Arial" w:cs="Arial" w:eastAsia="Arial" w:hAnsi="Arial"/>
          <w:sz w:val="16"/>
          <w:szCs w:val="16"/>
          <w:color w:val="auto"/>
        </w:rPr>
        <w:t>Le Locataire convient de ne pas permettre, faire au causer quoi que ce soit dans les Lieux loues qui puisse provoquer la publicité au l'inscription d'une priorité ou hypothèque, selon le cas, ou créance prioritaire, droit, charge ou affectation quelconque contre les Lieux loues ou l'immeuble.</w:t>
      </w:r>
    </w:p>
    <w:p>
      <w:pPr>
        <w:spacing w:after="0" w:line="200" w:lineRule="exact"/>
        <w:rPr>
          <w:sz w:val="20"/>
          <w:szCs w:val="20"/>
          <w:color w:val="auto"/>
        </w:rPr>
      </w:pPr>
    </w:p>
    <w:p>
      <w:pPr>
        <w:spacing w:after="0" w:line="233"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13.3</w:t>
      </w:r>
      <w:r>
        <w:rPr>
          <w:sz w:val="20"/>
          <w:szCs w:val="20"/>
          <w:color w:val="auto"/>
        </w:rPr>
        <w:tab/>
      </w:r>
      <w:r>
        <w:rPr>
          <w:rFonts w:ascii="Arial" w:cs="Arial" w:eastAsia="Arial" w:hAnsi="Arial"/>
          <w:sz w:val="15"/>
          <w:szCs w:val="15"/>
          <w:color w:val="auto"/>
        </w:rPr>
        <w:t>Respect des lois</w:t>
      </w:r>
    </w:p>
    <w:p>
      <w:pPr>
        <w:spacing w:after="0" w:line="94" w:lineRule="exact"/>
        <w:rPr>
          <w:sz w:val="20"/>
          <w:szCs w:val="20"/>
          <w:color w:val="auto"/>
        </w:rPr>
      </w:pPr>
    </w:p>
    <w:p>
      <w:pPr>
        <w:ind w:left="1440" w:right="160"/>
        <w:spacing w:after="0" w:line="275" w:lineRule="auto"/>
        <w:rPr>
          <w:sz w:val="20"/>
          <w:szCs w:val="20"/>
          <w:color w:val="auto"/>
        </w:rPr>
      </w:pPr>
      <w:r>
        <w:rPr>
          <w:rFonts w:ascii="Arial" w:cs="Arial" w:eastAsia="Arial" w:hAnsi="Arial"/>
          <w:sz w:val="16"/>
          <w:szCs w:val="16"/>
          <w:color w:val="auto"/>
        </w:rPr>
        <w:t>Le Locataire devra se conformer à taus les règlements concernant le feu, la police, l'hygiène et généralement a toutes les autres lois en vigueur.</w:t>
      </w:r>
    </w:p>
    <w:p>
      <w:pPr>
        <w:spacing w:after="0" w:line="228" w:lineRule="exact"/>
        <w:rPr>
          <w:sz w:val="20"/>
          <w:szCs w:val="20"/>
          <w:color w:val="auto"/>
        </w:rPr>
      </w:pPr>
    </w:p>
    <w:p>
      <w:pPr>
        <w:jc w:val="both"/>
        <w:ind w:left="1440"/>
        <w:spacing w:after="0" w:line="254" w:lineRule="auto"/>
        <w:rPr>
          <w:sz w:val="20"/>
          <w:szCs w:val="20"/>
          <w:color w:val="auto"/>
        </w:rPr>
      </w:pPr>
      <w:r>
        <w:rPr>
          <w:rFonts w:ascii="Arial" w:cs="Arial" w:eastAsia="Arial" w:hAnsi="Arial"/>
          <w:sz w:val="16"/>
          <w:szCs w:val="16"/>
          <w:color w:val="auto"/>
        </w:rPr>
        <w:t>Le Locataire obtiendra tous les permis ou licences nécessaires pour la conduite de ses affaires et l'occupation des Lieux loues et le Bailleur ne fait aucune représentation et ne donne aucune garantie quant aux règlements de zonage ou aux permis et licences qui pourraient être requis par les autorités compétentes pour les fins d'exploitation de l'entreprise du Locataire. Au cas où le Locataire ferait défaut d'obtenir tout permis ou licence requis, il demeure lie et tenu à l'exécution de ses obligations en vertu du présent bail.</w:t>
      </w:r>
    </w:p>
    <w:p>
      <w:pPr>
        <w:sectPr>
          <w:pgSz w:w="11900" w:h="16838" w:orient="portrait"/>
          <w:cols w:equalWidth="0" w:num="1">
            <w:col w:w="10120"/>
          </w:cols>
          <w:pgMar w:left="1440" w:top="82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13.4</w:t>
      </w:r>
      <w:r>
        <w:rPr>
          <w:sz w:val="20"/>
          <w:szCs w:val="20"/>
          <w:color w:val="auto"/>
        </w:rPr>
        <w:tab/>
      </w:r>
      <w:r>
        <w:rPr>
          <w:rFonts w:ascii="Arial" w:cs="Arial" w:eastAsia="Arial" w:hAnsi="Arial"/>
          <w:sz w:val="16"/>
          <w:szCs w:val="16"/>
          <w:color w:val="auto"/>
        </w:rPr>
        <w:t>Environnement</w:t>
      </w:r>
    </w:p>
    <w:p>
      <w:pPr>
        <w:spacing w:after="0" w:line="147" w:lineRule="exact"/>
        <w:rPr>
          <w:sz w:val="20"/>
          <w:szCs w:val="20"/>
          <w:color w:val="auto"/>
        </w:rPr>
      </w:pPr>
    </w:p>
    <w:p>
      <w:pPr>
        <w:jc w:val="both"/>
        <w:ind w:left="1440"/>
        <w:spacing w:after="0" w:line="293" w:lineRule="auto"/>
        <w:rPr>
          <w:sz w:val="20"/>
          <w:szCs w:val="20"/>
          <w:color w:val="auto"/>
        </w:rPr>
      </w:pPr>
      <w:r>
        <w:rPr>
          <w:rFonts w:ascii="Arial" w:cs="Arial" w:eastAsia="Arial" w:hAnsi="Arial"/>
          <w:sz w:val="16"/>
          <w:szCs w:val="16"/>
          <w:color w:val="auto"/>
        </w:rPr>
        <w:t>Le Locataire s'engage à ne pas utiliser, dans le cadre de ses activités, de matières dangereuses et, le cas échéant, il s'engage à prendre les mesures appropriées, conformes aux lois applicables, relativement à l'utilisation de celles-ci.</w:t>
      </w:r>
    </w:p>
    <w:p>
      <w:pPr>
        <w:spacing w:after="0" w:line="94" w:lineRule="exact"/>
        <w:rPr>
          <w:sz w:val="20"/>
          <w:szCs w:val="20"/>
          <w:color w:val="auto"/>
        </w:rPr>
      </w:pPr>
    </w:p>
    <w:p>
      <w:pPr>
        <w:jc w:val="both"/>
        <w:ind w:left="1440"/>
        <w:spacing w:after="0" w:line="259" w:lineRule="auto"/>
        <w:rPr>
          <w:sz w:val="20"/>
          <w:szCs w:val="20"/>
          <w:color w:val="auto"/>
        </w:rPr>
      </w:pPr>
      <w:r>
        <w:rPr>
          <w:rFonts w:ascii="Arial" w:cs="Arial" w:eastAsia="Arial" w:hAnsi="Arial"/>
          <w:sz w:val="16"/>
          <w:szCs w:val="16"/>
          <w:color w:val="auto"/>
        </w:rPr>
        <w:t>Le Locataire s'engage à ce que rémission, le transport, le dépôt, le déversement, le rejet au la disposition par le Locataire de toute matière dangereuse ou déchet (incluant eaux et huiles usées) dans le sol, l'atmosphère, l'eau ou au-dessus de l'eau, se fassent en conformité avec toutes les lois applicables. Le cas échéant, 'il s'engage à obtenir toutes les autorisations requises à cet égard des autorités compétentes et, lorsque requises, a produire les déclarations nécessaires auprès des autorités concernées.</w:t>
      </w:r>
    </w:p>
    <w:p>
      <w:pPr>
        <w:spacing w:after="0" w:line="226" w:lineRule="exact"/>
        <w:rPr>
          <w:sz w:val="20"/>
          <w:szCs w:val="20"/>
          <w:color w:val="auto"/>
        </w:rPr>
      </w:pPr>
    </w:p>
    <w:p>
      <w:pPr>
        <w:ind w:left="520" w:hanging="359"/>
        <w:spacing w:after="0"/>
        <w:tabs>
          <w:tab w:leader="none" w:pos="52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OBLIGATIONS DU BAILLEUR</w:t>
      </w:r>
    </w:p>
    <w:p>
      <w:pPr>
        <w:spacing w:after="0" w:line="253" w:lineRule="exact"/>
        <w:rPr>
          <w:rFonts w:ascii="Arial" w:cs="Arial" w:eastAsia="Arial" w:hAnsi="Arial"/>
          <w:sz w:val="16"/>
          <w:szCs w:val="16"/>
          <w:b w:val="1"/>
          <w:bCs w:val="1"/>
          <w:color w:val="auto"/>
        </w:rPr>
      </w:pPr>
    </w:p>
    <w:p>
      <w:pPr>
        <w:ind w:left="540"/>
        <w:spacing w:after="0"/>
        <w:rPr>
          <w:rFonts w:ascii="Arial" w:cs="Arial" w:eastAsia="Arial" w:hAnsi="Arial"/>
          <w:sz w:val="16"/>
          <w:szCs w:val="16"/>
          <w:b w:val="1"/>
          <w:bCs w:val="1"/>
          <w:color w:val="auto"/>
        </w:rPr>
      </w:pPr>
      <w:r>
        <w:rPr>
          <w:rFonts w:ascii="Arial" w:cs="Arial" w:eastAsia="Arial" w:hAnsi="Arial"/>
          <w:sz w:val="16"/>
          <w:szCs w:val="16"/>
          <w:color w:val="auto"/>
        </w:rPr>
        <w:t>Ce bail est fait en outre aux conditions suivantes que le Bailleur promet et s'oblige d'exécuter, soit de:</w:t>
      </w:r>
    </w:p>
    <w:p>
      <w:pPr>
        <w:spacing w:after="0" w:line="200" w:lineRule="exact"/>
        <w:rPr>
          <w:sz w:val="20"/>
          <w:szCs w:val="20"/>
          <w:color w:val="auto"/>
        </w:rPr>
      </w:pPr>
    </w:p>
    <w:p>
      <w:pPr>
        <w:spacing w:after="0" w:line="318"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14.1</w:t>
      </w:r>
      <w:r>
        <w:rPr>
          <w:sz w:val="20"/>
          <w:szCs w:val="20"/>
          <w:color w:val="auto"/>
        </w:rPr>
        <w:tab/>
      </w:r>
      <w:r>
        <w:rPr>
          <w:rFonts w:ascii="Arial" w:cs="Arial" w:eastAsia="Arial" w:hAnsi="Arial"/>
          <w:sz w:val="15"/>
          <w:szCs w:val="15"/>
          <w:color w:val="auto"/>
        </w:rPr>
        <w:t>Jouissance paisible</w:t>
      </w:r>
    </w:p>
    <w:p>
      <w:pPr>
        <w:spacing w:after="0" w:line="253" w:lineRule="exact"/>
        <w:rPr>
          <w:sz w:val="20"/>
          <w:szCs w:val="20"/>
          <w:color w:val="auto"/>
        </w:rPr>
      </w:pPr>
    </w:p>
    <w:p>
      <w:pPr>
        <w:jc w:val="both"/>
        <w:ind w:left="1440"/>
        <w:spacing w:after="0" w:line="293" w:lineRule="auto"/>
        <w:rPr>
          <w:sz w:val="20"/>
          <w:szCs w:val="20"/>
          <w:color w:val="auto"/>
        </w:rPr>
      </w:pPr>
      <w:r>
        <w:rPr>
          <w:rFonts w:ascii="Arial" w:cs="Arial" w:eastAsia="Arial" w:hAnsi="Arial"/>
          <w:sz w:val="16"/>
          <w:szCs w:val="16"/>
          <w:color w:val="auto"/>
        </w:rPr>
        <w:t>Le Bailleur garantit au Locataire qu'il aura la jouissance paisible et tranquille des Lieux Loues sans interruption ou trouble de jouissance de la part du Bailleur ou de ses représentants.</w:t>
      </w:r>
    </w:p>
    <w:p>
      <w:pPr>
        <w:spacing w:after="0" w:line="15" w:lineRule="exact"/>
        <w:rPr>
          <w:sz w:val="20"/>
          <w:szCs w:val="20"/>
          <w:color w:val="auto"/>
        </w:rPr>
      </w:pPr>
    </w:p>
    <w:p>
      <w:pPr>
        <w:jc w:val="both"/>
        <w:ind w:left="1440"/>
        <w:spacing w:after="0" w:line="267" w:lineRule="auto"/>
        <w:rPr>
          <w:sz w:val="20"/>
          <w:szCs w:val="20"/>
          <w:color w:val="auto"/>
        </w:rPr>
      </w:pPr>
      <w:r>
        <w:rPr>
          <w:rFonts w:ascii="Arial" w:cs="Arial" w:eastAsia="Arial" w:hAnsi="Arial"/>
          <w:sz w:val="16"/>
          <w:szCs w:val="16"/>
          <w:color w:val="auto"/>
        </w:rPr>
        <w:t>Le Bailleur s'engage à faire tout ce qui est raisonnablement dans les limites de son pouvoir, incluant prendre les mesures légales qui s'imposent pour faire cesser tout trouble de jouissance cause par un locataire de l'Édifice et empêcher tout locataire de l'Édifice d'endommager les Lieux Loues.</w:t>
      </w:r>
    </w:p>
    <w:p>
      <w:pPr>
        <w:spacing w:after="0" w:line="194"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14.2</w:t>
      </w:r>
      <w:r>
        <w:rPr>
          <w:sz w:val="20"/>
          <w:szCs w:val="20"/>
          <w:color w:val="auto"/>
        </w:rPr>
        <w:tab/>
      </w:r>
      <w:r>
        <w:rPr>
          <w:rFonts w:ascii="Arial" w:cs="Arial" w:eastAsia="Arial" w:hAnsi="Arial"/>
          <w:sz w:val="15"/>
          <w:szCs w:val="15"/>
          <w:color w:val="auto"/>
        </w:rPr>
        <w:t>Mur périmétrique</w:t>
      </w:r>
    </w:p>
    <w:p>
      <w:pPr>
        <w:spacing w:after="0" w:line="280" w:lineRule="exact"/>
        <w:rPr>
          <w:sz w:val="20"/>
          <w:szCs w:val="20"/>
          <w:color w:val="auto"/>
        </w:rPr>
      </w:pPr>
    </w:p>
    <w:p>
      <w:pPr>
        <w:jc w:val="both"/>
        <w:ind w:left="1440"/>
        <w:spacing w:after="0" w:line="275" w:lineRule="auto"/>
        <w:rPr>
          <w:sz w:val="20"/>
          <w:szCs w:val="20"/>
          <w:color w:val="auto"/>
        </w:rPr>
      </w:pPr>
      <w:r>
        <w:rPr>
          <w:rFonts w:ascii="Arial" w:cs="Arial" w:eastAsia="Arial" w:hAnsi="Arial"/>
          <w:sz w:val="16"/>
          <w:szCs w:val="16"/>
          <w:color w:val="auto"/>
        </w:rPr>
        <w:t>Taus les murs requis pour séparer les Lieux Loues de tout autre espace, seront construits par et aux frais du Bailleur en répondant aux standards de l'Édifice quant à l'isolation et à l'insonorisation.</w:t>
      </w:r>
    </w:p>
    <w:p>
      <w:pPr>
        <w:spacing w:after="0" w:line="188"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14.3</w:t>
      </w:r>
      <w:r>
        <w:rPr>
          <w:sz w:val="20"/>
          <w:szCs w:val="20"/>
          <w:color w:val="auto"/>
        </w:rPr>
        <w:tab/>
      </w:r>
      <w:r>
        <w:rPr>
          <w:rFonts w:ascii="Arial" w:cs="Arial" w:eastAsia="Arial" w:hAnsi="Arial"/>
          <w:sz w:val="16"/>
          <w:szCs w:val="16"/>
          <w:color w:val="auto"/>
        </w:rPr>
        <w:t>Assurances</w:t>
      </w:r>
    </w:p>
    <w:p>
      <w:pPr>
        <w:spacing w:after="0" w:line="147" w:lineRule="exact"/>
        <w:rPr>
          <w:sz w:val="20"/>
          <w:szCs w:val="20"/>
          <w:color w:val="auto"/>
        </w:rPr>
      </w:pPr>
    </w:p>
    <w:p>
      <w:pPr>
        <w:jc w:val="both"/>
        <w:ind w:left="1440"/>
        <w:spacing w:after="0" w:line="293" w:lineRule="auto"/>
        <w:rPr>
          <w:sz w:val="20"/>
          <w:szCs w:val="20"/>
          <w:color w:val="auto"/>
        </w:rPr>
      </w:pPr>
      <w:r>
        <w:rPr>
          <w:rFonts w:ascii="Arial" w:cs="Arial" w:eastAsia="Arial" w:hAnsi="Arial"/>
          <w:sz w:val="16"/>
          <w:szCs w:val="16"/>
          <w:color w:val="auto"/>
        </w:rPr>
        <w:t xml:space="preserve">Le Bailleur s'engage a souscrire les assurances couvrant sa responsabilité civile, la perte de ses revenus locatifs, les chaudières </w:t>
      </w:r>
      <w:r>
        <w:rPr>
          <w:rFonts w:ascii="Arial" w:cs="Arial" w:eastAsia="Arial" w:hAnsi="Arial"/>
          <w:sz w:val="16"/>
          <w:szCs w:val="16"/>
          <w:i w:val="1"/>
          <w:iCs w:val="1"/>
          <w:color w:val="auto"/>
        </w:rPr>
        <w:t>et</w:t>
      </w:r>
      <w:r>
        <w:rPr>
          <w:rFonts w:ascii="Arial" w:cs="Arial" w:eastAsia="Arial" w:hAnsi="Arial"/>
          <w:sz w:val="16"/>
          <w:szCs w:val="16"/>
          <w:color w:val="auto"/>
        </w:rPr>
        <w:t xml:space="preserve"> les machines ainsi que l'incendie de l'immeuble.</w:t>
      </w:r>
    </w:p>
    <w:p>
      <w:pPr>
        <w:spacing w:after="0" w:line="200" w:lineRule="exact"/>
        <w:rPr>
          <w:sz w:val="20"/>
          <w:szCs w:val="20"/>
          <w:color w:val="auto"/>
        </w:rPr>
      </w:pPr>
    </w:p>
    <w:p>
      <w:pPr>
        <w:spacing w:after="0" w:line="23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5"/>
          <w:szCs w:val="15"/>
          <w:b w:val="1"/>
          <w:bCs w:val="1"/>
          <w:color w:val="auto"/>
        </w:rPr>
        <w:t>INCENDIE OU FORCE MAJEURE</w:t>
      </w:r>
    </w:p>
    <w:p>
      <w:pPr>
        <w:spacing w:after="0" w:line="253" w:lineRule="exact"/>
        <w:rPr>
          <w:sz w:val="20"/>
          <w:szCs w:val="20"/>
          <w:color w:val="auto"/>
        </w:rPr>
      </w:pPr>
    </w:p>
    <w:p>
      <w:pPr>
        <w:ind w:left="540" w:hanging="5"/>
        <w:spacing w:after="0" w:line="275" w:lineRule="auto"/>
        <w:rPr>
          <w:sz w:val="20"/>
          <w:szCs w:val="20"/>
          <w:color w:val="auto"/>
        </w:rPr>
      </w:pPr>
      <w:r>
        <w:rPr>
          <w:rFonts w:ascii="Arial" w:cs="Arial" w:eastAsia="Arial" w:hAnsi="Arial"/>
          <w:sz w:val="16"/>
          <w:szCs w:val="16"/>
          <w:color w:val="auto"/>
        </w:rPr>
        <w:t>Dans le cas où l'un ou l'autre de l’immeuble abritant les Lieux loues au les Lieux loues, ou les deux seraient détruits et/ou endommagés par un sinistre de quelque nature que ce soit, alors :</w:t>
      </w:r>
    </w:p>
    <w:p>
      <w:pPr>
        <w:spacing w:after="0" w:line="201" w:lineRule="exact"/>
        <w:rPr>
          <w:sz w:val="20"/>
          <w:szCs w:val="20"/>
          <w:color w:val="auto"/>
        </w:rPr>
      </w:pPr>
    </w:p>
    <w:p>
      <w:pPr>
        <w:jc w:val="both"/>
        <w:ind w:left="540" w:hanging="314"/>
        <w:spacing w:after="0" w:line="259" w:lineRule="auto"/>
        <w:tabs>
          <w:tab w:leader="none" w:pos="534" w:val="left"/>
        </w:tabs>
        <w:numPr>
          <w:ilvl w:val="0"/>
          <w:numId w:val="61"/>
        </w:numPr>
        <w:rPr>
          <w:rFonts w:ascii="Arial" w:cs="Arial" w:eastAsia="Arial" w:hAnsi="Arial"/>
          <w:sz w:val="16"/>
          <w:szCs w:val="16"/>
          <w:color w:val="auto"/>
        </w:rPr>
      </w:pPr>
      <w:r>
        <w:rPr>
          <w:rFonts w:ascii="Arial" w:cs="Arial" w:eastAsia="Arial" w:hAnsi="Arial"/>
          <w:sz w:val="16"/>
          <w:szCs w:val="16"/>
          <w:color w:val="auto"/>
        </w:rPr>
        <w:t>si le Bailleur est d'avis que les dommages ou la destruction sont tels que les Lieux loues sont devenus totalement inutilisables ou qu'il est impossible ou dangereux de les utiliser et si, dans l'un au l'autre cas, le Bailleur est également d'avis que les dommages ne peuvent pas être répares avec diligence raisonnable dans tes quatre-vingt-dix (90) jours suivant le sinistre (avis qui devra être donne par écrit au Locataire dans les trente (30) jours suivant le sinistre), l'une ou l'autre partie pourra, dans les cinq (5) jours suivant la signification de cet avis, résilier le bail en transmettant un avis écrit à cet effet</w:t>
      </w:r>
    </w:p>
    <w:p>
      <w:pPr>
        <w:sectPr>
          <w:pgSz w:w="11900" w:h="16838" w:orient="portrait"/>
          <w:cols w:equalWidth="0" w:num="1">
            <w:col w:w="10120"/>
          </w:cols>
          <w:pgMar w:left="1440" w:top="82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540" w:hanging="318"/>
        <w:spacing w:after="0" w:line="267" w:lineRule="auto"/>
        <w:tabs>
          <w:tab w:leader="none" w:pos="5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à l'autre partie, et alors le bail prendra fin le jour du sinistre et le layer sera alors calcule et intégralement paye jusqu'au jour du sinistre; au cas ou ni le Bailleur ni le Locataire ne résiliaient le bail, le loyer sera alors suspendu du jour du sinistre jusqu'au jour ou les dommages auront été réparés de manière à permettre l'usage des Lieux loues par le Locataire;</w:t>
      </w:r>
    </w:p>
    <w:p>
      <w:pPr>
        <w:spacing w:after="0" w:line="127" w:lineRule="exact"/>
        <w:rPr>
          <w:rFonts w:ascii="Arial" w:cs="Arial" w:eastAsia="Arial" w:hAnsi="Arial"/>
          <w:sz w:val="16"/>
          <w:szCs w:val="16"/>
          <w:color w:val="auto"/>
        </w:rPr>
      </w:pPr>
    </w:p>
    <w:p>
      <w:pPr>
        <w:jc w:val="both"/>
        <w:ind w:left="540" w:hanging="320"/>
        <w:spacing w:after="0" w:line="254" w:lineRule="auto"/>
        <w:tabs>
          <w:tab w:leader="none" w:pos="528" w:val="left"/>
        </w:tabs>
        <w:numPr>
          <w:ilvl w:val="0"/>
          <w:numId w:val="62"/>
        </w:numPr>
        <w:rPr>
          <w:rFonts w:ascii="Arial" w:cs="Arial" w:eastAsia="Arial" w:hAnsi="Arial"/>
          <w:sz w:val="16"/>
          <w:szCs w:val="16"/>
          <w:color w:val="auto"/>
        </w:rPr>
      </w:pPr>
      <w:r>
        <w:rPr>
          <w:rFonts w:ascii="Arial" w:cs="Arial" w:eastAsia="Arial" w:hAnsi="Arial"/>
          <w:sz w:val="16"/>
          <w:szCs w:val="16"/>
          <w:color w:val="auto"/>
        </w:rPr>
        <w:t>si les dommages sent tels que les Lieux loues sent totalement inutilisables ou s'il est impossible ou dangereux de les utiliser, mais que, dans l'un ou l'autre cas, le Bailleur est d'avis que les dommages peuvent être réparés avec diligence raisonnable dans les quatre-vingt-dix (90) jours suivant le sinistre (avis qui devra être donne par écrit au Locataire dans les trente (30) jours suivant le sinistre), le loyer sera suspendu du jour du sinistre jusqu'au jour ou les dommages auront été répares de manière à permettre l'usage des Lieux loues par le Locataire;</w:t>
      </w:r>
    </w:p>
    <w:p>
      <w:pPr>
        <w:spacing w:after="0" w:line="232" w:lineRule="exact"/>
        <w:rPr>
          <w:rFonts w:ascii="Arial" w:cs="Arial" w:eastAsia="Arial" w:hAnsi="Arial"/>
          <w:sz w:val="16"/>
          <w:szCs w:val="16"/>
          <w:color w:val="auto"/>
        </w:rPr>
      </w:pPr>
    </w:p>
    <w:p>
      <w:pPr>
        <w:jc w:val="both"/>
        <w:ind w:left="540" w:hanging="314"/>
        <w:spacing w:after="0" w:line="259" w:lineRule="auto"/>
        <w:tabs>
          <w:tab w:leader="none" w:pos="534" w:val="left"/>
        </w:tabs>
        <w:numPr>
          <w:ilvl w:val="0"/>
          <w:numId w:val="62"/>
        </w:numPr>
        <w:rPr>
          <w:rFonts w:ascii="Arial" w:cs="Arial" w:eastAsia="Arial" w:hAnsi="Arial"/>
          <w:sz w:val="16"/>
          <w:szCs w:val="16"/>
          <w:color w:val="auto"/>
        </w:rPr>
      </w:pPr>
      <w:r>
        <w:rPr>
          <w:rFonts w:ascii="Arial" w:cs="Arial" w:eastAsia="Arial" w:hAnsi="Arial"/>
          <w:sz w:val="16"/>
          <w:szCs w:val="16"/>
          <w:color w:val="auto"/>
        </w:rPr>
        <w:t>si le Bailleur est d'avis que les dommages peuvent être réparés, tel que mentionne ci haut, dans les quatre-vingt-dix (90) jours suivant le sinistre et que la nature des dommages permet, selon le Bailleur, une utilisation partielle des Lieux Ioués aux fins pour lesquelles ils avaient été loues, le loyer sera, jusqu'à ce que ces dommage aient été réparés, réduit en proportion de la superficie des Lieux loues rendue inutilisable par rapport à la superficie totale des Lieux loues.</w:t>
      </w:r>
    </w:p>
    <w:p>
      <w:pPr>
        <w:spacing w:after="0" w:line="133" w:lineRule="exact"/>
        <w:rPr>
          <w:rFonts w:ascii="Arial" w:cs="Arial" w:eastAsia="Arial" w:hAnsi="Arial"/>
          <w:sz w:val="16"/>
          <w:szCs w:val="16"/>
          <w:color w:val="auto"/>
        </w:rPr>
      </w:pPr>
    </w:p>
    <w:p>
      <w:pPr>
        <w:jc w:val="both"/>
        <w:ind w:left="540" w:hanging="312"/>
        <w:spacing w:after="0" w:line="255" w:lineRule="auto"/>
        <w:tabs>
          <w:tab w:leader="none" w:pos="5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Indépendamment du fait que les Lieux loues soient ou non endommages ou détruits et indépendamment du fait qu'ils soient utilisables ou non, dans le cas ou une partie substantielle de l'immeuble est endommagée ou détruite, par quelque cause que ce soit, et si le Bailleur est raisonnablement d'avis que cette partie substantielle de l'immeuble ne peut être reconstruite ou remise en état dans les quatre-vingt-dix (90) jours du sinistre (avis qui devra être donne par écrit au Locataire dans les trente (30) jours suivant le sinistre), le Bailleur pourra, dans les cinq (5) jour suivant la signification de l'avis précité, résilier le bail par un avis écrit au Locataire à cet effet, et alors le bail prendra fin le jour du sinistre et le loyer sera alors calcule et intégralement paye jusqu'au jour du sinistre.</w:t>
      </w:r>
    </w:p>
    <w:p>
      <w:pPr>
        <w:spacing w:after="0" w:line="200" w:lineRule="exact"/>
        <w:rPr>
          <w:sz w:val="20"/>
          <w:szCs w:val="20"/>
          <w:color w:val="auto"/>
        </w:rPr>
      </w:pPr>
    </w:p>
    <w:p>
      <w:pPr>
        <w:spacing w:after="0" w:line="270" w:lineRule="exact"/>
        <w:rPr>
          <w:sz w:val="20"/>
          <w:szCs w:val="20"/>
          <w:color w:val="auto"/>
        </w:rPr>
      </w:pPr>
    </w:p>
    <w:p>
      <w:pPr>
        <w:ind w:left="520" w:hanging="359"/>
        <w:spacing w:after="0"/>
        <w:tabs>
          <w:tab w:leader="none" w:pos="52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BLESSURES CORPORELLES ET DOMMAGES</w:t>
      </w:r>
    </w:p>
    <w:p>
      <w:pPr>
        <w:spacing w:after="0" w:line="253" w:lineRule="exact"/>
        <w:rPr>
          <w:rFonts w:ascii="Arial" w:cs="Arial" w:eastAsia="Arial" w:hAnsi="Arial"/>
          <w:sz w:val="16"/>
          <w:szCs w:val="16"/>
          <w:b w:val="1"/>
          <w:bCs w:val="1"/>
          <w:color w:val="auto"/>
        </w:rPr>
      </w:pPr>
    </w:p>
    <w:p>
      <w:pPr>
        <w:jc w:val="both"/>
        <w:ind w:left="540" w:firstLine="3"/>
        <w:spacing w:after="0" w:line="252" w:lineRule="auto"/>
        <w:rPr>
          <w:rFonts w:ascii="Arial" w:cs="Arial" w:eastAsia="Arial" w:hAnsi="Arial"/>
          <w:sz w:val="16"/>
          <w:szCs w:val="16"/>
          <w:b w:val="1"/>
          <w:bCs w:val="1"/>
          <w:color w:val="auto"/>
        </w:rPr>
      </w:pPr>
      <w:r>
        <w:rPr>
          <w:rFonts w:ascii="Arial" w:cs="Arial" w:eastAsia="Arial" w:hAnsi="Arial"/>
          <w:sz w:val="16"/>
          <w:szCs w:val="16"/>
          <w:color w:val="auto"/>
        </w:rPr>
        <w:t>Sauf dans le cas de faute intentionnelle u faute lourde du Bailleur ou de ses employés, le Bailleur ne sera en aucune façon responsable de quelque type de blessure que ce soit, pouvant entrainer ou non la mort, subie par le Locataire, ses représentants et ses employés, par ses bénéficiaires ou par toute autre personne qui peut se trouver sur les Lieux Ioués, ni pour toute perte ou dommage ou avarie, de quelque nature que ce soit, aux biens du Locataire, de ses bénéficiaires, de ses clients, de ses employés ou de toute autre personne, pendant que ces biens se trouvent sur les Lieux loues. Et plus particulièrement, mais sans limiter la généralité de ce qui précède, le Bailleur ne sera responsable d'aucun dommage aux dits biens cause par le vent, la vapeur, l'eau, la pluie ou la neige, qui pourraient s'introduire dans les Lieux loues, ni pour aucun dommage cause par les tuyaux d'eau, de gicleur ou de drainage, fa plomberie en général ni le système électrique, ni pour une défectuosité de la climatisation ou du chauffage, ni pour aucun dommage cause par quoi que ce soit qu'un autre Locataire aurait pu faire ou omettre de faire.</w:t>
      </w:r>
    </w:p>
    <w:p>
      <w:pPr>
        <w:spacing w:after="0" w:line="142" w:lineRule="exact"/>
        <w:rPr>
          <w:rFonts w:ascii="Arial" w:cs="Arial" w:eastAsia="Arial" w:hAnsi="Arial"/>
          <w:sz w:val="16"/>
          <w:szCs w:val="16"/>
          <w:b w:val="1"/>
          <w:bCs w:val="1"/>
          <w:color w:val="auto"/>
        </w:rPr>
      </w:pPr>
    </w:p>
    <w:p>
      <w:pPr>
        <w:jc w:val="both"/>
        <w:ind w:left="540" w:firstLine="4"/>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Le Locataire sera responsable de tous dommages causés aux Lieux Ioués, aux autres locaux de l'immeuble, ainsi qu'à ce dernier, si ces dommages résultent de l'installation d'équipement ou de travaux effectués par le Locataire, ses représentants, ses employés, ses bénéficiaires ou par toute autre personne à qui le Locataire aura permis l'accès aux Lieux loues.</w:t>
      </w:r>
    </w:p>
    <w:p>
      <w:pPr>
        <w:sectPr>
          <w:pgSz w:w="11900" w:h="16838" w:orient="portrait"/>
          <w:cols w:equalWidth="0" w:num="1">
            <w:col w:w="10120"/>
          </w:cols>
          <w:pgMar w:left="1440" w:top="82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5"/>
          <w:szCs w:val="15"/>
          <w:b w:val="1"/>
          <w:bCs w:val="1"/>
          <w:color w:val="auto"/>
        </w:rPr>
        <w:t>DÉFAUT</w:t>
      </w:r>
    </w:p>
    <w:p>
      <w:pPr>
        <w:spacing w:after="0" w:line="267" w:lineRule="exact"/>
        <w:rPr>
          <w:sz w:val="20"/>
          <w:szCs w:val="20"/>
          <w:color w:val="auto"/>
        </w:rPr>
      </w:pPr>
    </w:p>
    <w:p>
      <w:pPr>
        <w:ind w:left="540" w:hanging="315"/>
        <w:spacing w:after="0" w:line="275" w:lineRule="auto"/>
        <w:tabs>
          <w:tab w:leader="none" w:pos="533" w:val="left"/>
        </w:tabs>
        <w:numPr>
          <w:ilvl w:val="0"/>
          <w:numId w:val="64"/>
        </w:numPr>
        <w:rPr>
          <w:rFonts w:ascii="Arial" w:cs="Arial" w:eastAsia="Arial" w:hAnsi="Arial"/>
          <w:sz w:val="16"/>
          <w:szCs w:val="16"/>
          <w:color w:val="auto"/>
        </w:rPr>
      </w:pPr>
      <w:r>
        <w:rPr>
          <w:rFonts w:ascii="Arial" w:cs="Arial" w:eastAsia="Arial" w:hAnsi="Arial"/>
          <w:sz w:val="16"/>
          <w:szCs w:val="16"/>
          <w:color w:val="auto"/>
        </w:rPr>
        <w:t>Sans restreindre d'aucune façon la portée de l'esprit de toutes est chacune des dispositions du bail, le Locataire sera réputé en défaut, entre autres, dans les cas suivants:</w:t>
      </w:r>
    </w:p>
    <w:p>
      <w:pPr>
        <w:spacing w:after="0" w:line="201" w:lineRule="exact"/>
        <w:rPr>
          <w:rFonts w:ascii="Arial" w:cs="Arial" w:eastAsia="Arial" w:hAnsi="Arial"/>
          <w:sz w:val="16"/>
          <w:szCs w:val="16"/>
          <w:color w:val="auto"/>
        </w:rPr>
      </w:pPr>
    </w:p>
    <w:p>
      <w:pPr>
        <w:ind w:left="540" w:hanging="314"/>
        <w:spacing w:after="0" w:line="275" w:lineRule="auto"/>
        <w:tabs>
          <w:tab w:leader="none" w:pos="535" w:val="left"/>
        </w:tabs>
        <w:numPr>
          <w:ilvl w:val="1"/>
          <w:numId w:val="64"/>
        </w:numPr>
        <w:rPr>
          <w:rFonts w:ascii="Arial" w:cs="Arial" w:eastAsia="Arial" w:hAnsi="Arial"/>
          <w:sz w:val="16"/>
          <w:szCs w:val="16"/>
          <w:color w:val="auto"/>
        </w:rPr>
      </w:pPr>
      <w:r>
        <w:rPr>
          <w:rFonts w:ascii="Arial" w:cs="Arial" w:eastAsia="Arial" w:hAnsi="Arial"/>
          <w:sz w:val="16"/>
          <w:szCs w:val="16"/>
          <w:color w:val="auto"/>
        </w:rPr>
        <w:t>s'il fait défaut d'effectuer a échéance le paiement de toute somme payable en vertu du bail, le Locataire étant en demeure par le seul écoulement du temps;</w:t>
      </w:r>
    </w:p>
    <w:p>
      <w:pPr>
        <w:spacing w:after="0" w:line="227" w:lineRule="exact"/>
        <w:rPr>
          <w:rFonts w:ascii="Arial" w:cs="Arial" w:eastAsia="Arial" w:hAnsi="Arial"/>
          <w:sz w:val="16"/>
          <w:szCs w:val="16"/>
          <w:color w:val="auto"/>
        </w:rPr>
      </w:pPr>
    </w:p>
    <w:p>
      <w:pPr>
        <w:jc w:val="both"/>
        <w:ind w:left="540" w:hanging="312"/>
        <w:spacing w:after="0" w:line="267" w:lineRule="auto"/>
        <w:tabs>
          <w:tab w:leader="none" w:pos="536" w:val="left"/>
        </w:tabs>
        <w:numPr>
          <w:ilvl w:val="1"/>
          <w:numId w:val="64"/>
        </w:numPr>
        <w:rPr>
          <w:rFonts w:ascii="Arial" w:cs="Arial" w:eastAsia="Arial" w:hAnsi="Arial"/>
          <w:sz w:val="16"/>
          <w:szCs w:val="16"/>
          <w:color w:val="auto"/>
        </w:rPr>
      </w:pPr>
      <w:r>
        <w:rPr>
          <w:rFonts w:ascii="Arial" w:cs="Arial" w:eastAsia="Arial" w:hAnsi="Arial"/>
          <w:sz w:val="16"/>
          <w:szCs w:val="16"/>
          <w:color w:val="auto"/>
        </w:rPr>
        <w:t>si de façon générale, il ne respecte pas l'une quelconque des autres obligations qui lui incombent aux termes du bail et qu'il ne remédie pas à tel défaut à l'expiration d'un délai de dix (10) jours ouvrables suivant la signification au la notification d'une mise en·demeure à cet effet;</w:t>
      </w:r>
    </w:p>
    <w:p>
      <w:pPr>
        <w:spacing w:after="0" w:line="88" w:lineRule="exact"/>
        <w:rPr>
          <w:rFonts w:ascii="Arial" w:cs="Arial" w:eastAsia="Arial" w:hAnsi="Arial"/>
          <w:sz w:val="16"/>
          <w:szCs w:val="16"/>
          <w:color w:val="auto"/>
        </w:rPr>
      </w:pPr>
    </w:p>
    <w:p>
      <w:pPr>
        <w:jc w:val="both"/>
        <w:ind w:left="540" w:hanging="314"/>
        <w:spacing w:after="0" w:line="267" w:lineRule="auto"/>
        <w:tabs>
          <w:tab w:leader="none" w:pos="535" w:val="left"/>
        </w:tabs>
        <w:numPr>
          <w:ilvl w:val="1"/>
          <w:numId w:val="64"/>
        </w:numPr>
        <w:rPr>
          <w:rFonts w:ascii="Arial" w:cs="Arial" w:eastAsia="Arial" w:hAnsi="Arial"/>
          <w:sz w:val="16"/>
          <w:szCs w:val="16"/>
          <w:color w:val="auto"/>
        </w:rPr>
      </w:pPr>
      <w:r>
        <w:rPr>
          <w:rFonts w:ascii="Arial" w:cs="Arial" w:eastAsia="Arial" w:hAnsi="Arial"/>
          <w:sz w:val="16"/>
          <w:szCs w:val="16"/>
          <w:color w:val="auto"/>
        </w:rPr>
        <w:t>s'il se prévaut des dispositions de toute loi relative à l'insolvabilité afin d'effectuer une proposition a ses créanciers dans le cadre d'une restructuration de ses affaires et qu'à compter de cette date, il ne paie pas d’avance dès qu'il s'est prévalu de toute telle loi (et, par la suite, a tous les trente (30) jours une provision monétaire couvrant le loyer payable pour une période d'un (1) mois;</w:t>
      </w:r>
    </w:p>
    <w:p>
      <w:pPr>
        <w:spacing w:after="0" w:line="101" w:lineRule="exact"/>
        <w:rPr>
          <w:rFonts w:ascii="Arial" w:cs="Arial" w:eastAsia="Arial" w:hAnsi="Arial"/>
          <w:sz w:val="16"/>
          <w:szCs w:val="16"/>
          <w:color w:val="auto"/>
        </w:rPr>
      </w:pPr>
    </w:p>
    <w:p>
      <w:pPr>
        <w:ind w:left="520" w:hanging="298"/>
        <w:spacing w:after="0"/>
        <w:tabs>
          <w:tab w:leader="none" w:pos="5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s'il est déclaré failli par un tribunal compètent au s'il précède a une cession générale de ses biens au profit de ses créanciers;</w:t>
      </w:r>
    </w:p>
    <w:p>
      <w:pPr>
        <w:spacing w:after="0" w:line="253" w:lineRule="exact"/>
        <w:rPr>
          <w:rFonts w:ascii="Arial" w:cs="Arial" w:eastAsia="Arial" w:hAnsi="Arial"/>
          <w:sz w:val="16"/>
          <w:szCs w:val="16"/>
          <w:color w:val="auto"/>
        </w:rPr>
      </w:pPr>
    </w:p>
    <w:p>
      <w:pPr>
        <w:ind w:left="540" w:hanging="324"/>
        <w:spacing w:after="0" w:line="261" w:lineRule="auto"/>
        <w:tabs>
          <w:tab w:leader="none" w:pos="538" w:val="left"/>
        </w:tabs>
        <w:numPr>
          <w:ilvl w:val="1"/>
          <w:numId w:val="64"/>
        </w:numPr>
        <w:rPr>
          <w:rFonts w:ascii="Arial" w:cs="Arial" w:eastAsia="Arial" w:hAnsi="Arial"/>
          <w:sz w:val="16"/>
          <w:szCs w:val="16"/>
          <w:color w:val="auto"/>
        </w:rPr>
      </w:pPr>
      <w:r>
        <w:rPr>
          <w:rFonts w:ascii="Arial" w:cs="Arial" w:eastAsia="Arial" w:hAnsi="Arial"/>
          <w:sz w:val="16"/>
          <w:szCs w:val="16"/>
          <w:color w:val="auto"/>
        </w:rPr>
        <w:t>si un séquestre est nommé pour administrer tout au partie de ses biens ou si un tiers agissant aux termes d'une hypothèque mobilière prend possession de ses biens et si ce séquestre ou tiers ne cesse pas complètement toute telle activité dans les trente</w:t>
      </w:r>
    </w:p>
    <w:p>
      <w:pPr>
        <w:ind w:left="520" w:hanging="298"/>
        <w:spacing w:after="0"/>
        <w:tabs>
          <w:tab w:leader="none" w:pos="5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(30) jours de leur commencement ;</w:t>
      </w:r>
    </w:p>
    <w:p>
      <w:pPr>
        <w:spacing w:after="0" w:line="237" w:lineRule="exact"/>
        <w:rPr>
          <w:rFonts w:ascii="Arial" w:cs="Arial" w:eastAsia="Arial" w:hAnsi="Arial"/>
          <w:sz w:val="16"/>
          <w:szCs w:val="16"/>
          <w:color w:val="auto"/>
        </w:rPr>
      </w:pPr>
    </w:p>
    <w:p>
      <w:pPr>
        <w:jc w:val="both"/>
        <w:ind w:left="540" w:hanging="318"/>
        <w:spacing w:after="0" w:line="267" w:lineRule="auto"/>
        <w:tabs>
          <w:tab w:leader="none" w:pos="543" w:val="left"/>
        </w:tabs>
        <w:numPr>
          <w:ilvl w:val="1"/>
          <w:numId w:val="64"/>
        </w:numPr>
        <w:rPr>
          <w:rFonts w:ascii="Arial" w:cs="Arial" w:eastAsia="Arial" w:hAnsi="Arial"/>
          <w:sz w:val="16"/>
          <w:szCs w:val="16"/>
          <w:color w:val="auto"/>
        </w:rPr>
      </w:pPr>
      <w:r>
        <w:rPr>
          <w:rFonts w:ascii="Arial" w:cs="Arial" w:eastAsia="Arial" w:hAnsi="Arial"/>
          <w:sz w:val="16"/>
          <w:szCs w:val="16"/>
          <w:color w:val="auto"/>
        </w:rPr>
        <w:t>si une saisie est effectuée centre une partie substantielle des biens du Locataire par un tiers et que le Locataire n'en obtient pas mainlevée ou n'entreprend pas les démarchés appropriées afin d'en obtenir mainlevée dans les cinq (5) jours ouvrables de la date à laquelle elle a été effectuée.</w:t>
      </w:r>
    </w:p>
    <w:p>
      <w:pPr>
        <w:spacing w:after="0" w:line="194" w:lineRule="exact"/>
        <w:rPr>
          <w:rFonts w:ascii="Arial" w:cs="Arial" w:eastAsia="Arial" w:hAnsi="Arial"/>
          <w:sz w:val="16"/>
          <w:szCs w:val="16"/>
          <w:color w:val="auto"/>
        </w:rPr>
      </w:pPr>
    </w:p>
    <w:p>
      <w:pPr>
        <w:jc w:val="both"/>
        <w:ind w:left="540"/>
        <w:spacing w:after="0" w:line="259" w:lineRule="auto"/>
        <w:rPr>
          <w:rFonts w:ascii="Arial" w:cs="Arial" w:eastAsia="Arial" w:hAnsi="Arial"/>
          <w:sz w:val="16"/>
          <w:szCs w:val="16"/>
          <w:color w:val="auto"/>
        </w:rPr>
      </w:pPr>
      <w:r>
        <w:rPr>
          <w:rFonts w:ascii="Arial" w:cs="Arial" w:eastAsia="Arial" w:hAnsi="Arial"/>
          <w:sz w:val="16"/>
          <w:szCs w:val="16"/>
          <w:color w:val="auto"/>
        </w:rPr>
        <w:t>Dans tous ces cas, le Locataire sera considéré en défaut en autant qu'il ait reçu un préavis écrit du Bailleur à cet effet et qu'il n'ait pas remédié a la situation dans les quinze (15) jours ouvrables suivant cet avis. Si, en raison de sa nature, il ne peut être remédié au défaut allègue avant l'expiration du délai de quinze (15) jours ci-avant prévu, le locataire bénéficiera d'un délai additionnel raisonnable eu égard a la nature dudit défaut en autant qu'il entame les démarches nécessaires pour remédier au défaut avant l'expiration des quinze (15) jours ouvrables suivant la réception de l'avis de défaut et qu'il les poursuive avec diligence.</w:t>
      </w:r>
    </w:p>
    <w:p>
      <w:pPr>
        <w:spacing w:after="0" w:line="186" w:lineRule="exact"/>
        <w:rPr>
          <w:sz w:val="20"/>
          <w:szCs w:val="20"/>
          <w:color w:val="auto"/>
        </w:rPr>
      </w:pPr>
    </w:p>
    <w:p>
      <w:pPr>
        <w:jc w:val="both"/>
        <w:ind w:left="540"/>
        <w:spacing w:after="0" w:line="220" w:lineRule="auto"/>
        <w:rPr>
          <w:sz w:val="20"/>
          <w:szCs w:val="20"/>
          <w:color w:val="auto"/>
        </w:rPr>
      </w:pPr>
      <w:r>
        <w:rPr>
          <w:rFonts w:ascii="Arial" w:cs="Arial" w:eastAsia="Arial" w:hAnsi="Arial"/>
          <w:sz w:val="16"/>
          <w:szCs w:val="16"/>
          <w:color w:val="auto"/>
        </w:rPr>
        <w:t>Si ‘le locataire ne remédie pas au défaut, le Bailleur pourra, a son gré et sans nécessité d'établir qu'un tel défaut lui cause un préjudice, donner au Locataire un avis écrit de résiliation du bail, auquel cas le bail expirera dix (10) jours suivant la transmission d'un tel avis au Locataire (ou a toute autre époque postérieure déterminée par le Bailleur dans l'avis) aussi irrévocablement que si cette époque était la date de fin du terme, sans nécessité de poursuite judiciaire quelconque; s'il est ainsi mit fin au bail, le Locataire devra quitter les Lieux loues et les remettre au Bailleur ou, s'il n'en avait pas encore pris possession, il n'aura plus aucun droit de le faire.</w:t>
      </w:r>
    </w:p>
    <w:p>
      <w:pPr>
        <w:spacing w:after="0" w:line="217" w:lineRule="exact"/>
        <w:rPr>
          <w:sz w:val="20"/>
          <w:szCs w:val="20"/>
          <w:color w:val="auto"/>
        </w:rPr>
      </w:pPr>
    </w:p>
    <w:p>
      <w:pPr>
        <w:jc w:val="both"/>
        <w:ind w:left="540"/>
        <w:spacing w:after="0" w:line="259" w:lineRule="auto"/>
        <w:rPr>
          <w:sz w:val="20"/>
          <w:szCs w:val="20"/>
          <w:color w:val="auto"/>
        </w:rPr>
      </w:pPr>
      <w:r>
        <w:rPr>
          <w:rFonts w:ascii="Arial" w:cs="Arial" w:eastAsia="Arial" w:hAnsi="Arial"/>
          <w:sz w:val="16"/>
          <w:szCs w:val="16"/>
          <w:color w:val="auto"/>
        </w:rPr>
        <w:t>Dans tous les cas mentionnés aux paragraphes précédents, le Locataire devra payer au Bailleur tout loyer exigible jusqu’à la date d'expiration du bail. Le Locataire devra également payer, en un seul versement, notamment afin de couvrir les couts, de relocation des Lieux loues, un montant égal au loyer pour une période de trois (3) mois ou, si la portion du terme du bail restant ‘à courir à la date à laquelle le bail expirera est inférieure a trois (3) mois, au loyer total pour cette portion du terme.</w:t>
      </w:r>
    </w:p>
    <w:p>
      <w:pPr>
        <w:sectPr>
          <w:pgSz w:w="11900" w:h="16838" w:orient="portrait"/>
          <w:cols w:equalWidth="0" w:num="1">
            <w:col w:w="10120"/>
          </w:cols>
          <w:pgMar w:left="1440" w:top="82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540" w:firstLine="5"/>
        <w:spacing w:after="0" w:line="293" w:lineRule="auto"/>
        <w:rPr>
          <w:sz w:val="20"/>
          <w:szCs w:val="20"/>
          <w:color w:val="auto"/>
        </w:rPr>
      </w:pPr>
      <w:r>
        <w:rPr>
          <w:rFonts w:ascii="Arial" w:cs="Arial" w:eastAsia="Arial" w:hAnsi="Arial"/>
          <w:sz w:val="16"/>
          <w:szCs w:val="16"/>
          <w:color w:val="auto"/>
        </w:rPr>
        <w:t>L'exercice par le Bailleur de taus droits a lui confères par le bail ou par la loi n'aura pas pour effet de l'empêcher d'exercer tous autres droits qu'il pourrait avoir aux termes des présentes ou de la loi.</w:t>
      </w:r>
    </w:p>
    <w:p>
      <w:pPr>
        <w:spacing w:after="0" w:line="187" w:lineRule="exact"/>
        <w:rPr>
          <w:sz w:val="20"/>
          <w:szCs w:val="20"/>
          <w:color w:val="auto"/>
        </w:rPr>
      </w:pPr>
    </w:p>
    <w:p>
      <w:pPr>
        <w:ind w:left="520" w:hanging="359"/>
        <w:spacing w:after="0"/>
        <w:tabs>
          <w:tab w:leader="none" w:pos="52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VISITE DES LIEUX</w:t>
      </w:r>
    </w:p>
    <w:p>
      <w:pPr>
        <w:spacing w:after="0" w:line="94" w:lineRule="exact"/>
        <w:rPr>
          <w:rFonts w:ascii="Arial" w:cs="Arial" w:eastAsia="Arial" w:hAnsi="Arial"/>
          <w:sz w:val="16"/>
          <w:szCs w:val="16"/>
          <w:b w:val="1"/>
          <w:bCs w:val="1"/>
          <w:color w:val="auto"/>
        </w:rPr>
      </w:pPr>
    </w:p>
    <w:p>
      <w:pPr>
        <w:ind w:left="540" w:firstLine="4"/>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Le Locataire devra permettre que les Lieux loues soient visites à des heures raisonnables durant les trois (3) mois qui précèderont la fin du présent bail, par ceux qui désireront les louer à l’expiration de ce bail par ceux qui désireraient en faire</w:t>
      </w:r>
    </w:p>
    <w:p>
      <w:pPr>
        <w:ind w:left="540" w:firstLine="2"/>
        <w:spacing w:after="0" w:line="278" w:lineRule="auto"/>
        <w:rPr>
          <w:rFonts w:ascii="Arial" w:cs="Arial" w:eastAsia="Arial" w:hAnsi="Arial"/>
          <w:sz w:val="16"/>
          <w:szCs w:val="16"/>
          <w:b w:val="1"/>
          <w:bCs w:val="1"/>
          <w:color w:val="auto"/>
        </w:rPr>
      </w:pPr>
      <w:r>
        <w:rPr>
          <w:rFonts w:ascii="Arial" w:cs="Arial" w:eastAsia="Arial" w:hAnsi="Arial"/>
          <w:sz w:val="16"/>
          <w:szCs w:val="16"/>
          <w:color w:val="auto"/>
        </w:rPr>
        <w:t>!'acquisition et laisser à leur place les affiches apposées par le Bailleur aux fins de location ou de vente. Toutefois, le Bailleur devra faire parvenir un avis (verbal ou écrit) avant de faire une telle visite.</w:t>
      </w:r>
    </w:p>
    <w:p>
      <w:pPr>
        <w:spacing w:after="0" w:line="198" w:lineRule="exact"/>
        <w:rPr>
          <w:rFonts w:ascii="Arial" w:cs="Arial" w:eastAsia="Arial" w:hAnsi="Arial"/>
          <w:sz w:val="16"/>
          <w:szCs w:val="16"/>
          <w:b w:val="1"/>
          <w:bCs w:val="1"/>
          <w:color w:val="auto"/>
        </w:rPr>
      </w:pPr>
    </w:p>
    <w:p>
      <w:pPr>
        <w:ind w:left="520" w:hanging="359"/>
        <w:spacing w:after="0"/>
        <w:tabs>
          <w:tab w:leader="none" w:pos="52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AMÉLIORATIONS LOCATIVES</w:t>
      </w:r>
    </w:p>
    <w:p>
      <w:pPr>
        <w:spacing w:after="0" w:line="267" w:lineRule="exact"/>
        <w:rPr>
          <w:sz w:val="20"/>
          <w:szCs w:val="20"/>
          <w:color w:val="auto"/>
        </w:rPr>
      </w:pPr>
    </w:p>
    <w:p>
      <w:pPr>
        <w:jc w:val="both"/>
        <w:ind w:left="1420" w:hanging="476"/>
        <w:spacing w:after="0" w:line="284" w:lineRule="auto"/>
        <w:tabs>
          <w:tab w:leader="none" w:pos="1400" w:val="left"/>
        </w:tabs>
        <w:rPr>
          <w:sz w:val="20"/>
          <w:szCs w:val="20"/>
          <w:color w:val="auto"/>
        </w:rPr>
      </w:pPr>
      <w:r>
        <w:rPr>
          <w:rFonts w:ascii="Arial" w:cs="Arial" w:eastAsia="Arial" w:hAnsi="Arial"/>
          <w:sz w:val="16"/>
          <w:szCs w:val="16"/>
          <w:b w:val="1"/>
          <w:bCs w:val="1"/>
          <w:color w:val="auto"/>
        </w:rPr>
        <w:t>19.1</w:t>
      </w:r>
      <w:r>
        <w:rPr>
          <w:sz w:val="20"/>
          <w:szCs w:val="20"/>
          <w:color w:val="auto"/>
        </w:rPr>
        <w:tab/>
      </w:r>
      <w:r>
        <w:rPr>
          <w:rFonts w:ascii="Arial" w:cs="Arial" w:eastAsia="Arial" w:hAnsi="Arial"/>
          <w:sz w:val="16"/>
          <w:szCs w:val="16"/>
          <w:color w:val="auto"/>
        </w:rPr>
        <w:t>Le Locataire déclaré qu'il est possible qu'il effectue des travaux et aménagements dans les Lieux Loues (qui devront être approuveras au préalable par le Bailleur), lesquels travaux doivent être réalisés a la seule responsabilité du Locataire et a, ses seuls frais.</w:t>
      </w:r>
    </w:p>
    <w:p>
      <w:pPr>
        <w:spacing w:after="0" w:line="129" w:lineRule="exact"/>
        <w:rPr>
          <w:sz w:val="20"/>
          <w:szCs w:val="20"/>
          <w:color w:val="auto"/>
        </w:rPr>
      </w:pPr>
    </w:p>
    <w:p>
      <w:pPr>
        <w:jc w:val="both"/>
        <w:ind w:left="1420" w:hanging="476"/>
        <w:spacing w:after="0" w:line="254" w:lineRule="auto"/>
        <w:tabs>
          <w:tab w:leader="none" w:pos="1400" w:val="left"/>
        </w:tabs>
        <w:rPr>
          <w:sz w:val="20"/>
          <w:szCs w:val="20"/>
          <w:color w:val="auto"/>
        </w:rPr>
      </w:pPr>
      <w:r>
        <w:rPr>
          <w:rFonts w:ascii="Arial" w:cs="Arial" w:eastAsia="Arial" w:hAnsi="Arial"/>
          <w:sz w:val="16"/>
          <w:szCs w:val="16"/>
          <w:b w:val="1"/>
          <w:bCs w:val="1"/>
          <w:color w:val="auto"/>
        </w:rPr>
        <w:t>19.2</w:t>
      </w:r>
      <w:r>
        <w:rPr>
          <w:sz w:val="20"/>
          <w:szCs w:val="20"/>
          <w:color w:val="auto"/>
        </w:rPr>
        <w:tab/>
      </w:r>
      <w:r>
        <w:rPr>
          <w:rFonts w:ascii="Arial" w:cs="Arial" w:eastAsia="Arial" w:hAnsi="Arial"/>
          <w:sz w:val="16"/>
          <w:szCs w:val="16"/>
          <w:color w:val="auto"/>
        </w:rPr>
        <w:t>Ainsi, le cas échéant, si le Locataire effectue les travaux et aménagements préalablement mentionnes ou qu'il acquiert du mobilier, de l'équipement, des systèmes informatiques et téléphoniques ou autres, ou qu'il défraie toute autre dépense reliée à la relocalisation de ses bureaux, le Bailleur accepte de financer ces travaux ou autres dépenses jusqu'à un montant maximal de trente dollars (30.00 $) par pi.ca locatif et verser le montant requis par le Locataire dans les trente (30) jours de la réception par le Bailleur de pièces justificatives démontrant la réalisation de ces travaux ou dépenses.</w:t>
      </w:r>
    </w:p>
    <w:p>
      <w:pPr>
        <w:spacing w:after="0" w:line="139" w:lineRule="exact"/>
        <w:rPr>
          <w:sz w:val="20"/>
          <w:szCs w:val="20"/>
          <w:color w:val="auto"/>
        </w:rPr>
      </w:pPr>
    </w:p>
    <w:p>
      <w:pPr>
        <w:jc w:val="both"/>
        <w:ind w:left="1420" w:hanging="476"/>
        <w:spacing w:after="0" w:line="239" w:lineRule="auto"/>
        <w:tabs>
          <w:tab w:leader="none" w:pos="1400" w:val="left"/>
        </w:tabs>
        <w:rPr>
          <w:sz w:val="20"/>
          <w:szCs w:val="20"/>
          <w:color w:val="auto"/>
        </w:rPr>
      </w:pPr>
      <w:r>
        <w:rPr>
          <w:rFonts w:ascii="Arial" w:cs="Arial" w:eastAsia="Arial" w:hAnsi="Arial"/>
          <w:sz w:val="16"/>
          <w:szCs w:val="16"/>
          <w:b w:val="1"/>
          <w:bCs w:val="1"/>
          <w:color w:val="auto"/>
        </w:rPr>
        <w:t>19.3</w:t>
      </w:r>
      <w:r>
        <w:rPr>
          <w:sz w:val="20"/>
          <w:szCs w:val="20"/>
          <w:color w:val="auto"/>
        </w:rPr>
        <w:tab/>
      </w:r>
      <w:r>
        <w:rPr>
          <w:rFonts w:ascii="Arial" w:cs="Arial" w:eastAsia="Arial" w:hAnsi="Arial"/>
          <w:sz w:val="16"/>
          <w:szCs w:val="16"/>
          <w:color w:val="auto"/>
        </w:rPr>
        <w:t>Il est entendu entre les parties que le Locataire devra rembourser le montant ainsi finance par le Bailleur, majore par un taux d'intérêt de six pour cent et soixante-quinze centime (6,75 %), a titre de loyer additionnel, par versement mensuel et égaux effectue le premier (1</w:t>
      </w:r>
      <w:r>
        <w:rPr>
          <w:rFonts w:ascii="Arial" w:cs="Arial" w:eastAsia="Arial" w:hAnsi="Arial"/>
          <w:sz w:val="20"/>
          <w:szCs w:val="20"/>
          <w:color w:val="auto"/>
          <w:vertAlign w:val="superscript"/>
        </w:rPr>
        <w:t>er</w:t>
      </w:r>
      <w:r>
        <w:rPr>
          <w:rFonts w:ascii="Arial" w:cs="Arial" w:eastAsia="Arial" w:hAnsi="Arial"/>
          <w:sz w:val="16"/>
          <w:szCs w:val="16"/>
          <w:color w:val="auto"/>
        </w:rPr>
        <w:t>) jour de chaque mois et de la même manière que le loyer de base. La période d'amortissement eu égard au remboursement débutera à la date ou le Bailleur effectuera le paiement du montant requis par le Locataire et se terminera à la date d'échéance du terme du bail soit le 30 septembre 2025.</w:t>
      </w:r>
    </w:p>
    <w:p>
      <w:pPr>
        <w:spacing w:after="0" w:line="257"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5"/>
          <w:szCs w:val="15"/>
          <w:b w:val="1"/>
          <w:bCs w:val="1"/>
          <w:color w:val="auto"/>
        </w:rPr>
        <w:t>HONORAIRES POUR LA SUPERVISION DES TRAVAUX</w:t>
      </w:r>
    </w:p>
    <w:p>
      <w:pPr>
        <w:spacing w:after="0" w:line="174" w:lineRule="exact"/>
        <w:rPr>
          <w:sz w:val="20"/>
          <w:szCs w:val="20"/>
          <w:color w:val="auto"/>
        </w:rPr>
      </w:pPr>
    </w:p>
    <w:p>
      <w:pPr>
        <w:jc w:val="both"/>
        <w:ind w:left="1420" w:hanging="476"/>
        <w:spacing w:after="0" w:line="275" w:lineRule="auto"/>
        <w:tabs>
          <w:tab w:leader="none" w:pos="1400" w:val="left"/>
        </w:tabs>
        <w:rPr>
          <w:sz w:val="20"/>
          <w:szCs w:val="20"/>
          <w:color w:val="auto"/>
        </w:rPr>
      </w:pPr>
      <w:r>
        <w:rPr>
          <w:rFonts w:ascii="Arial" w:cs="Arial" w:eastAsia="Arial" w:hAnsi="Arial"/>
          <w:sz w:val="16"/>
          <w:szCs w:val="16"/>
          <w:b w:val="1"/>
          <w:bCs w:val="1"/>
          <w:color w:val="auto"/>
        </w:rPr>
        <w:t>20.1</w:t>
      </w:r>
      <w:r>
        <w:rPr>
          <w:sz w:val="20"/>
          <w:szCs w:val="20"/>
          <w:color w:val="auto"/>
        </w:rPr>
        <w:tab/>
      </w:r>
      <w:r>
        <w:rPr>
          <w:rFonts w:ascii="Arial" w:cs="Arial" w:eastAsia="Arial" w:hAnsi="Arial"/>
          <w:sz w:val="16"/>
          <w:szCs w:val="16"/>
          <w:color w:val="auto"/>
        </w:rPr>
        <w:t>II n'y aura pas d'honoraires ou frais d'administration, de coordination au de supervisions attribuables à l'aménagement des Lieux Loues.</w:t>
      </w:r>
    </w:p>
    <w:p>
      <w:pPr>
        <w:spacing w:after="0" w:line="228"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5"/>
          <w:szCs w:val="15"/>
          <w:b w:val="1"/>
          <w:bCs w:val="1"/>
          <w:color w:val="auto"/>
        </w:rPr>
        <w:t>MODIFICATIONS ET INSTALLATION</w:t>
      </w:r>
    </w:p>
    <w:p>
      <w:pPr>
        <w:spacing w:after="0" w:line="280" w:lineRule="exact"/>
        <w:rPr>
          <w:sz w:val="20"/>
          <w:szCs w:val="20"/>
          <w:color w:val="auto"/>
        </w:rPr>
      </w:pPr>
    </w:p>
    <w:p>
      <w:pPr>
        <w:jc w:val="both"/>
        <w:ind w:left="1420" w:hanging="476"/>
        <w:spacing w:after="0" w:line="266" w:lineRule="auto"/>
        <w:tabs>
          <w:tab w:leader="none" w:pos="1400" w:val="left"/>
        </w:tabs>
        <w:rPr>
          <w:sz w:val="20"/>
          <w:szCs w:val="20"/>
          <w:color w:val="auto"/>
        </w:rPr>
      </w:pPr>
      <w:r>
        <w:rPr>
          <w:rFonts w:ascii="Arial" w:cs="Arial" w:eastAsia="Arial" w:hAnsi="Arial"/>
          <w:sz w:val="16"/>
          <w:szCs w:val="16"/>
          <w:b w:val="1"/>
          <w:bCs w:val="1"/>
          <w:color w:val="auto"/>
        </w:rPr>
        <w:t>21.1</w:t>
      </w:r>
      <w:r>
        <w:rPr>
          <w:sz w:val="20"/>
          <w:szCs w:val="20"/>
          <w:color w:val="auto"/>
        </w:rPr>
        <w:tab/>
      </w:r>
      <w:r>
        <w:rPr>
          <w:rFonts w:ascii="Arial" w:cs="Arial" w:eastAsia="Arial" w:hAnsi="Arial"/>
          <w:sz w:val="16"/>
          <w:szCs w:val="16"/>
          <w:color w:val="auto"/>
        </w:rPr>
        <w:t>Le Locataire aura le droit d'apporter des modifications et des aménagements additionnels dans les Lieux Loues a ses propres frais sans frais d'administration du Bailleur. Les travaux d'aménagement des Lieux, Loues seront effectués par le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Locataire à ses frais (</w:t>
      </w:r>
      <w:r>
        <w:rPr>
          <w:rFonts w:ascii="Arial" w:cs="Arial" w:eastAsia="Arial" w:hAnsi="Arial"/>
          <w:sz w:val="16"/>
          <w:szCs w:val="16"/>
          <w:b w:val="1"/>
          <w:bCs w:val="1"/>
          <w:color w:val="auto"/>
        </w:rPr>
        <w:t>les « Travaux d’Aménagement »</w:t>
      </w:r>
      <w:r>
        <w:rPr>
          <w:rFonts w:ascii="Arial" w:cs="Arial" w:eastAsia="Arial" w:hAnsi="Arial"/>
          <w:sz w:val="16"/>
          <w:szCs w:val="16"/>
          <w:color w:val="auto"/>
        </w:rPr>
        <w:t>).</w:t>
      </w:r>
    </w:p>
    <w:p>
      <w:pPr>
        <w:spacing w:after="0" w:line="242" w:lineRule="exact"/>
        <w:rPr>
          <w:sz w:val="20"/>
          <w:szCs w:val="20"/>
          <w:color w:val="auto"/>
        </w:rPr>
      </w:pPr>
    </w:p>
    <w:p>
      <w:pPr>
        <w:jc w:val="both"/>
        <w:ind w:left="14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21.2</w:t>
      </w:r>
      <w:r>
        <w:rPr>
          <w:sz w:val="20"/>
          <w:szCs w:val="20"/>
          <w:color w:val="auto"/>
        </w:rPr>
        <w:tab/>
      </w:r>
      <w:r>
        <w:rPr>
          <w:rFonts w:ascii="Arial" w:cs="Arial" w:eastAsia="Arial" w:hAnsi="Arial"/>
          <w:sz w:val="16"/>
          <w:szCs w:val="16"/>
          <w:color w:val="auto"/>
        </w:rPr>
        <w:t>A aucun moment, le Locataire ne devra effectuer de Travaux d'Aménagements sans avoir obtenu, des autorités publiques concernées, tous les permis nécessaires et sans avoir obtenu au préalable le consentement écrit au Bailleur, lequel ne pourra être refuse sans motif raisonnable.</w:t>
      </w:r>
    </w:p>
    <w:p>
      <w:pPr>
        <w:spacing w:after="0" w:line="141" w:lineRule="exact"/>
        <w:rPr>
          <w:sz w:val="20"/>
          <w:szCs w:val="20"/>
          <w:color w:val="auto"/>
        </w:rPr>
      </w:pPr>
    </w:p>
    <w:p>
      <w:pPr>
        <w:ind w:left="1440" w:right="780"/>
        <w:spacing w:after="0" w:line="258" w:lineRule="auto"/>
        <w:rPr>
          <w:sz w:val="20"/>
          <w:szCs w:val="20"/>
          <w:color w:val="auto"/>
        </w:rPr>
      </w:pPr>
      <w:r>
        <w:rPr>
          <w:rFonts w:ascii="Arial" w:cs="Arial" w:eastAsia="Arial" w:hAnsi="Arial"/>
          <w:sz w:val="16"/>
          <w:szCs w:val="16"/>
          <w:color w:val="auto"/>
        </w:rPr>
        <w:t>Le Locataire devra soumettre au Bailleur, pour approbation, les plans et devis précis nécessaires a taus Travaux d’Aménagement d'une valeur excédant VINGT MILLES</w:t>
      </w:r>
    </w:p>
    <w:p>
      <w:pPr>
        <w:sectPr>
          <w:pgSz w:w="11900" w:h="16838" w:orient="portrait"/>
          <w:cols w:equalWidth="0" w:num="1">
            <w:col w:w="10120"/>
          </w:cols>
          <w:pgMar w:left="1440" w:top="82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440" w:firstLine="4"/>
        <w:spacing w:after="0" w:line="267" w:lineRule="auto"/>
        <w:rPr>
          <w:sz w:val="20"/>
          <w:szCs w:val="20"/>
          <w:color w:val="auto"/>
        </w:rPr>
      </w:pPr>
      <w:r>
        <w:rPr>
          <w:rFonts w:ascii="Arial" w:cs="Arial" w:eastAsia="Arial" w:hAnsi="Arial"/>
          <w:sz w:val="16"/>
          <w:szCs w:val="16"/>
          <w:color w:val="auto"/>
        </w:rPr>
        <w:t>DOLLARS (20 000,00 $) et le Bailleur aura CINQ (5) jours ouvrables, à compter de la date de soumission des plans et devis pour aviser de Locataire s'il les approuve ou non, à défaut de quoi lesdits plans et devis seront réputes acceptés par le Bailleur.</w:t>
      </w:r>
    </w:p>
    <w:p>
      <w:pPr>
        <w:spacing w:after="0" w:line="194" w:lineRule="exact"/>
        <w:rPr>
          <w:sz w:val="20"/>
          <w:szCs w:val="20"/>
          <w:color w:val="auto"/>
        </w:rPr>
      </w:pPr>
    </w:p>
    <w:p>
      <w:pPr>
        <w:jc w:val="both"/>
        <w:ind w:left="1440" w:hanging="5"/>
        <w:spacing w:after="0" w:line="255" w:lineRule="auto"/>
        <w:rPr>
          <w:sz w:val="20"/>
          <w:szCs w:val="20"/>
          <w:color w:val="auto"/>
        </w:rPr>
      </w:pPr>
      <w:r>
        <w:rPr>
          <w:rFonts w:ascii="Arial" w:cs="Arial" w:eastAsia="Arial" w:hAnsi="Arial"/>
          <w:sz w:val="16"/>
          <w:szCs w:val="16"/>
          <w:color w:val="auto"/>
        </w:rPr>
        <w:t>Le Locataire devra soumettre au Bailleur le nom de l'entrepreneur mandate pour effectuer les Travaux d'Aménagement, pour approbation par le Bailleur, laquelle approbation ne pourra être retenue sans motif raisonnable. De plus, l'entrepreneur devra également respecter en tout temps les règlements et directives établis de temps à autre par le Bailleur relativement à ces améliorations et/ou modifications. Cet entrepreneur ne devra pas causer de problèmes de relation de travail dans l'Édifice. Ledit entrepreneur devra également être couvert par la Commission des accidents au travail et être en règle avec celle-ci.</w:t>
      </w:r>
    </w:p>
    <w:p>
      <w:pPr>
        <w:spacing w:after="0" w:line="19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5"/>
          <w:szCs w:val="15"/>
          <w:b w:val="1"/>
          <w:bCs w:val="1"/>
          <w:color w:val="auto"/>
        </w:rPr>
        <w:t>ACCEPTATION DES LIEUX LOUES</w:t>
      </w:r>
    </w:p>
    <w:p>
      <w:pPr>
        <w:spacing w:after="0" w:line="227" w:lineRule="exact"/>
        <w:rPr>
          <w:sz w:val="20"/>
          <w:szCs w:val="20"/>
          <w:color w:val="auto"/>
        </w:rPr>
      </w:pPr>
    </w:p>
    <w:p>
      <w:pPr>
        <w:jc w:val="both"/>
        <w:ind w:left="1420" w:hanging="476"/>
        <w:spacing w:after="0" w:line="261" w:lineRule="auto"/>
        <w:tabs>
          <w:tab w:leader="none" w:pos="1400" w:val="left"/>
        </w:tabs>
        <w:rPr>
          <w:sz w:val="20"/>
          <w:szCs w:val="20"/>
          <w:color w:val="auto"/>
        </w:rPr>
      </w:pPr>
      <w:r>
        <w:rPr>
          <w:rFonts w:ascii="Arial" w:cs="Arial" w:eastAsia="Arial" w:hAnsi="Arial"/>
          <w:sz w:val="16"/>
          <w:szCs w:val="16"/>
          <w:b w:val="1"/>
          <w:bCs w:val="1"/>
          <w:color w:val="auto"/>
        </w:rPr>
        <w:t>22.1</w:t>
      </w:r>
      <w:r>
        <w:rPr>
          <w:sz w:val="20"/>
          <w:szCs w:val="20"/>
          <w:color w:val="auto"/>
        </w:rPr>
        <w:tab/>
      </w:r>
      <w:r>
        <w:rPr>
          <w:rFonts w:ascii="Arial" w:cs="Arial" w:eastAsia="Arial" w:hAnsi="Arial"/>
          <w:sz w:val="16"/>
          <w:szCs w:val="16"/>
          <w:color w:val="auto"/>
        </w:rPr>
        <w:t>Le Locataire bénéficiera d'une période de SIX (6) mois, à compter du Début de la Durée, pour aviser le Bailleur de tout vice apparent a tout système de base de</w:t>
      </w:r>
    </w:p>
    <w:p>
      <w:pPr>
        <w:ind w:left="1440"/>
        <w:spacing w:after="0"/>
        <w:rPr>
          <w:sz w:val="20"/>
          <w:szCs w:val="20"/>
          <w:color w:val="auto"/>
        </w:rPr>
      </w:pPr>
      <w:r>
        <w:rPr>
          <w:rFonts w:ascii="Arial" w:cs="Arial" w:eastAsia="Arial" w:hAnsi="Arial"/>
          <w:sz w:val="16"/>
          <w:szCs w:val="16"/>
          <w:color w:val="auto"/>
        </w:rPr>
        <w:t>l'Édifice situe dans les Lieux Loues, afin que le Bailleur puisse, a ses frais, remédier audit vice.</w:t>
      </w:r>
    </w:p>
    <w:p>
      <w:pPr>
        <w:spacing w:after="0" w:line="224" w:lineRule="exact"/>
        <w:rPr>
          <w:sz w:val="20"/>
          <w:szCs w:val="20"/>
          <w:color w:val="auto"/>
        </w:rPr>
      </w:pPr>
    </w:p>
    <w:p>
      <w:pPr>
        <w:jc w:val="both"/>
        <w:ind w:left="1420" w:hanging="476"/>
        <w:spacing w:after="0" w:line="261" w:lineRule="auto"/>
        <w:tabs>
          <w:tab w:leader="none" w:pos="1400" w:val="left"/>
        </w:tabs>
        <w:rPr>
          <w:sz w:val="20"/>
          <w:szCs w:val="20"/>
          <w:color w:val="auto"/>
        </w:rPr>
      </w:pPr>
      <w:r>
        <w:rPr>
          <w:rFonts w:ascii="Arial" w:cs="Arial" w:eastAsia="Arial" w:hAnsi="Arial"/>
          <w:sz w:val="16"/>
          <w:szCs w:val="16"/>
          <w:b w:val="1"/>
          <w:bCs w:val="1"/>
          <w:color w:val="auto"/>
        </w:rPr>
        <w:t>22.2</w:t>
      </w:r>
      <w:r>
        <w:rPr>
          <w:sz w:val="20"/>
          <w:szCs w:val="20"/>
          <w:color w:val="auto"/>
        </w:rPr>
        <w:tab/>
      </w:r>
      <w:r>
        <w:rPr>
          <w:rFonts w:ascii="Arial" w:cs="Arial" w:eastAsia="Arial" w:hAnsi="Arial"/>
          <w:sz w:val="16"/>
          <w:szCs w:val="16"/>
          <w:color w:val="auto"/>
        </w:rPr>
        <w:t>Lorsque le vice ou défaut affectera un système ou tout item saisonnier incluant sans restreindre la portée de ce qui précède, les systèmes de chauffage et de climatisation, alors la période de SIX (6) mois commencera à courir dès la mise</w:t>
      </w:r>
    </w:p>
    <w:p>
      <w:pPr>
        <w:ind w:left="1440"/>
        <w:spacing w:after="0"/>
        <w:rPr>
          <w:sz w:val="20"/>
          <w:szCs w:val="20"/>
          <w:color w:val="auto"/>
        </w:rPr>
      </w:pPr>
      <w:r>
        <w:rPr>
          <w:rFonts w:ascii="Arial" w:cs="Arial" w:eastAsia="Arial" w:hAnsi="Arial"/>
          <w:sz w:val="16"/>
          <w:szCs w:val="16"/>
          <w:color w:val="auto"/>
        </w:rPr>
        <w:t>.en fonction dudit item ou système et non à compter du Début de la Durée.</w:t>
      </w:r>
    </w:p>
    <w:p>
      <w:pPr>
        <w:spacing w:after="0" w:line="237" w:lineRule="exact"/>
        <w:rPr>
          <w:sz w:val="20"/>
          <w:szCs w:val="20"/>
          <w:color w:val="auto"/>
        </w:rPr>
      </w:pPr>
    </w:p>
    <w:p>
      <w:pPr>
        <w:jc w:val="both"/>
        <w:ind w:left="14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22.3</w:t>
      </w:r>
      <w:r>
        <w:rPr>
          <w:sz w:val="20"/>
          <w:szCs w:val="20"/>
          <w:color w:val="auto"/>
        </w:rPr>
        <w:tab/>
      </w:r>
      <w:r>
        <w:rPr>
          <w:rFonts w:ascii="Arial" w:cs="Arial" w:eastAsia="Arial" w:hAnsi="Arial"/>
          <w:sz w:val="16"/>
          <w:szCs w:val="16"/>
          <w:color w:val="auto"/>
        </w:rPr>
        <w:t>L'omission ou le défaut d'aviser le Bailleur de tout défaut ou vice, tel que mentionné ci-dessus, ou d'informer le Bailleur de tout problème affectant la structure des Lieux Loues et qui n'a pu être raisonnablement décelé lors d'un examen du Locataire dans le délai ci-dessus mentionne, ne sera pas interprète et ne constituera pas une renonciation aux droits et recours du Locataire pour tout défaut ou vice.</w:t>
      </w:r>
    </w:p>
    <w:p>
      <w:pPr>
        <w:spacing w:after="0" w:line="200"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22.4</w:t>
      </w:r>
      <w:r>
        <w:rPr>
          <w:sz w:val="20"/>
          <w:szCs w:val="20"/>
          <w:color w:val="auto"/>
        </w:rPr>
        <w:tab/>
      </w:r>
      <w:r>
        <w:rPr>
          <w:rFonts w:ascii="Arial" w:cs="Arial" w:eastAsia="Arial" w:hAnsi="Arial"/>
          <w:sz w:val="15"/>
          <w:szCs w:val="15"/>
          <w:color w:val="auto"/>
        </w:rPr>
        <w:t>Le Bailleur reconnait qu'à ce titre le Locataire doit être considéré comme un profane.</w:t>
      </w:r>
    </w:p>
    <w:p>
      <w:pPr>
        <w:spacing w:after="0" w:line="24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5"/>
          <w:szCs w:val="15"/>
          <w:b w:val="1"/>
          <w:bCs w:val="1"/>
          <w:color w:val="auto"/>
        </w:rPr>
        <w:t>RESPONSABILITÉ DES PARTIES</w:t>
      </w:r>
    </w:p>
    <w:p>
      <w:pPr>
        <w:spacing w:after="0" w:line="227" w:lineRule="exact"/>
        <w:rPr>
          <w:sz w:val="20"/>
          <w:szCs w:val="20"/>
          <w:color w:val="auto"/>
        </w:rPr>
      </w:pPr>
    </w:p>
    <w:p>
      <w:pPr>
        <w:jc w:val="both"/>
        <w:ind w:left="1420" w:hanging="476"/>
        <w:spacing w:after="0" w:line="275" w:lineRule="auto"/>
        <w:tabs>
          <w:tab w:leader="none" w:pos="1400" w:val="left"/>
        </w:tabs>
        <w:rPr>
          <w:sz w:val="20"/>
          <w:szCs w:val="20"/>
          <w:color w:val="auto"/>
        </w:rPr>
      </w:pPr>
      <w:r>
        <w:rPr>
          <w:rFonts w:ascii="Arial" w:cs="Arial" w:eastAsia="Arial" w:hAnsi="Arial"/>
          <w:sz w:val="16"/>
          <w:szCs w:val="16"/>
          <w:b w:val="1"/>
          <w:bCs w:val="1"/>
          <w:color w:val="auto"/>
        </w:rPr>
        <w:t>23.1</w:t>
      </w:r>
      <w:r>
        <w:rPr>
          <w:sz w:val="20"/>
          <w:szCs w:val="20"/>
          <w:color w:val="auto"/>
        </w:rPr>
        <w:tab/>
      </w:r>
      <w:r>
        <w:rPr>
          <w:rFonts w:ascii="Arial" w:cs="Arial" w:eastAsia="Arial" w:hAnsi="Arial"/>
          <w:sz w:val="16"/>
          <w:szCs w:val="16"/>
          <w:color w:val="auto"/>
        </w:rPr>
        <w:t>Nonobstant toute provision contenue aux présentes ou contenue au Bail, chacune des parties sera responsable pour ses fautes et sa négligence et devra indemniser l'autre partie le cas échéant.</w:t>
      </w:r>
    </w:p>
    <w:p>
      <w:pPr>
        <w:spacing w:after="0" w:line="17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5"/>
          <w:szCs w:val="15"/>
          <w:b w:val="1"/>
          <w:bCs w:val="1"/>
          <w:color w:val="auto"/>
        </w:rPr>
        <w:t>REMISE EN ÉTAT DES LIEUX LOUES</w:t>
      </w:r>
    </w:p>
    <w:p>
      <w:pPr>
        <w:spacing w:after="0" w:line="227" w:lineRule="exact"/>
        <w:rPr>
          <w:sz w:val="20"/>
          <w:szCs w:val="20"/>
          <w:color w:val="auto"/>
        </w:rPr>
      </w:pPr>
    </w:p>
    <w:p>
      <w:pPr>
        <w:ind w:left="1420" w:right="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24.1</w:t>
      </w:r>
      <w:r>
        <w:rPr>
          <w:sz w:val="20"/>
          <w:szCs w:val="20"/>
          <w:color w:val="auto"/>
        </w:rPr>
        <w:tab/>
      </w:r>
      <w:r>
        <w:rPr>
          <w:rFonts w:ascii="Arial" w:cs="Arial" w:eastAsia="Arial" w:hAnsi="Arial"/>
          <w:sz w:val="16"/>
          <w:szCs w:val="16"/>
          <w:color w:val="auto"/>
        </w:rPr>
        <w:t>A l’expiration de la Durée de Location ou à son expiration prématurée ou a l'expiration de tout renouvellement de celle-ci, le Locataire ne sera pas tenu d'enlever quelconque amélioration locative effectuée par le Locataire ou le Bailleur pourvu qu'il laisse l'espace en ban état, compte tenu de l'usure normale.</w:t>
      </w:r>
    </w:p>
    <w:p>
      <w:pPr>
        <w:spacing w:after="0" w:line="194" w:lineRule="exact"/>
        <w:rPr>
          <w:sz w:val="20"/>
          <w:szCs w:val="20"/>
          <w:color w:val="auto"/>
        </w:rPr>
      </w:pPr>
    </w:p>
    <w:p>
      <w:pPr>
        <w:ind w:left="520" w:hanging="359"/>
        <w:spacing w:after="0"/>
        <w:tabs>
          <w:tab w:leader="none" w:pos="52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PUBLICATION DU BAIL</w:t>
      </w:r>
    </w:p>
    <w:p>
      <w:pPr>
        <w:spacing w:after="0" w:line="226" w:lineRule="exact"/>
        <w:rPr>
          <w:rFonts w:ascii="Arial" w:cs="Arial" w:eastAsia="Arial" w:hAnsi="Arial"/>
          <w:sz w:val="16"/>
          <w:szCs w:val="16"/>
          <w:b w:val="1"/>
          <w:bCs w:val="1"/>
          <w:color w:val="auto"/>
        </w:rPr>
      </w:pPr>
    </w:p>
    <w:p>
      <w:pPr>
        <w:jc w:val="both"/>
        <w:ind w:left="54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 xml:space="preserve">Le Locataire ne pourra publier intégralement le présent bail sans le consentement écrit du Bailleur. Cependant, pour fins d'inscription des droits résultant du bail, le Locataire pourra présenter, au bureau de la publicité de la circonscription foncière dans le ressort duquel est situé l'immeuble, un avis suivant l'article 2999.1 du code </w:t>
      </w:r>
      <w:r>
        <w:rPr>
          <w:rFonts w:ascii="Arial" w:cs="Arial" w:eastAsia="Arial" w:hAnsi="Arial"/>
          <w:sz w:val="16"/>
          <w:szCs w:val="16"/>
          <w:i w:val="1"/>
          <w:iCs w:val="1"/>
          <w:color w:val="auto"/>
        </w:rPr>
        <w:t>Civil du Québec.</w:t>
      </w:r>
      <w:r>
        <w:rPr>
          <w:rFonts w:ascii="Arial" w:cs="Arial" w:eastAsia="Arial" w:hAnsi="Arial"/>
          <w:sz w:val="16"/>
          <w:szCs w:val="16"/>
          <w:color w:val="auto"/>
        </w:rPr>
        <w:t xml:space="preserve"> Tel avis décrira les parties, les Lieux loues et le terme du bail. Taus les frais à cet égard engendrés par le Locataire seront assumes par ce dernier.</w:t>
      </w:r>
    </w:p>
    <w:p>
      <w:pPr>
        <w:sectPr>
          <w:pgSz w:w="11900" w:h="16838" w:orient="portrait"/>
          <w:cols w:equalWidth="0" w:num="1">
            <w:col w:w="10120"/>
          </w:cols>
          <w:pgMar w:left="1440" w:top="82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hanging="359"/>
        <w:spacing w:after="0"/>
        <w:tabs>
          <w:tab w:leader="none" w:pos="52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HYPOTHÈQUES ET SUBORDINATION</w:t>
      </w:r>
    </w:p>
    <w:p>
      <w:pPr>
        <w:spacing w:after="0" w:line="226"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26.1  </w:t>
      </w:r>
      <w:r>
        <w:rPr>
          <w:rFonts w:ascii="Arial" w:cs="Arial" w:eastAsia="Arial" w:hAnsi="Arial"/>
          <w:sz w:val="16"/>
          <w:szCs w:val="16"/>
          <w:color w:val="auto"/>
        </w:rPr>
        <w:t>Vente ou financement</w:t>
      </w:r>
    </w:p>
    <w:p>
      <w:pPr>
        <w:spacing w:after="0" w:line="240" w:lineRule="exact"/>
        <w:rPr>
          <w:sz w:val="20"/>
          <w:szCs w:val="20"/>
          <w:color w:val="auto"/>
        </w:rPr>
      </w:pPr>
    </w:p>
    <w:p>
      <w:pPr>
        <w:jc w:val="both"/>
        <w:ind w:left="1440"/>
        <w:spacing w:after="0" w:line="259" w:lineRule="auto"/>
        <w:rPr>
          <w:sz w:val="20"/>
          <w:szCs w:val="20"/>
          <w:color w:val="auto"/>
        </w:rPr>
      </w:pPr>
      <w:r>
        <w:rPr>
          <w:rFonts w:ascii="Arial" w:cs="Arial" w:eastAsia="Arial" w:hAnsi="Arial"/>
          <w:sz w:val="16"/>
          <w:szCs w:val="16"/>
          <w:color w:val="auto"/>
        </w:rPr>
        <w:t>Les droits du Bailleur en vertu du bail peuvent être hypothèques, cèdes, grevés ou transfères en faveur d'un acheteur ou d'un créancier hypothécaire, en cas de vente ou de défaut du Bailleur quant à toute hypothèque et au cas où l'acheteur ou le créancier hypothécaire, selon le cas, prend légalement possession de l'immeuble. et des Lieux loues, le Locataire s'engage à reconnaitre les droits d'un tel acheteur ou d'un tel créancier hypothécaire et à continuer à respecter les termes du bail.</w:t>
      </w:r>
    </w:p>
    <w:p>
      <w:pPr>
        <w:spacing w:after="0" w:line="200"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26.2</w:t>
      </w:r>
      <w:r>
        <w:rPr>
          <w:sz w:val="20"/>
          <w:szCs w:val="20"/>
          <w:color w:val="auto"/>
        </w:rPr>
        <w:tab/>
      </w:r>
      <w:r>
        <w:rPr>
          <w:rFonts w:ascii="Arial" w:cs="Arial" w:eastAsia="Arial" w:hAnsi="Arial"/>
          <w:sz w:val="15"/>
          <w:szCs w:val="15"/>
          <w:color w:val="auto"/>
        </w:rPr>
        <w:t>Assujettissement</w:t>
      </w:r>
    </w:p>
    <w:p>
      <w:pPr>
        <w:spacing w:after="0" w:line="240" w:lineRule="exact"/>
        <w:rPr>
          <w:sz w:val="20"/>
          <w:szCs w:val="20"/>
          <w:color w:val="auto"/>
        </w:rPr>
      </w:pPr>
    </w:p>
    <w:p>
      <w:pPr>
        <w:jc w:val="both"/>
        <w:ind w:left="1440"/>
        <w:spacing w:after="0" w:line="264" w:lineRule="auto"/>
        <w:rPr>
          <w:sz w:val="20"/>
          <w:szCs w:val="20"/>
          <w:color w:val="auto"/>
        </w:rPr>
      </w:pPr>
      <w:r>
        <w:rPr>
          <w:rFonts w:ascii="Arial" w:cs="Arial" w:eastAsia="Arial" w:hAnsi="Arial"/>
          <w:sz w:val="16"/>
          <w:szCs w:val="16"/>
          <w:color w:val="auto"/>
        </w:rPr>
        <w:t>Tous les droits du Locataire en vertu des présentes seront assujettis et subordonnes aux droits de tout créancier détenant une hypothèque ou autre charge réelle sur la propriété et le Locataire devra reconnaitre tout tel créancier hypothécaire comme bailleur en vertu des présentes. Toute telle subordination ne pourra toutefois avoir pour effet d'entraver le droit du Locataire de jouir des Lieux loues conformément aux dispositions du présent bail.</w:t>
      </w:r>
    </w:p>
    <w:p>
      <w:pPr>
        <w:spacing w:after="0" w:line="200" w:lineRule="exact"/>
        <w:rPr>
          <w:sz w:val="20"/>
          <w:szCs w:val="20"/>
          <w:color w:val="auto"/>
        </w:rPr>
      </w:pPr>
    </w:p>
    <w:p>
      <w:pPr>
        <w:spacing w:after="0" w:line="223"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5"/>
          <w:szCs w:val="15"/>
          <w:b w:val="1"/>
          <w:bCs w:val="1"/>
          <w:color w:val="auto"/>
        </w:rPr>
        <w:t>IDENTIFICATION</w:t>
      </w:r>
    </w:p>
    <w:p>
      <w:pPr>
        <w:spacing w:after="0" w:line="227" w:lineRule="exact"/>
        <w:rPr>
          <w:sz w:val="20"/>
          <w:szCs w:val="20"/>
          <w:color w:val="auto"/>
        </w:rPr>
      </w:pPr>
    </w:p>
    <w:p>
      <w:pPr>
        <w:ind w:left="14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27.1</w:t>
      </w:r>
      <w:r>
        <w:rPr>
          <w:sz w:val="20"/>
          <w:szCs w:val="20"/>
          <w:color w:val="auto"/>
        </w:rPr>
        <w:tab/>
      </w:r>
      <w:r>
        <w:rPr>
          <w:rFonts w:ascii="Arial" w:cs="Arial" w:eastAsia="Arial" w:hAnsi="Arial"/>
          <w:sz w:val="16"/>
          <w:szCs w:val="16"/>
          <w:color w:val="auto"/>
        </w:rPr>
        <w:t>Le Bailleur permettra au Locataire d’installer des affiches lumineuses, avec sa dénomination sociale et son logo. Celles-ci seront situées sur le côté de l’Édifice face au boulevard du Pare Technologique. Lesdites affiches seront au maximum de ce qui est permis par toute loi ou règlement applicable. Le Locataire s'engage à soumettre au Bailleur un croquis détaille de son affiche avec, indications des coleurs, caractères, logis et dimensions. Ces affiches seront entretenues par le Bailleur mais demeureront la propriété du Locataire.</w:t>
      </w:r>
    </w:p>
    <w:p>
      <w:pPr>
        <w:spacing w:after="0" w:line="200" w:lineRule="exact"/>
        <w:rPr>
          <w:sz w:val="20"/>
          <w:szCs w:val="20"/>
          <w:color w:val="auto"/>
        </w:rPr>
      </w:pPr>
    </w:p>
    <w:p>
      <w:pPr>
        <w:ind w:left="1420" w:right="840" w:hanging="476"/>
        <w:spacing w:after="0" w:line="275" w:lineRule="auto"/>
        <w:tabs>
          <w:tab w:leader="none" w:pos="1400" w:val="left"/>
        </w:tabs>
        <w:rPr>
          <w:sz w:val="20"/>
          <w:szCs w:val="20"/>
          <w:color w:val="auto"/>
        </w:rPr>
      </w:pPr>
      <w:r>
        <w:rPr>
          <w:rFonts w:ascii="Arial" w:cs="Arial" w:eastAsia="Arial" w:hAnsi="Arial"/>
          <w:sz w:val="16"/>
          <w:szCs w:val="16"/>
          <w:b w:val="1"/>
          <w:bCs w:val="1"/>
          <w:color w:val="auto"/>
        </w:rPr>
        <w:t>27.2</w:t>
      </w:r>
      <w:r>
        <w:rPr>
          <w:sz w:val="20"/>
          <w:szCs w:val="20"/>
          <w:color w:val="auto"/>
        </w:rPr>
        <w:tab/>
      </w:r>
      <w:r>
        <w:rPr>
          <w:rFonts w:ascii="Arial" w:cs="Arial" w:eastAsia="Arial" w:hAnsi="Arial"/>
          <w:sz w:val="16"/>
          <w:szCs w:val="16"/>
          <w:color w:val="auto"/>
        </w:rPr>
        <w:t>Le Locataire s'engage à ce que son affiche soit sabre et de ban gout Le Bailleur s'engage pour sa part à donner rapidement son approbation sauf pour motif raisonnable,</w:t>
      </w:r>
    </w:p>
    <w:p>
      <w:pPr>
        <w:spacing w:after="0" w:line="188" w:lineRule="exact"/>
        <w:rPr>
          <w:sz w:val="20"/>
          <w:szCs w:val="20"/>
          <w:color w:val="auto"/>
        </w:rPr>
      </w:pPr>
    </w:p>
    <w:p>
      <w:pPr>
        <w:ind w:left="520" w:hanging="359"/>
        <w:spacing w:after="0"/>
        <w:tabs>
          <w:tab w:leader="none" w:pos="52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STATIONNEMENT EXTÉRIEUR</w:t>
      </w:r>
    </w:p>
    <w:p>
      <w:pPr>
        <w:spacing w:after="0" w:line="226" w:lineRule="exact"/>
        <w:rPr>
          <w:rFonts w:ascii="Arial" w:cs="Arial" w:eastAsia="Arial" w:hAnsi="Arial"/>
          <w:sz w:val="16"/>
          <w:szCs w:val="16"/>
          <w:b w:val="1"/>
          <w:bCs w:val="1"/>
          <w:color w:val="auto"/>
        </w:rPr>
      </w:pPr>
    </w:p>
    <w:p>
      <w:pPr>
        <w:ind w:left="540" w:right="220"/>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A compter de la Date d'Occupation, le Bailleur mettra gratuitement et en tout temps à la disposition du Locataire (employés, clients et visiteurs) un minimum de 92 espaces de stationnement pour la Durée de Location et ses renouvellements.</w:t>
      </w:r>
    </w:p>
    <w:p>
      <w:pPr>
        <w:spacing w:after="0" w:line="187" w:lineRule="exact"/>
        <w:rPr>
          <w:rFonts w:ascii="Arial" w:cs="Arial" w:eastAsia="Arial" w:hAnsi="Arial"/>
          <w:sz w:val="16"/>
          <w:szCs w:val="16"/>
          <w:b w:val="1"/>
          <w:bCs w:val="1"/>
          <w:color w:val="auto"/>
        </w:rPr>
      </w:pPr>
    </w:p>
    <w:p>
      <w:pPr>
        <w:ind w:left="520" w:hanging="359"/>
        <w:spacing w:after="0"/>
        <w:tabs>
          <w:tab w:leader="none" w:pos="52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FRAIS OE COURTAGE</w:t>
      </w:r>
    </w:p>
    <w:p>
      <w:pPr>
        <w:spacing w:after="0" w:line="226" w:lineRule="exact"/>
        <w:rPr>
          <w:rFonts w:ascii="Arial" w:cs="Arial" w:eastAsia="Arial" w:hAnsi="Arial"/>
          <w:sz w:val="16"/>
          <w:szCs w:val="16"/>
          <w:b w:val="1"/>
          <w:bCs w:val="1"/>
          <w:color w:val="auto"/>
        </w:rPr>
      </w:pPr>
    </w:p>
    <w:p>
      <w:pPr>
        <w:ind w:left="540"/>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Le Locataire et le Bailleur déclarent que le seul courtier immobilier implique dans la location des Lieux Loues par le Locataire est Bender &amp; associes. Tous les frais de courtage en résultant seront entièrement payes par le Bailleur.</w:t>
      </w:r>
    </w:p>
    <w:p>
      <w:pPr>
        <w:spacing w:after="0" w:line="200" w:lineRule="exact"/>
        <w:rPr>
          <w:rFonts w:ascii="Arial" w:cs="Arial" w:eastAsia="Arial" w:hAnsi="Arial"/>
          <w:sz w:val="16"/>
          <w:szCs w:val="16"/>
          <w:b w:val="1"/>
          <w:bCs w:val="1"/>
          <w:color w:val="auto"/>
        </w:rPr>
      </w:pPr>
    </w:p>
    <w:p>
      <w:pPr>
        <w:spacing w:after="0" w:line="213" w:lineRule="exact"/>
        <w:rPr>
          <w:rFonts w:ascii="Arial" w:cs="Arial" w:eastAsia="Arial" w:hAnsi="Arial"/>
          <w:sz w:val="16"/>
          <w:szCs w:val="16"/>
          <w:b w:val="1"/>
          <w:bCs w:val="1"/>
          <w:color w:val="auto"/>
        </w:rPr>
      </w:pPr>
    </w:p>
    <w:p>
      <w:pPr>
        <w:ind w:left="520" w:hanging="359"/>
        <w:spacing w:after="0"/>
        <w:tabs>
          <w:tab w:leader="none" w:pos="52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DROIT DE RÉSILIATION</w:t>
      </w:r>
    </w:p>
    <w:p>
      <w:pPr>
        <w:spacing w:after="0" w:line="227"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30.1</w:t>
      </w:r>
      <w:r>
        <w:rPr>
          <w:sz w:val="20"/>
          <w:szCs w:val="20"/>
          <w:color w:val="auto"/>
        </w:rPr>
        <w:tab/>
      </w:r>
      <w:r>
        <w:rPr>
          <w:rFonts w:ascii="Arial" w:cs="Arial" w:eastAsia="Arial" w:hAnsi="Arial"/>
          <w:sz w:val="15"/>
          <w:szCs w:val="15"/>
          <w:color w:val="auto"/>
        </w:rPr>
        <w:t>Le Locataire pourra librement lever une option de résiliation anticipée a la CINQUIÈME (5e) année qui suit le Début de la</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Durée, sur préavis et moyennant le paiement des pénalités suivantes :</w:t>
      </w:r>
    </w:p>
    <w:p>
      <w:pPr>
        <w:sectPr>
          <w:pgSz w:w="11900" w:h="16838" w:orient="portrait"/>
          <w:cols w:equalWidth="0" w:num="1">
            <w:col w:w="10120"/>
          </w:cols>
          <w:pgMar w:left="1440" w:top="82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60" w:hanging="233"/>
        <w:spacing w:after="0"/>
        <w:tabs>
          <w:tab w:leader="none" w:pos="2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Préavis écrit : 12 (douze) mois</w:t>
      </w:r>
    </w:p>
    <w:p>
      <w:pPr>
        <w:spacing w:after="0" w:line="240" w:lineRule="exact"/>
        <w:rPr>
          <w:rFonts w:ascii="Arial" w:cs="Arial" w:eastAsia="Arial" w:hAnsi="Arial"/>
          <w:sz w:val="16"/>
          <w:szCs w:val="16"/>
          <w:color w:val="auto"/>
        </w:rPr>
      </w:pPr>
    </w:p>
    <w:p>
      <w:pPr>
        <w:ind w:left="2060" w:right="20" w:hanging="233"/>
        <w:spacing w:after="0" w:line="254" w:lineRule="auto"/>
        <w:tabs>
          <w:tab w:leader="none" w:pos="20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Pénalité en cas de résiliation anticipée: En plus de payer une pénalité de 10 mois de loyer Brut (Loyers de Base et Loyers Additionnels, tel qu'établis en date de l'avis de résiliation), le Locataire paiera la somme équivalente a la partie du- capital non</w:t>
      </w:r>
    </w:p>
    <w:p>
      <w:pPr>
        <w:spacing w:after="0" w:line="1" w:lineRule="exact"/>
        <w:rPr>
          <w:rFonts w:ascii="Arial" w:cs="Arial" w:eastAsia="Arial" w:hAnsi="Arial"/>
          <w:sz w:val="16"/>
          <w:szCs w:val="16"/>
          <w:color w:val="auto"/>
        </w:rPr>
      </w:pPr>
    </w:p>
    <w:p>
      <w:pPr>
        <w:ind w:left="2060" w:right="160"/>
        <w:spacing w:after="0" w:line="272" w:lineRule="auto"/>
        <w:rPr>
          <w:rFonts w:ascii="Arial" w:cs="Arial" w:eastAsia="Arial" w:hAnsi="Arial"/>
          <w:sz w:val="16"/>
          <w:szCs w:val="16"/>
          <w:color w:val="auto"/>
        </w:rPr>
      </w:pPr>
      <w:r>
        <w:rPr>
          <w:rFonts w:ascii="Arial" w:cs="Arial" w:eastAsia="Arial" w:hAnsi="Arial"/>
          <w:sz w:val="16"/>
          <w:szCs w:val="16"/>
          <w:color w:val="auto"/>
        </w:rPr>
        <w:t>amorti des améliorations locatives (uniquement si le Locataire exerce son option définie l'article 19) amorti sur la Durée de Location au taux de six pour cent et soixante-quinze centième (6,75%) (« Pénalité »).</w:t>
      </w:r>
    </w:p>
    <w:p>
      <w:pPr>
        <w:spacing w:after="0" w:line="190" w:lineRule="exact"/>
        <w:rPr>
          <w:sz w:val="20"/>
          <w:szCs w:val="20"/>
          <w:color w:val="auto"/>
        </w:rPr>
      </w:pPr>
    </w:p>
    <w:p>
      <w:pPr>
        <w:jc w:val="both"/>
        <w:ind w:left="14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30.2</w:t>
      </w:r>
      <w:r>
        <w:rPr>
          <w:sz w:val="20"/>
          <w:szCs w:val="20"/>
          <w:color w:val="auto"/>
        </w:rPr>
        <w:tab/>
      </w:r>
      <w:r>
        <w:rPr>
          <w:rFonts w:ascii="Arial" w:cs="Arial" w:eastAsia="Arial" w:hAnsi="Arial"/>
          <w:sz w:val="16"/>
          <w:szCs w:val="16"/>
          <w:color w:val="auto"/>
        </w:rPr>
        <w:t>Le paiement de la pénalité décrite aux présentes sera final et libérera le Locataire, ses cessionnaires, sous-locataires, filiales compagnie mère et autres personnes liées au Locataire de quelque façon, le Courtier et autres représentants du Locataire de toute obligation, de quelque nature, aux termes du Bail.</w:t>
      </w:r>
    </w:p>
    <w:p>
      <w:pPr>
        <w:spacing w:after="0" w:line="181"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5"/>
          <w:szCs w:val="15"/>
          <w:b w:val="1"/>
          <w:bCs w:val="1"/>
          <w:color w:val="auto"/>
        </w:rPr>
        <w:t>DROIT DE PREMIÈRE OFFRE</w:t>
      </w:r>
    </w:p>
    <w:p>
      <w:pPr>
        <w:spacing w:after="0" w:line="227" w:lineRule="exact"/>
        <w:rPr>
          <w:sz w:val="20"/>
          <w:szCs w:val="20"/>
          <w:color w:val="auto"/>
        </w:rPr>
      </w:pPr>
    </w:p>
    <w:p>
      <w:pPr>
        <w:jc w:val="both"/>
        <w:ind w:left="14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color w:val="auto"/>
        </w:rPr>
        <w:t xml:space="preserve">Des la signature par les parties du Bail, le Locataire aura un droit de première offre pour louer toute expansion à l’Édifice ou construction additionnelle sur le Terrain que le Bailleur pourrait construire (l'« </w:t>
      </w:r>
      <w:r>
        <w:rPr>
          <w:rFonts w:ascii="Arial" w:cs="Arial" w:eastAsia="Arial" w:hAnsi="Arial"/>
          <w:sz w:val="16"/>
          <w:szCs w:val="16"/>
          <w:b w:val="1"/>
          <w:bCs w:val="1"/>
          <w:color w:val="auto"/>
        </w:rPr>
        <w:t>Espace Additionnel</w:t>
      </w:r>
      <w:r>
        <w:rPr>
          <w:rFonts w:ascii="Arial" w:cs="Arial" w:eastAsia="Arial" w:hAnsi="Arial"/>
          <w:sz w:val="16"/>
          <w:szCs w:val="16"/>
          <w:color w:val="auto"/>
        </w:rPr>
        <w:t xml:space="preserve"> ») Le droit de première offre confère au Locataire continuera d'avoir plein effet quant à tout Espace Additionnel indépendamment du fait que le Locataire ait pu a quelconque moment refuser de l’exercer. L’Espace Additionnel sera loué pour une durée minimale de 10 ans.</w:t>
      </w:r>
    </w:p>
    <w:p>
      <w:pPr>
        <w:spacing w:after="0" w:line="200" w:lineRule="exact"/>
        <w:rPr>
          <w:sz w:val="20"/>
          <w:szCs w:val="20"/>
          <w:color w:val="auto"/>
        </w:rPr>
      </w:pPr>
    </w:p>
    <w:p>
      <w:pPr>
        <w:jc w:val="both"/>
        <w:ind w:left="14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color w:val="auto"/>
        </w:rPr>
        <w:t>Lorsque le Bailleur aura l'intention de construire une expansion à l'Édifice ou une construction sur le Terrain, il en informera le Locataire par écrit et ce dernier aura VINGT (20) jours ouvrables pour informer par écrit le Bailleur qu’il exerce son droit de première offre. Si le Locataire exerce son droit, la location sera consentie aux mêmes termes et conditions que le Bail, sauf le loyer de base annuelle pour l'Espace Additionnel qui devra être détermine selon les paramètres établis à l'article 32 « Option d'expansion » afin de tenir compte des couts de construction.</w:t>
      </w:r>
    </w:p>
    <w:p>
      <w:pPr>
        <w:spacing w:after="0" w:line="200"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31.3</w:t>
      </w:r>
      <w:r>
        <w:rPr>
          <w:sz w:val="20"/>
          <w:szCs w:val="20"/>
          <w:color w:val="auto"/>
        </w:rPr>
        <w:tab/>
      </w:r>
      <w:r>
        <w:rPr>
          <w:rFonts w:ascii="Arial" w:cs="Arial" w:eastAsia="Arial" w:hAnsi="Arial"/>
          <w:sz w:val="15"/>
          <w:szCs w:val="15"/>
          <w:color w:val="auto"/>
        </w:rPr>
        <w:t>Ce droit de première offre sera en vigueur pendant toute la Durée de Location et</w:t>
      </w:r>
    </w:p>
    <w:p>
      <w:pPr>
        <w:spacing w:after="0" w:line="31" w:lineRule="exact"/>
        <w:rPr>
          <w:sz w:val="20"/>
          <w:szCs w:val="20"/>
          <w:color w:val="auto"/>
        </w:rPr>
      </w:pPr>
    </w:p>
    <w:p>
      <w:pPr>
        <w:jc w:val="both"/>
        <w:ind w:left="1440" w:firstLine="2"/>
        <w:spacing w:after="0" w:line="248" w:lineRule="auto"/>
        <w:rPr>
          <w:sz w:val="20"/>
          <w:szCs w:val="20"/>
          <w:color w:val="auto"/>
        </w:rPr>
      </w:pPr>
      <w:r>
        <w:rPr>
          <w:rFonts w:ascii="Arial" w:cs="Arial" w:eastAsia="Arial" w:hAnsi="Arial"/>
          <w:sz w:val="16"/>
          <w:szCs w:val="16"/>
          <w:color w:val="auto"/>
        </w:rPr>
        <w:t>ses renouvellements. Des la conclusion de la transaction, le Bail sera amende de façon à inclure l'Espace Additionnel de même que les termes et conditions s'y rapportant La Durée de Location pour l'Espace Additionnel sera sujette au droit de renouvellement du Locataire selon les mêmes conditions que celles affectant les Lieux Loues.</w:t>
      </w:r>
    </w:p>
    <w:p>
      <w:pPr>
        <w:spacing w:after="0" w:line="22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5"/>
          <w:szCs w:val="15"/>
          <w:b w:val="1"/>
          <w:bCs w:val="1"/>
          <w:color w:val="auto"/>
        </w:rPr>
        <w:t>OPTION D'EXPANSION</w:t>
      </w:r>
    </w:p>
    <w:p>
      <w:pPr>
        <w:spacing w:after="0" w:line="240" w:lineRule="exact"/>
        <w:rPr>
          <w:sz w:val="20"/>
          <w:szCs w:val="20"/>
          <w:color w:val="auto"/>
        </w:rPr>
      </w:pPr>
    </w:p>
    <w:p>
      <w:pPr>
        <w:jc w:val="both"/>
        <w:ind w:left="14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color w:val="auto"/>
        </w:rPr>
        <w:t>En autant que le Locataire ne soit pas en défaut en vertu du présent Bail et sujet a la réglementation en vigueur, pendant la Durée de Location et ses renouvellements, le Locataire aura le droit d'exiger du Bailleur de construire une expansion à l'Édifice ayant une superficie allant jusqu'à un maximum de TRENTE MILLE (30 000) pieds carrés (I «Expansion»), moyennant un préavis écrit de QUINZE (15) mois (I' «avis d'expansion").</w:t>
      </w:r>
    </w:p>
    <w:p>
      <w:pPr>
        <w:spacing w:after="0" w:line="213" w:lineRule="exact"/>
        <w:rPr>
          <w:sz w:val="20"/>
          <w:szCs w:val="20"/>
          <w:color w:val="auto"/>
        </w:rPr>
      </w:pPr>
    </w:p>
    <w:p>
      <w:pPr>
        <w:jc w:val="both"/>
        <w:ind w:left="1420" w:hanging="476"/>
        <w:spacing w:after="0" w:line="258" w:lineRule="auto"/>
        <w:tabs>
          <w:tab w:leader="none" w:pos="1400" w:val="left"/>
        </w:tabs>
        <w:rPr>
          <w:sz w:val="20"/>
          <w:szCs w:val="20"/>
          <w:color w:val="auto"/>
        </w:rPr>
      </w:pPr>
      <w:r>
        <w:rPr>
          <w:rFonts w:ascii="Arial" w:cs="Arial" w:eastAsia="Arial" w:hAnsi="Arial"/>
          <w:sz w:val="16"/>
          <w:szCs w:val="16"/>
          <w:b w:val="1"/>
          <w:bCs w:val="1"/>
          <w:color w:val="auto"/>
        </w:rPr>
        <w:t>32.2</w:t>
      </w:r>
      <w:r>
        <w:rPr>
          <w:sz w:val="20"/>
          <w:szCs w:val="20"/>
          <w:color w:val="auto"/>
        </w:rPr>
        <w:tab/>
      </w:r>
      <w:r>
        <w:rPr>
          <w:rFonts w:ascii="Arial" w:cs="Arial" w:eastAsia="Arial" w:hAnsi="Arial"/>
          <w:sz w:val="16"/>
          <w:szCs w:val="16"/>
          <w:color w:val="auto"/>
        </w:rPr>
        <w:t>Une fois l'Expansion substantiellement terminée, le Locataire louera l'Expansion pour une durée minimale de DIX {10) ans aux mêmes termes et conditions énoncées dans le Bail, sauf le loyer de base annuelle pour l'Expansion qui devra être détermine comme prévu ci-après.</w:t>
      </w:r>
    </w:p>
    <w:p>
      <w:pPr>
        <w:sectPr>
          <w:pgSz w:w="11900" w:h="16838" w:orient="portrait"/>
          <w:cols w:equalWidth="0" w:num="1">
            <w:col w:w="10120"/>
          </w:cols>
          <w:pgMar w:left="1440" w:top="82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420" w:hanging="476"/>
        <w:spacing w:after="0" w:line="254" w:lineRule="auto"/>
        <w:tabs>
          <w:tab w:leader="none" w:pos="1400" w:val="left"/>
        </w:tabs>
        <w:rPr>
          <w:sz w:val="20"/>
          <w:szCs w:val="20"/>
          <w:color w:val="auto"/>
        </w:rPr>
      </w:pPr>
      <w:r>
        <w:rPr>
          <w:rFonts w:ascii="Arial" w:cs="Arial" w:eastAsia="Arial" w:hAnsi="Arial"/>
          <w:sz w:val="16"/>
          <w:szCs w:val="16"/>
          <w:b w:val="1"/>
          <w:bCs w:val="1"/>
          <w:color w:val="auto"/>
        </w:rPr>
        <w:t>32.3</w:t>
      </w:r>
      <w:r>
        <w:rPr>
          <w:sz w:val="20"/>
          <w:szCs w:val="20"/>
          <w:color w:val="auto"/>
        </w:rPr>
        <w:tab/>
      </w:r>
      <w:r>
        <w:rPr>
          <w:rFonts w:ascii="Arial" w:cs="Arial" w:eastAsia="Arial" w:hAnsi="Arial"/>
          <w:sz w:val="16"/>
          <w:szCs w:val="16"/>
          <w:color w:val="auto"/>
        </w:rPr>
        <w:t>Le loyer de base pour l'Expansion sera déterminée en tenant compte du cout total du projet (le «Cout total du projet ») pour l'Expansion, y compris tous les « hard cost », les couts d'améliorations locatives du Locataire (« Améliorations locatives du Locataire ») et !es couts accessoires lies a la construction de l'Expansion (soft cost), à l'exclusion du Terrain, a un taux d’intérêt de quatre cents (400) points de base au-dessus du taux directeur de la Banque du Canada au moment du dépôt de l’avis d'expansion par le Locataire</w:t>
      </w:r>
    </w:p>
    <w:p>
      <w:pPr>
        <w:spacing w:after="0" w:line="219" w:lineRule="exact"/>
        <w:rPr>
          <w:sz w:val="20"/>
          <w:szCs w:val="20"/>
          <w:color w:val="auto"/>
        </w:rPr>
      </w:pPr>
    </w:p>
    <w:p>
      <w:pPr>
        <w:ind w:left="1440"/>
        <w:spacing w:after="0" w:line="275" w:lineRule="auto"/>
        <w:rPr>
          <w:sz w:val="20"/>
          <w:szCs w:val="20"/>
          <w:color w:val="auto"/>
        </w:rPr>
      </w:pPr>
      <w:r>
        <w:rPr>
          <w:rFonts w:ascii="Arial" w:cs="Arial" w:eastAsia="Arial" w:hAnsi="Arial"/>
          <w:sz w:val="16"/>
          <w:szCs w:val="16"/>
          <w:color w:val="auto"/>
        </w:rPr>
        <w:t>Pour plus de certitude, le loyer annuel de base pour l'expansion pour la première année du terme de l'expansion, tel que défini ci-après, serait calcule sur la base de la formule suivante:</w:t>
      </w:r>
    </w:p>
    <w:p>
      <w:pPr>
        <w:spacing w:after="0" w:line="188" w:lineRule="exact"/>
        <w:rPr>
          <w:sz w:val="20"/>
          <w:szCs w:val="20"/>
          <w:color w:val="auto"/>
        </w:rPr>
      </w:pPr>
    </w:p>
    <w:p>
      <w:pPr>
        <w:ind w:left="1440" w:hanging="1"/>
        <w:spacing w:after="0" w:line="293" w:lineRule="auto"/>
        <w:rPr>
          <w:sz w:val="20"/>
          <w:szCs w:val="20"/>
          <w:color w:val="auto"/>
        </w:rPr>
      </w:pPr>
      <w:r>
        <w:rPr>
          <w:rFonts w:ascii="Arial" w:cs="Arial" w:eastAsia="Arial" w:hAnsi="Arial"/>
          <w:sz w:val="16"/>
          <w:szCs w:val="16"/>
          <w:color w:val="auto"/>
        </w:rPr>
        <w:t>Loyer annuel de base (le.«loyer annuel de base pour l'Expansion») = Cout total du projet multiplie par le taux d'intérêt annuel.</w:t>
      </w:r>
    </w:p>
    <w:p>
      <w:pPr>
        <w:spacing w:after="0" w:line="174" w:lineRule="exact"/>
        <w:rPr>
          <w:sz w:val="20"/>
          <w:szCs w:val="20"/>
          <w:color w:val="auto"/>
        </w:rPr>
      </w:pPr>
    </w:p>
    <w:p>
      <w:pPr>
        <w:ind w:left="2060" w:hanging="83"/>
        <w:spacing w:after="0"/>
        <w:tabs>
          <w:tab w:leader="none" w:pos="2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Construction et « soft cost »</w:t>
      </w:r>
    </w:p>
    <w:p>
      <w:pPr>
        <w:spacing w:after="0" w:line="253" w:lineRule="exact"/>
        <w:rPr>
          <w:rFonts w:ascii="Arial" w:cs="Arial" w:eastAsia="Arial" w:hAnsi="Arial"/>
          <w:sz w:val="16"/>
          <w:szCs w:val="16"/>
          <w:color w:val="auto"/>
        </w:rPr>
      </w:pPr>
    </w:p>
    <w:p>
      <w:pPr>
        <w:ind w:left="2060" w:right="20"/>
        <w:spacing w:after="0" w:line="258" w:lineRule="auto"/>
        <w:rPr>
          <w:rFonts w:ascii="Arial" w:cs="Arial" w:eastAsia="Arial" w:hAnsi="Arial"/>
          <w:sz w:val="16"/>
          <w:szCs w:val="16"/>
          <w:color w:val="auto"/>
        </w:rPr>
      </w:pPr>
      <w:r>
        <w:rPr>
          <w:rFonts w:ascii="Arial" w:cs="Arial" w:eastAsia="Arial" w:hAnsi="Arial"/>
          <w:sz w:val="16"/>
          <w:szCs w:val="16"/>
          <w:color w:val="auto"/>
        </w:rPr>
        <w:t>Les frais engagés par ou pour le Bailleur suite au processus d'appel d'offres avec trois (3) différents entrepreneurs généraux bases sur les spécifications et/ou !es plans ainsi que taus les frais accessoires (soft cost) (frais d'ingénierie, honoraires d'architecte, le financement provisoire, etc.)</w:t>
      </w:r>
    </w:p>
    <w:p>
      <w:pPr>
        <w:spacing w:after="0" w:line="214" w:lineRule="exact"/>
        <w:rPr>
          <w:rFonts w:ascii="Arial" w:cs="Arial" w:eastAsia="Arial" w:hAnsi="Arial"/>
          <w:sz w:val="16"/>
          <w:szCs w:val="16"/>
          <w:color w:val="auto"/>
        </w:rPr>
      </w:pPr>
    </w:p>
    <w:p>
      <w:pPr>
        <w:ind w:left="2060" w:hanging="81"/>
        <w:spacing w:after="0"/>
        <w:tabs>
          <w:tab w:leader="none" w:pos="2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Taux d'intérêt annuel</w:t>
      </w:r>
    </w:p>
    <w:p>
      <w:pPr>
        <w:spacing w:after="0" w:line="240" w:lineRule="exact"/>
        <w:rPr>
          <w:sz w:val="20"/>
          <w:szCs w:val="20"/>
          <w:color w:val="auto"/>
        </w:rPr>
      </w:pPr>
    </w:p>
    <w:p>
      <w:pPr>
        <w:ind w:left="2060" w:right="120"/>
        <w:spacing w:after="0" w:line="293" w:lineRule="auto"/>
        <w:rPr>
          <w:sz w:val="20"/>
          <w:szCs w:val="20"/>
          <w:color w:val="auto"/>
        </w:rPr>
      </w:pPr>
      <w:r>
        <w:rPr>
          <w:rFonts w:ascii="Arial" w:cs="Arial" w:eastAsia="Arial" w:hAnsi="Arial"/>
          <w:sz w:val="16"/>
          <w:szCs w:val="16"/>
          <w:color w:val="auto"/>
        </w:rPr>
        <w:t>Quatre cents (400} points de base au-dessus du taux directeur de la Banque du Canada au moment du dépôt de ravis d'expansion par le Locataire.</w:t>
      </w:r>
    </w:p>
    <w:p>
      <w:pPr>
        <w:spacing w:after="0" w:line="174" w:lineRule="exact"/>
        <w:rPr>
          <w:sz w:val="20"/>
          <w:szCs w:val="20"/>
          <w:color w:val="auto"/>
        </w:rPr>
      </w:pPr>
    </w:p>
    <w:p>
      <w:pPr>
        <w:ind w:left="1440" w:right="380"/>
        <w:spacing w:after="0" w:line="275" w:lineRule="auto"/>
        <w:rPr>
          <w:sz w:val="20"/>
          <w:szCs w:val="20"/>
          <w:color w:val="auto"/>
        </w:rPr>
      </w:pPr>
      <w:r>
        <w:rPr>
          <w:rFonts w:ascii="Arial" w:cs="Arial" w:eastAsia="Arial" w:hAnsi="Arial"/>
          <w:sz w:val="16"/>
          <w:szCs w:val="16"/>
          <w:color w:val="auto"/>
        </w:rPr>
        <w:t>Le loyer annuel de base pour l'Expansion sera, pour les années subséquentes, ajuste· annuellement selon les mêmes termes et condition que le Bail.</w:t>
      </w:r>
    </w:p>
    <w:p>
      <w:pPr>
        <w:spacing w:after="0" w:line="201" w:lineRule="exact"/>
        <w:rPr>
          <w:sz w:val="20"/>
          <w:szCs w:val="20"/>
          <w:color w:val="auto"/>
        </w:rPr>
      </w:pPr>
    </w:p>
    <w:p>
      <w:pPr>
        <w:jc w:val="both"/>
        <w:ind w:left="14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32.4</w:t>
      </w:r>
      <w:r>
        <w:rPr>
          <w:sz w:val="20"/>
          <w:szCs w:val="20"/>
          <w:color w:val="auto"/>
        </w:rPr>
        <w:tab/>
      </w:r>
      <w:r>
        <w:rPr>
          <w:rFonts w:ascii="Arial" w:cs="Arial" w:eastAsia="Arial" w:hAnsi="Arial"/>
          <w:sz w:val="16"/>
          <w:szCs w:val="16"/>
          <w:color w:val="auto"/>
        </w:rPr>
        <w:t>Le Locataire doit fournir au Bailleur ses plans préliminaires révises avec ses spécifications liées à l'Expansion en même temps que l'avis d'expansion. Le Bailleur doit alors fournir au Locataire une estimation écrite des couts lies a l'Expansion, à des fins budgétaires seulement</w:t>
      </w:r>
    </w:p>
    <w:p>
      <w:pPr>
        <w:spacing w:after="0" w:line="194" w:lineRule="exact"/>
        <w:rPr>
          <w:sz w:val="20"/>
          <w:szCs w:val="20"/>
          <w:color w:val="auto"/>
        </w:rPr>
      </w:pPr>
    </w:p>
    <w:p>
      <w:pPr>
        <w:jc w:val="both"/>
        <w:ind w:left="1420" w:hanging="476"/>
        <w:spacing w:after="0" w:line="254" w:lineRule="auto"/>
        <w:tabs>
          <w:tab w:leader="none" w:pos="1400" w:val="left"/>
        </w:tabs>
        <w:rPr>
          <w:sz w:val="20"/>
          <w:szCs w:val="20"/>
          <w:color w:val="auto"/>
        </w:rPr>
      </w:pPr>
      <w:r>
        <w:rPr>
          <w:rFonts w:ascii="Arial" w:cs="Arial" w:eastAsia="Arial" w:hAnsi="Arial"/>
          <w:sz w:val="16"/>
          <w:szCs w:val="16"/>
          <w:b w:val="1"/>
          <w:bCs w:val="1"/>
          <w:color w:val="auto"/>
        </w:rPr>
        <w:t>32.5</w:t>
      </w:r>
      <w:r>
        <w:rPr>
          <w:sz w:val="20"/>
          <w:szCs w:val="20"/>
          <w:color w:val="auto"/>
        </w:rPr>
        <w:tab/>
      </w:r>
      <w:r>
        <w:rPr>
          <w:rFonts w:ascii="Arial" w:cs="Arial" w:eastAsia="Arial" w:hAnsi="Arial"/>
          <w:sz w:val="16"/>
          <w:szCs w:val="16"/>
          <w:color w:val="auto"/>
        </w:rPr>
        <w:t>Le Bailleur doit obtenir au mains trois (3) propositions après être passe par un processus d'appel d'offres. L'entrepreneur général doit être choisi par le Bailleur, avec le consentement écrit du Locataire, agissant raisonnablement. Le Locataire conserve le droit d'apporter des modifications mineures aux plans et devis sous réserve du consentement écrit du Bailleur, agissant raisonnablement, et a condition que cela, ne retarde pas la construction de l'Expansion de l'avis raisonnable du Bailleur a un point où elle compromet l'occupation du Locataire de l'Expansion.</w:t>
      </w:r>
    </w:p>
    <w:p>
      <w:pPr>
        <w:spacing w:after="0" w:line="200" w:lineRule="exact"/>
        <w:rPr>
          <w:sz w:val="20"/>
          <w:szCs w:val="20"/>
          <w:color w:val="auto"/>
        </w:rPr>
      </w:pPr>
    </w:p>
    <w:p>
      <w:pPr>
        <w:spacing w:after="0" w:line="257" w:lineRule="exact"/>
        <w:rPr>
          <w:sz w:val="20"/>
          <w:szCs w:val="20"/>
          <w:color w:val="auto"/>
        </w:rPr>
      </w:pPr>
    </w:p>
    <w:p>
      <w:pPr>
        <w:jc w:val="both"/>
        <w:ind w:left="14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32.6</w:t>
      </w:r>
      <w:r>
        <w:rPr>
          <w:sz w:val="20"/>
          <w:szCs w:val="20"/>
          <w:color w:val="auto"/>
        </w:rPr>
        <w:tab/>
      </w:r>
      <w:r>
        <w:rPr>
          <w:rFonts w:ascii="Arial" w:cs="Arial" w:eastAsia="Arial" w:hAnsi="Arial"/>
          <w:sz w:val="16"/>
          <w:szCs w:val="16"/>
          <w:color w:val="auto"/>
        </w:rPr>
        <w:t>Si le Locataire exerce son droit, la durée de location pour l'Expansion sera au minimum de 10 ans (le « terme de l’expansion"). La Durée de location des Lieux Loues sera prolongée afin d'être co-terminus au terme de l'expansion. Tous les autres termes et conditions du Bail continueront à s'appliquer en ce qui concerne les Lieux Loues et l'Expansion.</w:t>
      </w:r>
    </w:p>
    <w:p>
      <w:pPr>
        <w:spacing w:after="0" w:line="194" w:lineRule="exact"/>
        <w:rPr>
          <w:sz w:val="20"/>
          <w:szCs w:val="20"/>
          <w:color w:val="auto"/>
        </w:rPr>
      </w:pPr>
    </w:p>
    <w:p>
      <w:pPr>
        <w:jc w:val="both"/>
        <w:ind w:left="14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32.7</w:t>
      </w:r>
      <w:r>
        <w:rPr>
          <w:sz w:val="20"/>
          <w:szCs w:val="20"/>
          <w:color w:val="auto"/>
        </w:rPr>
        <w:tab/>
      </w:r>
      <w:r>
        <w:rPr>
          <w:rFonts w:ascii="Arial" w:cs="Arial" w:eastAsia="Arial" w:hAnsi="Arial"/>
          <w:sz w:val="16"/>
          <w:szCs w:val="16"/>
          <w:color w:val="auto"/>
        </w:rPr>
        <w:t>Cette option d'expansion sera en vigueur pendant toute la Durée de Location et ses renouvellements. Des l'exercice de l'option d'expansion, le Bail sera amende de façon à inclure l'Expansion de même que les termes et conditions s'y rapportant. L'Expansion sera sujette au droit de renouvellement du Locataire selon les mêmes conditions que celles affectant les Lieux Loues.</w:t>
      </w:r>
    </w:p>
    <w:p>
      <w:pPr>
        <w:sectPr>
          <w:pgSz w:w="11900" w:h="16838" w:orient="portrait"/>
          <w:cols w:equalWidth="0" w:num="1">
            <w:col w:w="10120"/>
          </w:cols>
          <w:pgMar w:left="1440" w:top="82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5"/>
          <w:szCs w:val="15"/>
          <w:b w:val="1"/>
          <w:bCs w:val="1"/>
          <w:color w:val="auto"/>
        </w:rPr>
        <w:t>CESSION ET SOUS-LOCATION</w:t>
      </w:r>
    </w:p>
    <w:p>
      <w:pPr>
        <w:spacing w:after="0" w:line="240" w:lineRule="exact"/>
        <w:rPr>
          <w:sz w:val="20"/>
          <w:szCs w:val="20"/>
          <w:color w:val="auto"/>
        </w:rPr>
      </w:pPr>
    </w:p>
    <w:p>
      <w:pPr>
        <w:jc w:val="both"/>
        <w:ind w:left="14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33.1</w:t>
      </w:r>
      <w:r>
        <w:rPr>
          <w:sz w:val="20"/>
          <w:szCs w:val="20"/>
          <w:color w:val="auto"/>
        </w:rPr>
        <w:tab/>
      </w:r>
      <w:r>
        <w:rPr>
          <w:rFonts w:ascii="Arial" w:cs="Arial" w:eastAsia="Arial" w:hAnsi="Arial"/>
          <w:sz w:val="16"/>
          <w:szCs w:val="16"/>
          <w:color w:val="auto"/>
        </w:rPr>
        <w:t>Le Locataire pourra, à compter de la Date d'Occupation, en obtenant au préalable le consentement écrit du Bailleur, lequel consentement ne sera pas refuse ou retenu sans raison valable, céder le Bail au sous-louer les Lieux Loues en tout ou en partie.</w:t>
      </w:r>
    </w:p>
    <w:p>
      <w:pPr>
        <w:spacing w:after="0" w:line="194" w:lineRule="exact"/>
        <w:rPr>
          <w:sz w:val="20"/>
          <w:szCs w:val="20"/>
          <w:color w:val="auto"/>
        </w:rPr>
      </w:pPr>
    </w:p>
    <w:p>
      <w:pPr>
        <w:ind w:left="14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33.2</w:t>
      </w:r>
      <w:r>
        <w:rPr>
          <w:sz w:val="20"/>
          <w:szCs w:val="20"/>
          <w:color w:val="auto"/>
        </w:rPr>
        <w:tab/>
      </w:r>
      <w:r>
        <w:rPr>
          <w:rFonts w:ascii="Arial" w:cs="Arial" w:eastAsia="Arial" w:hAnsi="Arial"/>
          <w:sz w:val="16"/>
          <w:szCs w:val="16"/>
          <w:color w:val="auto"/>
        </w:rPr>
        <w:t>Le Bailleur disposera de sept (7) jours ouvrables, à compter de la réception par ce dernier d'une demande écrite du Locataire, pour communiquer par écrit son assentiment ou son refus et les raisons qui le motivent. Le défaut du Bailleur d'informer le Locataire par écrit sera présumé équivaloir, a toutes fins que de droit, a une acceptation de la sous-location ou la cession proposée par le Locataire.</w:t>
      </w:r>
    </w:p>
    <w:p>
      <w:pPr>
        <w:spacing w:after="0" w:line="213" w:lineRule="exact"/>
        <w:rPr>
          <w:sz w:val="20"/>
          <w:szCs w:val="20"/>
          <w:color w:val="auto"/>
        </w:rPr>
      </w:pPr>
    </w:p>
    <w:p>
      <w:pPr>
        <w:ind w:left="1420" w:right="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33.3</w:t>
      </w:r>
      <w:r>
        <w:rPr>
          <w:sz w:val="20"/>
          <w:szCs w:val="20"/>
          <w:color w:val="auto"/>
        </w:rPr>
        <w:tab/>
      </w:r>
      <w:r>
        <w:rPr>
          <w:rFonts w:ascii="Arial" w:cs="Arial" w:eastAsia="Arial" w:hAnsi="Arial"/>
          <w:sz w:val="16"/>
          <w:szCs w:val="16"/>
          <w:color w:val="auto"/>
        </w:rPr>
        <w:t>Le Locataire pourra, sans le consentement du Bailleur, sous-louer les Lieux Loues en tout ou en partie à une compagnie ou société liée ou avec une compagnie avec laquelle elle a fusionne ou s'est scindée pourvu toutefois, que le Bailleur en soit préalablement avisé par écrit et que le Locataire demeure conjointement et solidairement responsable des obligations contenues au Bail.</w:t>
      </w:r>
    </w:p>
    <w:p>
      <w:pPr>
        <w:spacing w:after="0" w:line="200" w:lineRule="exact"/>
        <w:rPr>
          <w:sz w:val="20"/>
          <w:szCs w:val="20"/>
          <w:color w:val="auto"/>
        </w:rPr>
      </w:pPr>
    </w:p>
    <w:p>
      <w:pPr>
        <w:ind w:left="1420" w:right="60" w:hanging="476"/>
        <w:spacing w:after="0" w:line="264" w:lineRule="auto"/>
        <w:tabs>
          <w:tab w:leader="none" w:pos="1400" w:val="left"/>
        </w:tabs>
        <w:rPr>
          <w:sz w:val="20"/>
          <w:szCs w:val="20"/>
          <w:color w:val="auto"/>
        </w:rPr>
      </w:pPr>
      <w:r>
        <w:rPr>
          <w:rFonts w:ascii="Arial" w:cs="Arial" w:eastAsia="Arial" w:hAnsi="Arial"/>
          <w:sz w:val="16"/>
          <w:szCs w:val="16"/>
          <w:b w:val="1"/>
          <w:bCs w:val="1"/>
          <w:color w:val="auto"/>
        </w:rPr>
        <w:t>33.4</w:t>
      </w:r>
      <w:r>
        <w:rPr>
          <w:sz w:val="20"/>
          <w:szCs w:val="20"/>
          <w:color w:val="auto"/>
        </w:rPr>
        <w:tab/>
      </w:r>
      <w:r>
        <w:rPr>
          <w:rFonts w:ascii="Arial" w:cs="Arial" w:eastAsia="Arial" w:hAnsi="Arial"/>
          <w:sz w:val="16"/>
          <w:szCs w:val="16"/>
          <w:color w:val="auto"/>
        </w:rPr>
        <w:t>Le Locataire pourra, avec le consentement du Bailleur, céder le Bail des Lieux Loues en tout ou en partie à une compagnie ou société liée ou avec une compagnie avec laquelle elle a fusionne ou s'est scindée. Toutefois, dans le cas d’une cession approuvée par le Bailleur, le Locataire ne sera pas conjointement et solidairement responsable des obligations contenues au Ban.</w:t>
      </w:r>
    </w:p>
    <w:p>
      <w:pPr>
        <w:spacing w:after="0" w:line="197" w:lineRule="exact"/>
        <w:rPr>
          <w:sz w:val="20"/>
          <w:szCs w:val="20"/>
          <w:color w:val="auto"/>
        </w:rPr>
      </w:pPr>
    </w:p>
    <w:p>
      <w:pPr>
        <w:jc w:val="both"/>
        <w:ind w:left="14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33.5</w:t>
      </w:r>
      <w:r>
        <w:rPr>
          <w:sz w:val="20"/>
          <w:szCs w:val="20"/>
          <w:color w:val="auto"/>
        </w:rPr>
        <w:tab/>
      </w:r>
      <w:r>
        <w:rPr>
          <w:rFonts w:ascii="Arial" w:cs="Arial" w:eastAsia="Arial" w:hAnsi="Arial"/>
          <w:sz w:val="16"/>
          <w:szCs w:val="16"/>
          <w:color w:val="auto"/>
        </w:rPr>
        <w:t>Nonobstant ce qui précède et toute autre disposition contenue aux présentes ou dans le Bail, le Locataire aura le droit de cesser la poursuite de ses affaires dans les Lieux Loues et leur occupation, pourvu qu’il respecte les autres termes et conditions du Bail qui ’sont conciliables avec la non occupation des Lieux Loues.</w:t>
      </w:r>
    </w:p>
    <w:p>
      <w:pPr>
        <w:spacing w:after="0" w:line="181"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5"/>
          <w:szCs w:val="15"/>
          <w:b w:val="1"/>
          <w:bCs w:val="1"/>
          <w:color w:val="auto"/>
        </w:rPr>
        <w:t>OPTION DE RENOUVELLEMENT</w:t>
      </w:r>
    </w:p>
    <w:p>
      <w:pPr>
        <w:spacing w:after="0" w:line="227" w:lineRule="exact"/>
        <w:rPr>
          <w:sz w:val="20"/>
          <w:szCs w:val="20"/>
          <w:color w:val="auto"/>
        </w:rPr>
      </w:pPr>
    </w:p>
    <w:p>
      <w:pPr>
        <w:jc w:val="both"/>
        <w:ind w:left="1420" w:hanging="476"/>
        <w:spacing w:after="0" w:line="253" w:lineRule="auto"/>
        <w:tabs>
          <w:tab w:leader="none" w:pos="1400" w:val="left"/>
        </w:tabs>
        <w:rPr>
          <w:sz w:val="20"/>
          <w:szCs w:val="20"/>
          <w:color w:val="auto"/>
        </w:rPr>
      </w:pPr>
      <w:r>
        <w:rPr>
          <w:rFonts w:ascii="Arial" w:cs="Arial" w:eastAsia="Arial" w:hAnsi="Arial"/>
          <w:sz w:val="16"/>
          <w:szCs w:val="16"/>
          <w:b w:val="1"/>
          <w:bCs w:val="1"/>
          <w:color w:val="auto"/>
        </w:rPr>
        <w:t>34.1</w:t>
      </w:r>
      <w:r>
        <w:rPr>
          <w:sz w:val="20"/>
          <w:szCs w:val="20"/>
          <w:color w:val="auto"/>
        </w:rPr>
        <w:tab/>
      </w:r>
      <w:r>
        <w:rPr>
          <w:rFonts w:ascii="Arial" w:cs="Arial" w:eastAsia="Arial" w:hAnsi="Arial"/>
          <w:sz w:val="16"/>
          <w:szCs w:val="16"/>
          <w:color w:val="auto"/>
        </w:rPr>
        <w:t>A la condition que le Locataire remplisse, de bonne foi et ponctuellement, toutes les obligations qui lui incombent en vertu du bail et qu'il ne soit pas en défaut majeur en vertu de l'une quelconque d'entre elles, il pourra renouveler le présent bail pour DEUX (2) périodes additionnelles de cinq (5) années chacune. Un avis écrit, au moins six (6) mois avant l’expiration du présent bail ou le cas échéant, de la première période de renouvellement, devra être donne au Bailleur. A défaut d’avis par le Locataire, le présent bail prendra automatiquement fin à l'arrivée du terme fixe. Le nouveau prix fixe pour son loyer net de base sera au taux du marché pour un nouveau locataire en tenant compte des incitations à louer tel que celui-ci est offert pour de l’espace de bureaux dans des édifices similaires.</w:t>
      </w:r>
    </w:p>
    <w:p>
      <w:pPr>
        <w:spacing w:after="0" w:line="219" w:lineRule="exact"/>
        <w:rPr>
          <w:sz w:val="20"/>
          <w:szCs w:val="20"/>
          <w:color w:val="auto"/>
        </w:rPr>
      </w:pPr>
    </w:p>
    <w:p>
      <w:pPr>
        <w:ind w:left="1420" w:right="4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34.2</w:t>
      </w:r>
      <w:r>
        <w:rPr>
          <w:sz w:val="20"/>
          <w:szCs w:val="20"/>
          <w:color w:val="auto"/>
        </w:rPr>
        <w:tab/>
      </w:r>
      <w:r>
        <w:rPr>
          <w:rFonts w:ascii="Arial" w:cs="Arial" w:eastAsia="Arial" w:hAnsi="Arial"/>
          <w:sz w:val="16"/>
          <w:szCs w:val="16"/>
          <w:color w:val="auto"/>
        </w:rPr>
        <w:t>Le fait que le Locataire continue d'occuper les lieux après l'expiration de son bail sans qu'un nouveau bail n'ait été signe ne constitue pas un renouvellement de bail, le Locataire étant considéré comme Locataire au mois et il devra payer en sus de toute somme payable à titre de loyer additionnel prévu au bail, le loyer net détermine par le Bailleur en autant que celui-ci ne soit pas supérieur au taux du marché.</w:t>
      </w:r>
    </w:p>
    <w:p>
      <w:pPr>
        <w:spacing w:after="0" w:line="20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5"/>
          <w:szCs w:val="15"/>
          <w:b w:val="1"/>
          <w:bCs w:val="1"/>
          <w:color w:val="auto"/>
        </w:rPr>
        <w:t>FORCE MAJEURE</w:t>
      </w:r>
    </w:p>
    <w:p>
      <w:pPr>
        <w:spacing w:after="0" w:line="253" w:lineRule="exact"/>
        <w:rPr>
          <w:sz w:val="20"/>
          <w:szCs w:val="20"/>
          <w:color w:val="auto"/>
        </w:rPr>
      </w:pPr>
    </w:p>
    <w:p>
      <w:pPr>
        <w:ind w:left="1420" w:right="20" w:hanging="476"/>
        <w:spacing w:after="0" w:line="259" w:lineRule="auto"/>
        <w:tabs>
          <w:tab w:leader="none" w:pos="1400" w:val="left"/>
        </w:tabs>
        <w:rPr>
          <w:sz w:val="20"/>
          <w:szCs w:val="20"/>
          <w:color w:val="auto"/>
        </w:rPr>
      </w:pPr>
      <w:r>
        <w:rPr>
          <w:rFonts w:ascii="Arial" w:cs="Arial" w:eastAsia="Arial" w:hAnsi="Arial"/>
          <w:sz w:val="16"/>
          <w:szCs w:val="16"/>
          <w:b w:val="1"/>
          <w:bCs w:val="1"/>
          <w:color w:val="auto"/>
        </w:rPr>
        <w:t>35.1</w:t>
      </w:r>
      <w:r>
        <w:rPr>
          <w:sz w:val="20"/>
          <w:szCs w:val="20"/>
          <w:color w:val="auto"/>
        </w:rPr>
        <w:tab/>
      </w:r>
      <w:r>
        <w:rPr>
          <w:rFonts w:ascii="Arial" w:cs="Arial" w:eastAsia="Arial" w:hAnsi="Arial"/>
          <w:sz w:val="16"/>
          <w:szCs w:val="16"/>
          <w:color w:val="auto"/>
        </w:rPr>
        <w:t>Les parties ne seront aucunement responsables· pour tout défaut, retard ou omission dans l'exécution de leurs obligations si cela résulté d'un cas fortuit ou de force majeure, soit un acte de Dieu, un incendie, une grevé, un lock-out, une émeute ou un autre dérangement tel qu’une guerre, un blocus, une insurrection.ou toute autre circonstance qui est hors du contrôle raisonnable des parties et n’aurait pu être empêchée par celles-ci.</w:t>
      </w:r>
    </w:p>
    <w:p>
      <w:pPr>
        <w:sectPr>
          <w:pgSz w:w="11900" w:h="16838" w:orient="portrait"/>
          <w:cols w:equalWidth="0" w:num="1">
            <w:col w:w="10120"/>
          </w:cols>
          <w:pgMar w:left="1440" w:top="828" w:right="339" w:bottom="1440" w:gutter="0" w:footer="0" w:header="0"/>
        </w:sectPr>
      </w:pPr>
    </w:p>
    <w:bookmarkStart w:id="129" w:name="page130"/>
    <w:bookmarkEnd w:id="129"/>
    <w:p>
      <w:pPr>
        <w:ind w:left="9520"/>
        <w:spacing w:after="0"/>
        <w:rPr>
          <w:sz w:val="20"/>
          <w:szCs w:val="20"/>
          <w:color w:val="auto"/>
        </w:rPr>
      </w:pPr>
      <w:r>
        <w:rPr>
          <w:rFonts w:ascii="Arial" w:cs="Arial" w:eastAsia="Arial" w:hAnsi="Arial"/>
          <w:sz w:val="16"/>
          <w:szCs w:val="16"/>
          <w:color w:val="auto"/>
        </w:rPr>
        <w:t>Page 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20" w:right="100" w:hanging="476"/>
        <w:spacing w:after="0" w:line="310" w:lineRule="auto"/>
        <w:tabs>
          <w:tab w:leader="none" w:pos="1400" w:val="left"/>
        </w:tabs>
        <w:rPr>
          <w:sz w:val="20"/>
          <w:szCs w:val="20"/>
          <w:color w:val="auto"/>
        </w:rPr>
      </w:pPr>
      <w:r>
        <w:rPr>
          <w:rFonts w:ascii="Arial" w:cs="Arial" w:eastAsia="Arial" w:hAnsi="Arial"/>
          <w:sz w:val="16"/>
          <w:szCs w:val="16"/>
          <w:b w:val="1"/>
          <w:bCs w:val="1"/>
          <w:color w:val="auto"/>
        </w:rPr>
        <w:t>35.2</w:t>
      </w:r>
      <w:r>
        <w:rPr>
          <w:sz w:val="20"/>
          <w:szCs w:val="20"/>
          <w:color w:val="auto"/>
        </w:rPr>
        <w:tab/>
      </w:r>
      <w:r>
        <w:rPr>
          <w:rFonts w:ascii="Arial" w:cs="Arial" w:eastAsia="Arial" w:hAnsi="Arial"/>
          <w:sz w:val="15"/>
          <w:szCs w:val="15"/>
          <w:color w:val="auto"/>
        </w:rPr>
        <w:t>Pourvu que le Locataire bénéficie de la jouissance des Lieux Loues, l'avènement d’un état de force majeure ou d’un cas fortuit ne pourra avoir pour effet d'annuler ou différer le versement par le Locataire d'un montant dû par celui-ci au Bailleur.</w:t>
      </w:r>
    </w:p>
    <w:p>
      <w:pPr>
        <w:spacing w:after="0" w:line="164" w:lineRule="exact"/>
        <w:rPr>
          <w:sz w:val="20"/>
          <w:szCs w:val="20"/>
          <w:color w:val="auto"/>
        </w:rPr>
      </w:pPr>
    </w:p>
    <w:p>
      <w:pPr>
        <w:ind w:left="520" w:hanging="359"/>
        <w:spacing w:after="0"/>
        <w:tabs>
          <w:tab w:leader="none" w:pos="52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AVIS</w:t>
      </w:r>
    </w:p>
    <w:p>
      <w:pPr>
        <w:spacing w:after="0" w:line="226" w:lineRule="exact"/>
        <w:rPr>
          <w:rFonts w:ascii="Arial" w:cs="Arial" w:eastAsia="Arial" w:hAnsi="Arial"/>
          <w:sz w:val="16"/>
          <w:szCs w:val="16"/>
          <w:b w:val="1"/>
          <w:bCs w:val="1"/>
          <w:color w:val="auto"/>
        </w:rPr>
      </w:pPr>
    </w:p>
    <w:p>
      <w:pPr>
        <w:ind w:left="540"/>
        <w:spacing w:after="0"/>
        <w:rPr>
          <w:rFonts w:ascii="Arial" w:cs="Arial" w:eastAsia="Arial" w:hAnsi="Arial"/>
          <w:sz w:val="16"/>
          <w:szCs w:val="16"/>
          <w:b w:val="1"/>
          <w:bCs w:val="1"/>
          <w:color w:val="auto"/>
        </w:rPr>
      </w:pPr>
      <w:r>
        <w:rPr>
          <w:rFonts w:ascii="Arial" w:cs="Arial" w:eastAsia="Arial" w:hAnsi="Arial"/>
          <w:sz w:val="16"/>
          <w:szCs w:val="16"/>
          <w:color w:val="auto"/>
        </w:rPr>
        <w:t>Tout avis donne en vertu du présent Bail devra être par écrit et devra être transmis comme suit :</w:t>
      </w:r>
    </w:p>
    <w:p>
      <w:pPr>
        <w:spacing w:after="0" w:line="240" w:lineRule="exact"/>
        <w:rPr>
          <w:rFonts w:ascii="Arial" w:cs="Arial" w:eastAsia="Arial" w:hAnsi="Arial"/>
          <w:sz w:val="16"/>
          <w:szCs w:val="16"/>
          <w:b w:val="1"/>
          <w:bCs w:val="1"/>
          <w:color w:val="auto"/>
        </w:rPr>
      </w:pPr>
    </w:p>
    <w:p>
      <w:pPr>
        <w:ind w:left="5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1405 PTQM (SEC)</w:t>
      </w:r>
    </w:p>
    <w:p>
      <w:pPr>
        <w:spacing w:after="0" w:line="24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 l'attention de M. Marc Simard, Président</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1135, Grande Allee Ouest, bureau 210</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Québec (Québec) G1S 1E7</w:t>
      </w:r>
    </w:p>
    <w:p>
      <w:pPr>
        <w:spacing w:after="0" w:line="2" w:lineRule="exact"/>
        <w:rPr>
          <w:sz w:val="20"/>
          <w:szCs w:val="20"/>
          <w:color w:val="auto"/>
        </w:rPr>
      </w:pPr>
    </w:p>
    <w:p>
      <w:pPr>
        <w:ind w:left="1340" w:hanging="164"/>
        <w:spacing w:after="0"/>
        <w:tabs>
          <w:tab w:leader="none" w:pos="1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418-948-1224</w:t>
      </w:r>
    </w:p>
    <w:p>
      <w:pPr>
        <w:spacing w:after="0" w:line="9" w:lineRule="exact"/>
        <w:rPr>
          <w:rFonts w:ascii="Arial" w:cs="Arial" w:eastAsia="Arial" w:hAnsi="Arial"/>
          <w:sz w:val="16"/>
          <w:szCs w:val="16"/>
          <w:color w:val="auto"/>
        </w:rPr>
      </w:pPr>
    </w:p>
    <w:p>
      <w:pPr>
        <w:ind w:left="1360" w:hanging="184"/>
        <w:spacing w:after="0"/>
        <w:tabs>
          <w:tab w:leader="none" w:pos="13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418-948-0797</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Si au Locataire :</w:t>
      </w:r>
    </w:p>
    <w:p>
      <w:pPr>
        <w:spacing w:after="0" w:line="25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OPSENS Inc.</w:t>
      </w:r>
    </w:p>
    <w:p>
      <w:pPr>
        <w:spacing w:after="0" w:line="24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 l'attention de Louis Laflamme Président</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2014, rue Cyrille-Duquet, bur. 125 Québec (Québec)</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G1N 4N6</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 : 418-682-9996</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 : 418-682-9939</w:t>
      </w:r>
    </w:p>
    <w:p>
      <w:pPr>
        <w:spacing w:after="0" w:line="21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37.</w:t>
      </w:r>
      <w:r>
        <w:rPr>
          <w:sz w:val="20"/>
          <w:szCs w:val="20"/>
          <w:color w:val="auto"/>
        </w:rPr>
        <w:tab/>
      </w:r>
      <w:r>
        <w:rPr>
          <w:rFonts w:ascii="Arial" w:cs="Arial" w:eastAsia="Arial" w:hAnsi="Arial"/>
          <w:sz w:val="15"/>
          <w:szCs w:val="15"/>
          <w:b w:val="1"/>
          <w:bCs w:val="1"/>
          <w:color w:val="auto"/>
        </w:rPr>
        <w:t>PUBLICATION</w:t>
      </w:r>
    </w:p>
    <w:p>
      <w:pPr>
        <w:spacing w:after="0" w:line="227" w:lineRule="exact"/>
        <w:rPr>
          <w:sz w:val="20"/>
          <w:szCs w:val="20"/>
          <w:color w:val="auto"/>
        </w:rPr>
      </w:pPr>
    </w:p>
    <w:p>
      <w:pPr>
        <w:jc w:val="both"/>
        <w:ind w:left="1420" w:hanging="476"/>
        <w:spacing w:after="0" w:line="275" w:lineRule="auto"/>
        <w:tabs>
          <w:tab w:leader="none" w:pos="1400" w:val="left"/>
        </w:tabs>
        <w:rPr>
          <w:sz w:val="20"/>
          <w:szCs w:val="20"/>
          <w:color w:val="auto"/>
        </w:rPr>
      </w:pPr>
      <w:r>
        <w:rPr>
          <w:rFonts w:ascii="Arial" w:cs="Arial" w:eastAsia="Arial" w:hAnsi="Arial"/>
          <w:sz w:val="16"/>
          <w:szCs w:val="16"/>
          <w:b w:val="1"/>
          <w:bCs w:val="1"/>
          <w:color w:val="auto"/>
        </w:rPr>
        <w:t>37.1</w:t>
      </w:r>
      <w:r>
        <w:rPr>
          <w:sz w:val="20"/>
          <w:szCs w:val="20"/>
          <w:color w:val="auto"/>
        </w:rPr>
        <w:tab/>
      </w:r>
      <w:r>
        <w:rPr>
          <w:rFonts w:ascii="Arial" w:cs="Arial" w:eastAsia="Arial" w:hAnsi="Arial"/>
          <w:sz w:val="16"/>
          <w:szCs w:val="16"/>
          <w:color w:val="auto"/>
        </w:rPr>
        <w:t>Le Locataire pourra a ses frais publier le Bail par avis en omettant les conditions financières, le tout conformément à l'article 2999.1 du Code civil du Québec.</w:t>
      </w:r>
    </w:p>
    <w:p>
      <w:pPr>
        <w:spacing w:after="0" w:line="188"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5"/>
          <w:szCs w:val="15"/>
          <w:b w:val="1"/>
          <w:bCs w:val="1"/>
          <w:color w:val="auto"/>
        </w:rPr>
        <w:t>ACCEPTATION CONDITIONNELLE</w:t>
      </w:r>
    </w:p>
    <w:p>
      <w:pPr>
        <w:spacing w:after="0" w:line="227" w:lineRule="exact"/>
        <w:rPr>
          <w:sz w:val="20"/>
          <w:szCs w:val="20"/>
          <w:color w:val="auto"/>
        </w:rPr>
      </w:pPr>
    </w:p>
    <w:p>
      <w:pPr>
        <w:jc w:val="both"/>
        <w:ind w:left="1420" w:hanging="476"/>
        <w:spacing w:after="0" w:line="267" w:lineRule="auto"/>
        <w:tabs>
          <w:tab w:leader="none" w:pos="1400" w:val="left"/>
        </w:tabs>
        <w:rPr>
          <w:sz w:val="20"/>
          <w:szCs w:val="20"/>
          <w:color w:val="auto"/>
        </w:rPr>
      </w:pPr>
      <w:r>
        <w:rPr>
          <w:rFonts w:ascii="Arial" w:cs="Arial" w:eastAsia="Arial" w:hAnsi="Arial"/>
          <w:sz w:val="16"/>
          <w:szCs w:val="16"/>
          <w:b w:val="1"/>
          <w:bCs w:val="1"/>
          <w:color w:val="auto"/>
        </w:rPr>
        <w:t>38.1</w:t>
      </w:r>
      <w:r>
        <w:rPr>
          <w:sz w:val="20"/>
          <w:szCs w:val="20"/>
          <w:color w:val="auto"/>
        </w:rPr>
        <w:tab/>
      </w:r>
      <w:r>
        <w:rPr>
          <w:rFonts w:ascii="Arial" w:cs="Arial" w:eastAsia="Arial" w:hAnsi="Arial"/>
          <w:sz w:val="16"/>
          <w:szCs w:val="16"/>
          <w:color w:val="auto"/>
        </w:rPr>
        <w:t xml:space="preserve">Ce Bail est conditionnel à ce que le Bailleur acquiert l'immeuble dans les délais établis à l'offre d'achat signe par le Bailleur (ci-jointe a l’annexe « B » ci-après </w:t>
      </w:r>
      <w:r>
        <w:rPr>
          <w:rFonts w:ascii="Arial" w:cs="Arial" w:eastAsia="Arial" w:hAnsi="Arial"/>
          <w:sz w:val="16"/>
          <w:szCs w:val="16"/>
          <w:b w:val="1"/>
          <w:bCs w:val="1"/>
          <w:color w:val="auto"/>
        </w:rPr>
        <w:t>appelée</w:t>
      </w:r>
      <w:r>
        <w:rPr>
          <w:rFonts w:ascii="Arial" w:cs="Arial" w:eastAsia="Arial" w:hAnsi="Arial"/>
          <w:sz w:val="16"/>
          <w:szCs w:val="16"/>
          <w:color w:val="auto"/>
        </w:rPr>
        <w:t xml:space="preserve"> « </w:t>
      </w:r>
      <w:r>
        <w:rPr>
          <w:rFonts w:ascii="Arial" w:cs="Arial" w:eastAsia="Arial" w:hAnsi="Arial"/>
          <w:sz w:val="16"/>
          <w:szCs w:val="16"/>
          <w:b w:val="1"/>
          <w:bCs w:val="1"/>
          <w:color w:val="auto"/>
        </w:rPr>
        <w:t>Offre d'Achat</w:t>
      </w:r>
      <w:r>
        <w:rPr>
          <w:rFonts w:ascii="Arial" w:cs="Arial" w:eastAsia="Arial" w:hAnsi="Arial"/>
          <w:sz w:val="16"/>
          <w:szCs w:val="16"/>
          <w:color w:val="auto"/>
        </w:rPr>
        <w:t xml:space="preserve"> ») déposée le pour l'immeuble et à ce que le Bailleur se porte acquéreur le ou avant le 30 juin 2015 ;</w:t>
      </w:r>
    </w:p>
    <w:p>
      <w:pPr>
        <w:spacing w:after="0" w:line="194"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6"/>
          <w:szCs w:val="16"/>
          <w:b w:val="1"/>
          <w:bCs w:val="1"/>
          <w:color w:val="auto"/>
        </w:rPr>
        <w:t>38.2</w:t>
      </w:r>
      <w:r>
        <w:rPr>
          <w:sz w:val="20"/>
          <w:szCs w:val="20"/>
          <w:color w:val="auto"/>
        </w:rPr>
        <w:tab/>
      </w:r>
      <w:r>
        <w:rPr>
          <w:rFonts w:ascii="Arial" w:cs="Arial" w:eastAsia="Arial" w:hAnsi="Arial"/>
          <w:sz w:val="15"/>
          <w:szCs w:val="15"/>
          <w:color w:val="auto"/>
        </w:rPr>
        <w:t>Les condition ci-dessus prévue a l'article 38.1 sont établis au bénéfice du Bailleur et du Locataire.</w:t>
      </w:r>
    </w:p>
    <w:p>
      <w:pPr>
        <w:spacing w:after="0" w:line="240" w:lineRule="exact"/>
        <w:rPr>
          <w:sz w:val="20"/>
          <w:szCs w:val="20"/>
          <w:color w:val="auto"/>
        </w:rPr>
      </w:pPr>
    </w:p>
    <w:p>
      <w:pPr>
        <w:jc w:val="both"/>
        <w:ind w:left="1440"/>
        <w:spacing w:after="0" w:line="267" w:lineRule="auto"/>
        <w:rPr>
          <w:sz w:val="20"/>
          <w:szCs w:val="20"/>
          <w:color w:val="auto"/>
        </w:rPr>
      </w:pPr>
      <w:r>
        <w:rPr>
          <w:rFonts w:ascii="Arial" w:cs="Arial" w:eastAsia="Arial" w:hAnsi="Arial"/>
          <w:sz w:val="16"/>
          <w:szCs w:val="16"/>
          <w:color w:val="auto"/>
        </w:rPr>
        <w:t>Il est convenu entre les parties que tout le mobilier inclus dans l'Offre d'Achat sera choisi et identifie par le Locataire en collaboration avec le Bailleur. Dès la signature inconditionnelle des présentes le mobilier choisi par le Locataire sera réputer lui appartenir.</w:t>
      </w:r>
    </w:p>
    <w:p>
      <w:pPr>
        <w:sectPr>
          <w:pgSz w:w="11900" w:h="16838" w:orient="portrait"/>
          <w:cols w:equalWidth="0" w:num="1">
            <w:col w:w="10120"/>
          </w:cols>
          <w:pgMar w:left="1440" w:top="828" w:right="339" w:bottom="1440" w:gutter="0" w:footer="0" w:header="0"/>
        </w:sectPr>
      </w:pPr>
    </w:p>
    <w:bookmarkStart w:id="130" w:name="page131"/>
    <w:bookmarkEnd w:id="130"/>
    <w:p>
      <w:pPr>
        <w:spacing w:after="0" w:line="31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6"/>
          <w:szCs w:val="16"/>
          <w:b w:val="1"/>
          <w:bCs w:val="1"/>
          <w:color w:val="auto"/>
        </w:rPr>
        <w:t>39.</w:t>
      </w:r>
      <w:r>
        <w:rPr>
          <w:sz w:val="20"/>
          <w:szCs w:val="20"/>
          <w:color w:val="auto"/>
        </w:rPr>
        <w:tab/>
      </w:r>
      <w:r>
        <w:rPr>
          <w:rFonts w:ascii="Arial" w:cs="Arial" w:eastAsia="Arial" w:hAnsi="Arial"/>
          <w:sz w:val="15"/>
          <w:szCs w:val="15"/>
          <w:b w:val="1"/>
          <w:bCs w:val="1"/>
          <w:color w:val="auto"/>
        </w:rPr>
        <w:t>CONFIDENTIALITÉ</w:t>
      </w:r>
    </w:p>
    <w:p>
      <w:pPr>
        <w:spacing w:after="0" w:line="253" w:lineRule="exact"/>
        <w:rPr>
          <w:sz w:val="20"/>
          <w:szCs w:val="20"/>
          <w:color w:val="auto"/>
        </w:rPr>
      </w:pPr>
    </w:p>
    <w:p>
      <w:pPr>
        <w:jc w:val="both"/>
        <w:ind w:left="1420" w:hanging="476"/>
        <w:spacing w:after="0" w:line="276" w:lineRule="auto"/>
        <w:tabs>
          <w:tab w:leader="none" w:pos="1400" w:val="left"/>
        </w:tabs>
        <w:rPr>
          <w:sz w:val="20"/>
          <w:szCs w:val="20"/>
          <w:color w:val="auto"/>
        </w:rPr>
      </w:pPr>
      <w:r>
        <w:rPr>
          <w:rFonts w:ascii="Arial" w:cs="Arial" w:eastAsia="Arial" w:hAnsi="Arial"/>
          <w:sz w:val="16"/>
          <w:szCs w:val="16"/>
          <w:b w:val="1"/>
          <w:bCs w:val="1"/>
          <w:color w:val="auto"/>
        </w:rPr>
        <w:t>39.1</w:t>
      </w:r>
      <w:r>
        <w:rPr>
          <w:sz w:val="20"/>
          <w:szCs w:val="20"/>
          <w:color w:val="auto"/>
        </w:rPr>
        <w:tab/>
      </w:r>
      <w:r>
        <w:rPr>
          <w:rFonts w:ascii="Arial" w:cs="Arial" w:eastAsia="Arial" w:hAnsi="Arial"/>
          <w:sz w:val="16"/>
          <w:szCs w:val="16"/>
          <w:color w:val="auto"/>
        </w:rPr>
        <w:t>Le Locataire et le Bailleur conviennent que la présente entente est et demeurera en tout temps confidentielle et tous les documents seront traites dans la plus stricte confidentialité et nullement reproduits sauf lorsque nécessaire pour les fins de la présente transaction.</w:t>
      </w:r>
    </w:p>
    <w:p>
      <w:pPr>
        <w:sectPr>
          <w:pgSz w:w="11900" w:h="16838" w:orient="portrait"/>
          <w:cols w:equalWidth="0" w:num="1">
            <w:col w:w="10120"/>
          </w:cols>
          <w:pgMar w:left="1440" w:top="1440" w:right="3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SIGNÉE À QUÉBEC, PROVINCE DE QUÉBEC, CE </w:t>
      </w:r>
      <w:r>
        <w:rPr>
          <w:rFonts w:ascii="Arial" w:cs="Arial" w:eastAsia="Arial" w:hAnsi="Arial"/>
          <w:sz w:val="16"/>
          <w:szCs w:val="16"/>
          <w:b w:val="1"/>
          <w:bCs w:val="1"/>
          <w:u w:val="single" w:color="auto"/>
          <w:color w:val="auto"/>
        </w:rPr>
        <w:t>15</w:t>
      </w:r>
      <w:r>
        <w:rPr>
          <w:rFonts w:ascii="Arial" w:cs="Arial" w:eastAsia="Arial" w:hAnsi="Arial"/>
          <w:sz w:val="16"/>
          <w:szCs w:val="16"/>
          <w:b w:val="1"/>
          <w:bCs w:val="1"/>
          <w:color w:val="auto"/>
        </w:rPr>
        <w:t xml:space="preserve"> JOUR DE. </w:t>
      </w:r>
      <w:r>
        <w:rPr>
          <w:rFonts w:ascii="Arial" w:cs="Arial" w:eastAsia="Arial" w:hAnsi="Arial"/>
          <w:sz w:val="16"/>
          <w:szCs w:val="16"/>
          <w:b w:val="1"/>
          <w:bCs w:val="1"/>
          <w:u w:val="single" w:color="auto"/>
          <w:color w:val="auto"/>
        </w:rPr>
        <w:t>APRIL</w:t>
      </w:r>
      <w:r>
        <w:rPr>
          <w:rFonts w:ascii="Arial" w:cs="Arial" w:eastAsia="Arial" w:hAnsi="Arial"/>
          <w:sz w:val="16"/>
          <w:szCs w:val="16"/>
          <w:b w:val="1"/>
          <w:bCs w:val="1"/>
          <w:color w:val="auto"/>
        </w:rPr>
        <w:t>, 2015.</w:t>
      </w:r>
    </w:p>
    <w:p>
      <w:pPr>
        <w:spacing w:after="0" w:line="200" w:lineRule="exact"/>
        <w:rPr>
          <w:sz w:val="20"/>
          <w:szCs w:val="20"/>
          <w:color w:val="auto"/>
        </w:rPr>
      </w:pPr>
    </w:p>
    <w:p>
      <w:pPr>
        <w:spacing w:after="0" w:line="279"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50505"/>
        </w:rPr>
        <w:t>OPSENS INC.</w:t>
      </w:r>
    </w:p>
    <w:p>
      <w:pPr>
        <w:spacing w:after="0" w:line="1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(Locataire)</w:t>
      </w:r>
    </w:p>
    <w:p>
      <w:pPr>
        <w:spacing w:after="0" w:line="200" w:lineRule="exact"/>
        <w:rPr>
          <w:sz w:val="20"/>
          <w:szCs w:val="20"/>
          <w:color w:val="auto"/>
        </w:rPr>
      </w:pPr>
    </w:p>
    <w:p>
      <w:pPr>
        <w:spacing w:after="0" w:line="384"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940" w:type="dxa"/>
            <w:vAlign w:val="bottom"/>
            <w:gridSpan w:val="2"/>
          </w:tcPr>
          <w:p>
            <w:pPr>
              <w:spacing w:after="0"/>
              <w:rPr>
                <w:sz w:val="20"/>
                <w:szCs w:val="20"/>
                <w:color w:val="auto"/>
              </w:rPr>
            </w:pPr>
            <w:r>
              <w:rPr>
                <w:rFonts w:ascii="Arial" w:cs="Arial" w:eastAsia="Arial" w:hAnsi="Arial"/>
                <w:sz w:val="16"/>
                <w:szCs w:val="16"/>
                <w:b w:val="1"/>
                <w:bCs w:val="1"/>
                <w:color w:val="auto"/>
              </w:rPr>
              <w:t>____________________________</w:t>
            </w:r>
          </w:p>
        </w:tc>
        <w:tc>
          <w:tcPr>
            <w:tcW w:w="264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_/s/ Louis Laflamme____________</w:t>
            </w:r>
          </w:p>
        </w:tc>
      </w:tr>
      <w:tr>
        <w:trPr>
          <w:trHeight w:val="202"/>
        </w:trPr>
        <w:tc>
          <w:tcPr>
            <w:tcW w:w="1140" w:type="dxa"/>
            <w:vAlign w:val="bottom"/>
          </w:tcPr>
          <w:p>
            <w:pPr>
              <w:spacing w:after="0"/>
              <w:rPr>
                <w:sz w:val="20"/>
                <w:szCs w:val="20"/>
                <w:color w:val="auto"/>
              </w:rPr>
            </w:pPr>
            <w:r>
              <w:rPr>
                <w:rFonts w:ascii="Arial" w:cs="Arial" w:eastAsia="Arial" w:hAnsi="Arial"/>
                <w:sz w:val="16"/>
                <w:szCs w:val="16"/>
                <w:color w:val="auto"/>
              </w:rPr>
              <w:t>Témoin</w:t>
            </w:r>
          </w:p>
        </w:tc>
        <w:tc>
          <w:tcPr>
            <w:tcW w:w="1800" w:type="dxa"/>
            <w:vAlign w:val="bottom"/>
          </w:tcPr>
          <w:p>
            <w:pPr>
              <w:ind w:left="620"/>
              <w:spacing w:after="0"/>
              <w:rPr>
                <w:sz w:val="20"/>
                <w:szCs w:val="20"/>
                <w:color w:val="auto"/>
              </w:rPr>
            </w:pPr>
            <w:r>
              <w:rPr>
                <w:rFonts w:ascii="Arial" w:cs="Arial" w:eastAsia="Arial" w:hAnsi="Arial"/>
                <w:sz w:val="16"/>
                <w:szCs w:val="16"/>
                <w:color w:val="auto"/>
              </w:rPr>
              <w:t>Louis Laflamme</w:t>
            </w:r>
          </w:p>
        </w:tc>
        <w:tc>
          <w:tcPr>
            <w:tcW w:w="6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b w:val="1"/>
          <w:bCs w:val="1"/>
          <w:color w:val="auto"/>
        </w:rPr>
        <w:t xml:space="preserve">NOUS ACCEPTONS LES TERMES ET CONDITIONS DE CETTE OFFRE DE LOCATION, SIGNÉE A QUÉBEC, PROVINCE DE QUÉBEC, CE </w:t>
      </w:r>
      <w:r>
        <w:rPr>
          <w:rFonts w:ascii="Arial" w:cs="Arial" w:eastAsia="Arial" w:hAnsi="Arial"/>
          <w:sz w:val="16"/>
          <w:szCs w:val="16"/>
          <w:b w:val="1"/>
          <w:bCs w:val="1"/>
          <w:u w:val="single" w:color="auto"/>
          <w:color w:val="auto"/>
        </w:rPr>
        <w:t>15</w:t>
      </w:r>
      <w:r>
        <w:rPr>
          <w:rFonts w:ascii="Arial" w:cs="Arial" w:eastAsia="Arial" w:hAnsi="Arial"/>
          <w:sz w:val="16"/>
          <w:szCs w:val="16"/>
          <w:b w:val="1"/>
          <w:bCs w:val="1"/>
          <w:color w:val="auto"/>
        </w:rPr>
        <w:t xml:space="preserve"> JOUR DE </w:t>
      </w:r>
      <w:r>
        <w:rPr>
          <w:rFonts w:ascii="Arial" w:cs="Arial" w:eastAsia="Arial" w:hAnsi="Arial"/>
          <w:sz w:val="16"/>
          <w:szCs w:val="16"/>
          <w:b w:val="1"/>
          <w:bCs w:val="1"/>
          <w:u w:val="single" w:color="auto"/>
          <w:color w:val="auto"/>
        </w:rPr>
        <w:t>APRIL</w:t>
      </w:r>
      <w:r>
        <w:rPr>
          <w:rFonts w:ascii="Arial" w:cs="Arial" w:eastAsia="Arial" w:hAnsi="Arial"/>
          <w:sz w:val="16"/>
          <w:szCs w:val="16"/>
          <w:b w:val="1"/>
          <w:bCs w:val="1"/>
          <w:color w:val="auto"/>
        </w:rPr>
        <w:t xml:space="preserve"> 2015.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2"/>
          </w:tcPr>
          <w:p>
            <w:pPr>
              <w:ind w:left="820"/>
              <w:spacing w:after="0"/>
              <w:rPr>
                <w:sz w:val="20"/>
                <w:szCs w:val="20"/>
                <w:color w:val="auto"/>
              </w:rPr>
            </w:pPr>
            <w:r>
              <w:rPr>
                <w:rFonts w:ascii="Arial" w:cs="Arial" w:eastAsia="Arial" w:hAnsi="Arial"/>
                <w:sz w:val="16"/>
                <w:szCs w:val="16"/>
                <w:b w:val="1"/>
                <w:bCs w:val="1"/>
                <w:color w:val="040404"/>
              </w:rPr>
              <w:t>1405 PTQM (SEC)</w:t>
            </w:r>
          </w:p>
        </w:tc>
      </w:tr>
      <w:tr>
        <w:trPr>
          <w:trHeight w:val="218"/>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2"/>
          </w:tcPr>
          <w:p>
            <w:pPr>
              <w:ind w:left="820"/>
              <w:spacing w:after="0"/>
              <w:rPr>
                <w:sz w:val="20"/>
                <w:szCs w:val="20"/>
                <w:color w:val="auto"/>
              </w:rPr>
            </w:pPr>
            <w:r>
              <w:rPr>
                <w:rFonts w:ascii="Arial" w:cs="Arial" w:eastAsia="Arial" w:hAnsi="Arial"/>
                <w:sz w:val="16"/>
                <w:szCs w:val="16"/>
                <w:b w:val="1"/>
                <w:bCs w:val="1"/>
                <w:color w:val="040404"/>
              </w:rPr>
              <w:t>(Bailleur)</w:t>
            </w:r>
          </w:p>
        </w:tc>
      </w:tr>
      <w:tr>
        <w:trPr>
          <w:trHeight w:val="538"/>
        </w:trPr>
        <w:tc>
          <w:tcPr>
            <w:tcW w:w="2840" w:type="dxa"/>
            <w:vAlign w:val="bottom"/>
            <w:gridSpan w:val="3"/>
          </w:tcPr>
          <w:p>
            <w:pPr>
              <w:spacing w:after="0"/>
              <w:rPr>
                <w:sz w:val="20"/>
                <w:szCs w:val="20"/>
                <w:color w:val="auto"/>
              </w:rPr>
            </w:pPr>
            <w:r>
              <w:rPr>
                <w:rFonts w:ascii="Arial" w:cs="Arial" w:eastAsia="Arial" w:hAnsi="Arial"/>
                <w:sz w:val="16"/>
                <w:szCs w:val="16"/>
                <w:b w:val="1"/>
                <w:bCs w:val="1"/>
                <w:color w:val="auto"/>
              </w:rPr>
              <w:t>____________________________</w:t>
            </w:r>
          </w:p>
        </w:tc>
        <w:tc>
          <w:tcPr>
            <w:tcW w:w="2840" w:type="dxa"/>
            <w:vAlign w:val="bottom"/>
            <w:gridSpan w:val="3"/>
          </w:tcPr>
          <w:p>
            <w:pPr>
              <w:ind w:left="160"/>
              <w:spacing w:after="0"/>
              <w:rPr>
                <w:sz w:val="20"/>
                <w:szCs w:val="20"/>
                <w:color w:val="auto"/>
              </w:rPr>
            </w:pPr>
            <w:r>
              <w:rPr>
                <w:rFonts w:ascii="Arial" w:cs="Arial" w:eastAsia="Arial" w:hAnsi="Arial"/>
                <w:sz w:val="16"/>
                <w:szCs w:val="16"/>
                <w:b w:val="1"/>
                <w:bCs w:val="1"/>
                <w:color w:val="auto"/>
                <w:w w:val="98"/>
              </w:rPr>
              <w:t>_/s/ Marc Simard________________</w:t>
            </w:r>
          </w:p>
        </w:tc>
      </w:tr>
      <w:tr>
        <w:trPr>
          <w:trHeight w:val="215"/>
        </w:trPr>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Témoin</w:t>
            </w:r>
          </w:p>
        </w:tc>
        <w:tc>
          <w:tcPr>
            <w:tcW w:w="620" w:type="dxa"/>
            <w:vAlign w:val="bottom"/>
            <w:tcBorders>
              <w:top w:val="single" w:sz="8" w:color="auto"/>
            </w:tcBorders>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6"/>
                <w:szCs w:val="16"/>
                <w:color w:val="auto"/>
              </w:rPr>
              <w:t>Marc Simard</w:t>
            </w:r>
          </w:p>
        </w:tc>
        <w:tc>
          <w:tcPr>
            <w:tcW w:w="1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20" w:type="dxa"/>
            <w:vAlign w:val="bottom"/>
          </w:tcPr>
          <w:p>
            <w:pPr>
              <w:spacing w:after="0"/>
              <w:rPr>
                <w:sz w:val="18"/>
                <w:szCs w:val="18"/>
                <w:color w:val="auto"/>
              </w:rPr>
            </w:pPr>
          </w:p>
        </w:tc>
      </w:tr>
    </w:tbl>
    <w:p>
      <w:pPr>
        <w:sectPr>
          <w:pgSz w:w="11900" w:h="16838" w:orient="portrait"/>
          <w:cols w:equalWidth="0" w:num="1">
            <w:col w:w="9300"/>
          </w:cols>
          <w:pgMar w:left="1440" w:top="1440" w:right="11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40"/>
        <w:spacing w:after="0"/>
        <w:rPr>
          <w:sz w:val="20"/>
          <w:szCs w:val="20"/>
          <w:color w:val="auto"/>
        </w:rPr>
      </w:pPr>
      <w:r>
        <w:rPr>
          <w:rFonts w:ascii="Arial" w:cs="Arial" w:eastAsia="Arial" w:hAnsi="Arial"/>
          <w:sz w:val="28"/>
          <w:szCs w:val="28"/>
          <w:b w:val="1"/>
          <w:bCs w:val="1"/>
          <w:u w:val="single" w:color="auto"/>
          <w:color w:val="282828"/>
        </w:rPr>
        <w:t>[ADDENDA NO 1]</w:t>
      </w:r>
    </w:p>
    <w:p>
      <w:pPr>
        <w:spacing w:after="0" w:line="35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Adresse des lieux loues</w:t>
      </w:r>
    </w:p>
    <w:p>
      <w:pPr>
        <w:spacing w:after="0" w:line="1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750, boulevard du Parc Technologique</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Québec (Québec) G1P 4S3</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120" w:right="540" w:hanging="977"/>
        <w:spacing w:after="0" w:line="264" w:lineRule="auto"/>
        <w:tabs>
          <w:tab w:leader="none" w:pos="1100" w:val="left"/>
        </w:tabs>
        <w:rPr>
          <w:sz w:val="20"/>
          <w:szCs w:val="20"/>
          <w:color w:val="auto"/>
        </w:rPr>
      </w:pPr>
      <w:r>
        <w:rPr>
          <w:rFonts w:ascii="Arial" w:cs="Arial" w:eastAsia="Arial" w:hAnsi="Arial"/>
          <w:sz w:val="16"/>
          <w:szCs w:val="16"/>
          <w:b w:val="1"/>
          <w:bCs w:val="1"/>
          <w:color w:val="282828"/>
        </w:rPr>
        <w:t xml:space="preserve">ENTRE </w:t>
      </w:r>
      <w:r>
        <w:rPr>
          <w:rFonts w:ascii="Arial" w:cs="Arial" w:eastAsia="Arial" w:hAnsi="Arial"/>
          <w:sz w:val="16"/>
          <w:szCs w:val="16"/>
          <w:color w:val="282828"/>
        </w:rPr>
        <w:t>:</w:t>
      </w:r>
      <w:r>
        <w:rPr>
          <w:rFonts w:ascii="Arial" w:cs="Arial" w:eastAsia="Arial" w:hAnsi="Arial"/>
          <w:sz w:val="16"/>
          <w:szCs w:val="16"/>
          <w:b w:val="1"/>
          <w:bCs w:val="1"/>
          <w:color w:val="282828"/>
        </w:rPr>
        <w:tab/>
        <w:t xml:space="preserve">1405 PTQM S.E.C., </w:t>
      </w:r>
      <w:r>
        <w:rPr>
          <w:rFonts w:ascii="Arial" w:cs="Arial" w:eastAsia="Arial" w:hAnsi="Arial"/>
          <w:sz w:val="16"/>
          <w:szCs w:val="16"/>
          <w:color w:val="282828"/>
        </w:rPr>
        <w:t>société dument constituée, ayant son siège au 1135 Grande Allee Ouest, bureau 210, Québec</w:t>
      </w:r>
      <w:r>
        <w:rPr>
          <w:rFonts w:ascii="Arial" w:cs="Arial" w:eastAsia="Arial" w:hAnsi="Arial"/>
          <w:sz w:val="16"/>
          <w:szCs w:val="16"/>
          <w:b w:val="1"/>
          <w:bCs w:val="1"/>
          <w:color w:val="282828"/>
        </w:rPr>
        <w:t xml:space="preserve"> </w:t>
      </w:r>
      <w:r>
        <w:rPr>
          <w:rFonts w:ascii="Arial" w:cs="Arial" w:eastAsia="Arial" w:hAnsi="Arial"/>
          <w:sz w:val="16"/>
          <w:szCs w:val="16"/>
          <w:color w:val="282828"/>
        </w:rPr>
        <w:t>(Québec) G1S 1E7, représentée aux présentes par monsieur Marc Simard, représentant dument autorise tel qu'il le déclare;</w:t>
      </w:r>
    </w:p>
    <w:p>
      <w:pPr>
        <w:ind w:left="1220"/>
        <w:spacing w:after="0"/>
        <w:rPr>
          <w:sz w:val="20"/>
          <w:szCs w:val="20"/>
          <w:color w:val="auto"/>
        </w:rPr>
      </w:pPr>
      <w:r>
        <w:rPr>
          <w:rFonts w:ascii="Arial" w:cs="Arial" w:eastAsia="Arial" w:hAnsi="Arial"/>
          <w:sz w:val="16"/>
          <w:szCs w:val="16"/>
          <w:color w:val="282828"/>
        </w:rPr>
        <w:t xml:space="preserve">(ci-après le « </w:t>
      </w:r>
      <w:r>
        <w:rPr>
          <w:rFonts w:ascii="Arial" w:cs="Arial" w:eastAsia="Arial" w:hAnsi="Arial"/>
          <w:sz w:val="16"/>
          <w:szCs w:val="16"/>
          <w:b w:val="1"/>
          <w:bCs w:val="1"/>
          <w:color w:val="282828"/>
        </w:rPr>
        <w:t>Bailleur</w:t>
      </w:r>
      <w:r>
        <w:rPr>
          <w:rFonts w:ascii="Arial" w:cs="Arial" w:eastAsia="Arial" w:hAnsi="Arial"/>
          <w:sz w:val="16"/>
          <w:szCs w:val="16"/>
          <w:color w:val="282828"/>
        </w:rPr>
        <w:t xml:space="preserve"> »);</w:t>
      </w:r>
    </w:p>
    <w:p>
      <w:pPr>
        <w:spacing w:after="0" w:line="200" w:lineRule="exact"/>
        <w:rPr>
          <w:sz w:val="20"/>
          <w:szCs w:val="20"/>
          <w:color w:val="auto"/>
        </w:rPr>
      </w:pPr>
    </w:p>
    <w:p>
      <w:pPr>
        <w:spacing w:after="0" w:line="254" w:lineRule="exact"/>
        <w:rPr>
          <w:sz w:val="20"/>
          <w:szCs w:val="20"/>
          <w:color w:val="auto"/>
        </w:rPr>
      </w:pPr>
    </w:p>
    <w:p>
      <w:pPr>
        <w:jc w:val="both"/>
        <w:ind w:left="760" w:right="540" w:hanging="977"/>
        <w:spacing w:after="0" w:line="284" w:lineRule="auto"/>
        <w:tabs>
          <w:tab w:leader="none" w:pos="740" w:val="left"/>
        </w:tabs>
        <w:rPr>
          <w:sz w:val="20"/>
          <w:szCs w:val="20"/>
          <w:color w:val="auto"/>
        </w:rPr>
      </w:pPr>
      <w:r>
        <w:rPr>
          <w:rFonts w:ascii="Arial" w:cs="Arial" w:eastAsia="Arial" w:hAnsi="Arial"/>
          <w:sz w:val="16"/>
          <w:szCs w:val="16"/>
          <w:b w:val="1"/>
          <w:bCs w:val="1"/>
          <w:color w:val="282828"/>
        </w:rPr>
        <w:t xml:space="preserve">ET </w:t>
      </w:r>
      <w:r>
        <w:rPr>
          <w:rFonts w:ascii="Arial" w:cs="Arial" w:eastAsia="Arial" w:hAnsi="Arial"/>
          <w:sz w:val="16"/>
          <w:szCs w:val="16"/>
          <w:color w:val="282828"/>
        </w:rPr>
        <w:t>:</w:t>
      </w:r>
      <w:r>
        <w:rPr>
          <w:rFonts w:ascii="Arial" w:cs="Arial" w:eastAsia="Arial" w:hAnsi="Arial"/>
          <w:sz w:val="16"/>
          <w:szCs w:val="16"/>
          <w:b w:val="1"/>
          <w:bCs w:val="1"/>
          <w:color w:val="282828"/>
        </w:rPr>
        <w:tab/>
        <w:t xml:space="preserve">OPSENS INC., </w:t>
      </w:r>
      <w:r>
        <w:rPr>
          <w:rFonts w:ascii="Arial" w:cs="Arial" w:eastAsia="Arial" w:hAnsi="Arial"/>
          <w:sz w:val="16"/>
          <w:szCs w:val="16"/>
          <w:color w:val="282828"/>
        </w:rPr>
        <w:t>une société constituée en vertu des lois du Canada, ayant une place d'affaire au 750, boulevard du Parc</w:t>
      </w:r>
      <w:r>
        <w:rPr>
          <w:rFonts w:ascii="Arial" w:cs="Arial" w:eastAsia="Arial" w:hAnsi="Arial"/>
          <w:sz w:val="16"/>
          <w:szCs w:val="16"/>
          <w:b w:val="1"/>
          <w:bCs w:val="1"/>
          <w:color w:val="282828"/>
        </w:rPr>
        <w:t xml:space="preserve"> </w:t>
      </w:r>
      <w:r>
        <w:rPr>
          <w:rFonts w:ascii="Arial" w:cs="Arial" w:eastAsia="Arial" w:hAnsi="Arial"/>
          <w:sz w:val="16"/>
          <w:szCs w:val="16"/>
          <w:color w:val="282828"/>
        </w:rPr>
        <w:t>Technologique, dans la ville de Québec, province de Québec, agissant aux présentes par l'entremise de monsieur Louis Laflamme, Président, dument autorise tel qu'il le déclare;</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6"/>
          <w:szCs w:val="16"/>
          <w:color w:val="282828"/>
        </w:rPr>
        <w:t xml:space="preserve">(ci-après le « </w:t>
      </w:r>
      <w:r>
        <w:rPr>
          <w:rFonts w:ascii="Arial" w:cs="Arial" w:eastAsia="Arial" w:hAnsi="Arial"/>
          <w:sz w:val="16"/>
          <w:szCs w:val="16"/>
          <w:b w:val="1"/>
          <w:bCs w:val="1"/>
          <w:color w:val="282828"/>
        </w:rPr>
        <w:t>Locataire</w:t>
      </w:r>
      <w:r>
        <w:rPr>
          <w:rFonts w:ascii="Arial" w:cs="Arial" w:eastAsia="Arial" w:hAnsi="Arial"/>
          <w:sz w:val="16"/>
          <w:szCs w:val="16"/>
          <w:color w:val="282828"/>
        </w:rPr>
        <w:t xml:space="preserve"> »)</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6"/>
          <w:szCs w:val="16"/>
          <w:color w:val="282828"/>
        </w:rPr>
        <w:t>ATTENDU QUE par convention de bail intervenue le 15 avril 2015 ci-après appelée le « Bail</w:t>
      </w:r>
    </w:p>
    <w:p>
      <w:pPr>
        <w:spacing w:after="0" w:line="28" w:lineRule="exact"/>
        <w:rPr>
          <w:sz w:val="20"/>
          <w:szCs w:val="20"/>
          <w:color w:val="auto"/>
        </w:rPr>
      </w:pPr>
    </w:p>
    <w:p>
      <w:pPr>
        <w:jc w:val="both"/>
        <w:ind w:left="220" w:right="540" w:firstLine="8"/>
        <w:spacing w:after="0" w:line="269" w:lineRule="auto"/>
        <w:rPr>
          <w:sz w:val="20"/>
          <w:szCs w:val="20"/>
          <w:color w:val="auto"/>
        </w:rPr>
      </w:pPr>
      <w:r>
        <w:rPr>
          <w:rFonts w:ascii="Arial" w:cs="Arial" w:eastAsia="Arial" w:hAnsi="Arial"/>
          <w:sz w:val="16"/>
          <w:szCs w:val="16"/>
          <w:color w:val="282828"/>
        </w:rPr>
        <w:t>»), le Locataire loue au Bailleur l'Immeuble sis au 750 Boul. du Parc Technologique les « Lieux Loues Initiaux »), ayant une superficie totale de VINGT-NEUF MILLES HUIT-CENT-CINQ (29 805 pi. ca.) (la « Superficie Locative des Lieux Loues Initiaux »), pour une durée de dix</w:t>
      </w:r>
    </w:p>
    <w:p>
      <w:pPr>
        <w:spacing w:after="0" w:line="2" w:lineRule="exact"/>
        <w:rPr>
          <w:sz w:val="20"/>
          <w:szCs w:val="20"/>
          <w:color w:val="auto"/>
        </w:rPr>
      </w:pPr>
    </w:p>
    <w:p>
      <w:pPr>
        <w:ind w:left="220" w:right="560" w:firstLine="9"/>
        <w:spacing w:after="0" w:line="295" w:lineRule="auto"/>
        <w:tabs>
          <w:tab w:leader="none" w:pos="585" w:val="left"/>
        </w:tabs>
        <w:numPr>
          <w:ilvl w:val="0"/>
          <w:numId w:val="74"/>
        </w:numPr>
        <w:rPr>
          <w:rFonts w:ascii="Arial" w:cs="Arial" w:eastAsia="Arial" w:hAnsi="Arial"/>
          <w:sz w:val="16"/>
          <w:szCs w:val="16"/>
          <w:color w:val="282828"/>
        </w:rPr>
      </w:pPr>
      <w:r>
        <w:rPr>
          <w:rFonts w:ascii="Arial" w:cs="Arial" w:eastAsia="Arial" w:hAnsi="Arial"/>
          <w:sz w:val="16"/>
          <w:szCs w:val="16"/>
          <w:color w:val="282828"/>
        </w:rPr>
        <w:t>ans commençant le 1er octobre 2015 et se terminant le 30 septembre 2025 (la « Durée du Bail »), le tout tel que plus amplement décrit au Bail;</w:t>
      </w:r>
    </w:p>
    <w:p>
      <w:pPr>
        <w:spacing w:after="0" w:line="305" w:lineRule="exact"/>
        <w:rPr>
          <w:sz w:val="20"/>
          <w:szCs w:val="20"/>
          <w:color w:val="auto"/>
        </w:rPr>
      </w:pPr>
    </w:p>
    <w:p>
      <w:pPr>
        <w:jc w:val="both"/>
        <w:ind w:left="220" w:right="540"/>
        <w:spacing w:after="0" w:line="276" w:lineRule="auto"/>
        <w:rPr>
          <w:sz w:val="20"/>
          <w:szCs w:val="20"/>
          <w:color w:val="auto"/>
        </w:rPr>
      </w:pPr>
      <w:r>
        <w:rPr>
          <w:rFonts w:ascii="Arial" w:cs="Arial" w:eastAsia="Arial" w:hAnsi="Arial"/>
          <w:sz w:val="16"/>
          <w:szCs w:val="16"/>
          <w:color w:val="282828"/>
        </w:rPr>
        <w:t>ATTENDU QUE conformément à la clause 32 du Bail, le Locataire confirme l'exercice de l'option en donnant un préavis de 15 mois (avis d'expansion). Les plans préliminaires sont annexes au présent bail (Annexe B). Le calcul du loyer de base sera défini ultérieurement selon les spécifications stipulées à l’article 32.</w:t>
      </w: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Arial" w:cs="Arial" w:eastAsia="Arial" w:hAnsi="Arial"/>
          <w:sz w:val="16"/>
          <w:szCs w:val="16"/>
          <w:color w:val="282828"/>
        </w:rPr>
        <w:t>ATTENDU QUE le Locataire désire renouveler le Bail pour une durée de 10 ans, ce que le Locateur accepte.</w:t>
      </w:r>
    </w:p>
    <w:p>
      <w:pPr>
        <w:spacing w:after="0" w:line="200" w:lineRule="exact"/>
        <w:rPr>
          <w:sz w:val="20"/>
          <w:szCs w:val="20"/>
          <w:color w:val="auto"/>
        </w:rPr>
      </w:pPr>
    </w:p>
    <w:p>
      <w:pPr>
        <w:spacing w:after="0" w:line="345" w:lineRule="exact"/>
        <w:rPr>
          <w:sz w:val="20"/>
          <w:szCs w:val="20"/>
          <w:color w:val="auto"/>
        </w:rPr>
      </w:pPr>
    </w:p>
    <w:p>
      <w:pPr>
        <w:jc w:val="both"/>
        <w:ind w:left="220" w:right="540" w:firstLine="10"/>
        <w:spacing w:after="0" w:line="293" w:lineRule="auto"/>
        <w:rPr>
          <w:sz w:val="20"/>
          <w:szCs w:val="20"/>
          <w:color w:val="auto"/>
        </w:rPr>
      </w:pPr>
      <w:r>
        <w:rPr>
          <w:rFonts w:ascii="Arial" w:cs="Arial" w:eastAsia="Arial" w:hAnsi="Arial"/>
          <w:sz w:val="16"/>
          <w:szCs w:val="16"/>
          <w:color w:val="282828"/>
        </w:rPr>
        <w:t>PAR CONSÉQUENT, le Bailleur et le Locataire conviennent mutuellement que les dispositions du Bail continuent de s'appliquer selon les mêmes modalités, a l’exception de ce qui suit :</w:t>
      </w:r>
    </w:p>
    <w:p>
      <w:pPr>
        <w:sectPr>
          <w:pgSz w:w="11900" w:h="16838" w:orient="portrait"/>
          <w:cols w:equalWidth="0" w:num="1">
            <w:col w:w="10120"/>
          </w:cols>
          <w:pgMar w:left="1440" w:top="1305" w:right="339" w:bottom="1440" w:gutter="0" w:footer="0" w:header="0"/>
        </w:sectPr>
      </w:pPr>
    </w:p>
    <w:bookmarkStart w:id="133" w:name="page134"/>
    <w:bookmarkEnd w:id="133"/>
    <w:p>
      <w:pPr>
        <w:spacing w:after="0" w:line="104" w:lineRule="exact"/>
        <w:rPr>
          <w:sz w:val="20"/>
          <w:szCs w:val="20"/>
          <w:color w:val="auto"/>
        </w:rPr>
      </w:pPr>
    </w:p>
    <w:p>
      <w:pPr>
        <w:ind w:left="9620"/>
        <w:spacing w:after="0"/>
        <w:rPr>
          <w:sz w:val="20"/>
          <w:szCs w:val="20"/>
          <w:color w:val="auto"/>
        </w:rPr>
      </w:pPr>
      <w:r>
        <w:rPr>
          <w:rFonts w:ascii="Arial" w:cs="Arial" w:eastAsia="Arial" w:hAnsi="Arial"/>
          <w:sz w:val="15"/>
          <w:szCs w:val="15"/>
          <w:color w:val="auto"/>
        </w:rPr>
        <w:t>Page 2</w:t>
      </w:r>
    </w:p>
    <w:p>
      <w:pPr>
        <w:spacing w:after="0" w:line="200" w:lineRule="exact"/>
        <w:rPr>
          <w:sz w:val="20"/>
          <w:szCs w:val="20"/>
          <w:color w:val="auto"/>
        </w:rPr>
      </w:pPr>
    </w:p>
    <w:p>
      <w:pPr>
        <w:spacing w:after="0" w:line="303" w:lineRule="exact"/>
        <w:rPr>
          <w:sz w:val="20"/>
          <w:szCs w:val="20"/>
          <w:color w:val="auto"/>
        </w:rPr>
      </w:pPr>
    </w:p>
    <w:p>
      <w:pPr>
        <w:ind w:left="220" w:right="180"/>
        <w:spacing w:after="0" w:line="275" w:lineRule="auto"/>
        <w:rPr>
          <w:sz w:val="20"/>
          <w:szCs w:val="20"/>
          <w:color w:val="auto"/>
        </w:rPr>
      </w:pPr>
      <w:r>
        <w:rPr>
          <w:rFonts w:ascii="Arial" w:cs="Arial" w:eastAsia="Arial" w:hAnsi="Arial"/>
          <w:sz w:val="16"/>
          <w:szCs w:val="16"/>
          <w:color w:val="282828"/>
        </w:rPr>
        <w:t>Le préambule fait partie intégrante des présentes. Tout mot ou terme en majuscule non autrement défini aux présentes aura le sens qui lui est donné dans le Bail.</w:t>
      </w:r>
    </w:p>
    <w:p>
      <w:pPr>
        <w:spacing w:after="0" w:line="200" w:lineRule="exact"/>
        <w:rPr>
          <w:sz w:val="20"/>
          <w:szCs w:val="20"/>
          <w:color w:val="auto"/>
        </w:rPr>
      </w:pPr>
    </w:p>
    <w:p>
      <w:pPr>
        <w:spacing w:after="0" w:line="332"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b w:val="1"/>
          <w:bCs w:val="1"/>
          <w:color w:val="282828"/>
        </w:rPr>
        <w:t>1.</w:t>
      </w:r>
      <w:r>
        <w:rPr>
          <w:sz w:val="20"/>
          <w:szCs w:val="20"/>
          <w:color w:val="auto"/>
        </w:rPr>
        <w:tab/>
      </w:r>
      <w:r>
        <w:rPr>
          <w:rFonts w:ascii="Arial" w:cs="Arial" w:eastAsia="Arial" w:hAnsi="Arial"/>
          <w:sz w:val="15"/>
          <w:szCs w:val="15"/>
          <w:b w:val="1"/>
          <w:bCs w:val="1"/>
          <w:color w:val="282828"/>
        </w:rPr>
        <w:t>LIEUX LOUES INITIAUX</w:t>
      </w:r>
    </w:p>
    <w:p>
      <w:pPr>
        <w:spacing w:after="0" w:line="267" w:lineRule="exact"/>
        <w:rPr>
          <w:sz w:val="20"/>
          <w:szCs w:val="20"/>
          <w:color w:val="auto"/>
        </w:rPr>
      </w:pPr>
    </w:p>
    <w:p>
      <w:pPr>
        <w:ind w:left="1540"/>
        <w:spacing w:after="0"/>
        <w:tabs>
          <w:tab w:leader="none" w:pos="190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6"/>
          <w:szCs w:val="16"/>
          <w:color w:val="282828"/>
        </w:rPr>
        <w:t xml:space="preserve">Les Lieux Loues sont la totalité de l'Édifice situe au 750 boulevard </w:t>
      </w:r>
      <w:r>
        <w:rPr>
          <w:rFonts w:ascii="Arial" w:cs="Arial" w:eastAsia="Arial" w:hAnsi="Arial"/>
          <w:sz w:val="16"/>
          <w:szCs w:val="16"/>
          <w:color w:val="000000"/>
        </w:rPr>
        <w:t>du Parc-Technologique Québec (Qc) G1P 4S3 (l</w:t>
      </w:r>
    </w:p>
    <w:p>
      <w:pPr>
        <w:spacing w:after="0" w:line="18" w:lineRule="exact"/>
        <w:rPr>
          <w:sz w:val="20"/>
          <w:szCs w:val="20"/>
          <w:color w:val="auto"/>
        </w:rPr>
      </w:pPr>
    </w:p>
    <w:p>
      <w:pPr>
        <w:ind w:left="1940" w:hanging="4"/>
        <w:spacing w:after="0" w:line="265" w:lineRule="auto"/>
        <w:tabs>
          <w:tab w:leader="none" w:pos="2078" w:val="left"/>
        </w:tabs>
        <w:numPr>
          <w:ilvl w:val="1"/>
          <w:numId w:val="75"/>
        </w:numPr>
        <w:rPr>
          <w:rFonts w:ascii="Arial" w:cs="Arial" w:eastAsia="Arial" w:hAnsi="Arial"/>
          <w:sz w:val="16"/>
          <w:szCs w:val="16"/>
          <w:color w:val="282828"/>
        </w:rPr>
      </w:pPr>
      <w:r>
        <w:rPr>
          <w:rFonts w:ascii="Arial" w:cs="Arial" w:eastAsia="Arial" w:hAnsi="Arial"/>
          <w:sz w:val="16"/>
          <w:szCs w:val="16"/>
          <w:color w:val="282828"/>
        </w:rPr>
        <w:t xml:space="preserve">Édifice » ) et </w:t>
      </w:r>
      <w:r>
        <w:rPr>
          <w:rFonts w:ascii="Arial" w:cs="Arial" w:eastAsia="Arial" w:hAnsi="Arial"/>
          <w:sz w:val="16"/>
          <w:szCs w:val="16"/>
          <w:color w:val="000000"/>
        </w:rPr>
        <w:t xml:space="preserve">auront une superficie locative de VINGT-NEUF MILLES HUIT-CENT-CINQ (29 805) pieds carres ci-après appelée </w:t>
      </w:r>
      <w:r>
        <w:rPr>
          <w:rFonts w:ascii="Arial" w:cs="Arial" w:eastAsia="Arial" w:hAnsi="Arial"/>
          <w:sz w:val="16"/>
          <w:szCs w:val="16"/>
          <w:color w:val="282828"/>
        </w:rPr>
        <w:t>« Superficie</w:t>
      </w:r>
      <w:r>
        <w:rPr>
          <w:rFonts w:ascii="Arial" w:cs="Arial" w:eastAsia="Arial" w:hAnsi="Arial"/>
          <w:sz w:val="16"/>
          <w:szCs w:val="16"/>
          <w:color w:val="000000"/>
        </w:rPr>
        <w:t xml:space="preserve"> Locative initiale </w:t>
      </w:r>
      <w:r>
        <w:rPr>
          <w:rFonts w:ascii="Arial" w:cs="Arial" w:eastAsia="Arial" w:hAnsi="Arial"/>
          <w:sz w:val="16"/>
          <w:szCs w:val="16"/>
          <w:color w:val="282828"/>
        </w:rPr>
        <w:t>» ) et identifie a l’annexe « A »,</w:t>
      </w:r>
      <w:r>
        <w:rPr>
          <w:rFonts w:ascii="Arial" w:cs="Arial" w:eastAsia="Arial" w:hAnsi="Arial"/>
          <w:sz w:val="16"/>
          <w:szCs w:val="16"/>
          <w:color w:val="000000"/>
        </w:rPr>
        <w:t xml:space="preserve"> </w:t>
      </w:r>
      <w:r>
        <w:rPr>
          <w:rFonts w:ascii="Arial" w:cs="Arial" w:eastAsia="Arial" w:hAnsi="Arial"/>
          <w:sz w:val="16"/>
          <w:szCs w:val="16"/>
          <w:b w:val="1"/>
          <w:bCs w:val="1"/>
          <w:color w:val="282828"/>
        </w:rPr>
        <w:t>(les « Lieux</w:t>
      </w:r>
      <w:r>
        <w:rPr>
          <w:rFonts w:ascii="Arial" w:cs="Arial" w:eastAsia="Arial" w:hAnsi="Arial"/>
          <w:sz w:val="16"/>
          <w:szCs w:val="16"/>
          <w:color w:val="000000"/>
        </w:rPr>
        <w:t xml:space="preserve"> </w:t>
      </w:r>
      <w:r>
        <w:rPr>
          <w:rFonts w:ascii="Arial" w:cs="Arial" w:eastAsia="Arial" w:hAnsi="Arial"/>
          <w:sz w:val="16"/>
          <w:szCs w:val="16"/>
          <w:b w:val="1"/>
          <w:bCs w:val="1"/>
          <w:color w:val="000000"/>
        </w:rPr>
        <w:t>Loues initiaux</w:t>
      </w:r>
      <w:r>
        <w:rPr>
          <w:rFonts w:ascii="Arial" w:cs="Arial" w:eastAsia="Arial" w:hAnsi="Arial"/>
          <w:sz w:val="16"/>
          <w:szCs w:val="16"/>
          <w:color w:val="000000"/>
        </w:rPr>
        <w:t xml:space="preserve"> </w:t>
      </w:r>
      <w:r>
        <w:rPr>
          <w:rFonts w:ascii="Arial" w:cs="Arial" w:eastAsia="Arial" w:hAnsi="Arial"/>
          <w:sz w:val="16"/>
          <w:szCs w:val="16"/>
          <w:b w:val="1"/>
          <w:bCs w:val="1"/>
          <w:color w:val="282828"/>
        </w:rPr>
        <w:t>»).</w:t>
      </w:r>
    </w:p>
    <w:p>
      <w:pPr>
        <w:spacing w:after="0" w:line="226" w:lineRule="exact"/>
        <w:rPr>
          <w:rFonts w:ascii="Arial" w:cs="Arial" w:eastAsia="Arial" w:hAnsi="Arial"/>
          <w:sz w:val="16"/>
          <w:szCs w:val="16"/>
          <w:color w:val="282828"/>
        </w:rPr>
      </w:pPr>
    </w:p>
    <w:p>
      <w:pPr>
        <w:ind w:left="520" w:hanging="298"/>
        <w:spacing w:after="0"/>
        <w:tabs>
          <w:tab w:leader="none" w:pos="520" w:val="left"/>
        </w:tabs>
        <w:numPr>
          <w:ilvl w:val="0"/>
          <w:numId w:val="75"/>
        </w:numPr>
        <w:rPr>
          <w:rFonts w:ascii="Arial" w:cs="Arial" w:eastAsia="Arial" w:hAnsi="Arial"/>
          <w:sz w:val="16"/>
          <w:szCs w:val="16"/>
          <w:b w:val="1"/>
          <w:bCs w:val="1"/>
          <w:color w:val="282828"/>
        </w:rPr>
      </w:pPr>
      <w:r>
        <w:rPr>
          <w:rFonts w:ascii="Arial" w:cs="Arial" w:eastAsia="Arial" w:hAnsi="Arial"/>
          <w:sz w:val="16"/>
          <w:szCs w:val="16"/>
          <w:b w:val="1"/>
          <w:bCs w:val="1"/>
          <w:color w:val="282828"/>
        </w:rPr>
        <w:t>DESCRIPTION ET LOCATION DES LIEUX LOUES ADDITIONNELS</w:t>
      </w:r>
    </w:p>
    <w:p>
      <w:pPr>
        <w:spacing w:after="0" w:line="280" w:lineRule="exact"/>
        <w:rPr>
          <w:sz w:val="20"/>
          <w:szCs w:val="20"/>
          <w:color w:val="auto"/>
        </w:rPr>
      </w:pPr>
    </w:p>
    <w:p>
      <w:pPr>
        <w:jc w:val="both"/>
        <w:ind w:left="1940" w:hanging="396"/>
        <w:spacing w:after="0" w:line="247" w:lineRule="auto"/>
        <w:tabs>
          <w:tab w:leader="none" w:pos="1920" w:val="left"/>
        </w:tabs>
        <w:rPr>
          <w:sz w:val="20"/>
          <w:szCs w:val="20"/>
          <w:color w:val="auto"/>
        </w:rPr>
      </w:pPr>
      <w:r>
        <w:rPr>
          <w:rFonts w:ascii="Arial" w:cs="Arial" w:eastAsia="Arial" w:hAnsi="Arial"/>
          <w:sz w:val="16"/>
          <w:szCs w:val="16"/>
          <w:b w:val="1"/>
          <w:bCs w:val="1"/>
          <w:color w:val="282828"/>
        </w:rPr>
        <w:t>2.1</w:t>
      </w:r>
      <w:r>
        <w:rPr>
          <w:sz w:val="20"/>
          <w:szCs w:val="20"/>
          <w:color w:val="auto"/>
        </w:rPr>
        <w:tab/>
      </w:r>
      <w:r>
        <w:rPr>
          <w:rFonts w:ascii="Arial" w:cs="Arial" w:eastAsia="Arial" w:hAnsi="Arial"/>
          <w:sz w:val="16"/>
          <w:szCs w:val="16"/>
          <w:color w:val="282828"/>
        </w:rPr>
        <w:t xml:space="preserve">Suivant l’exercice de l’Option d’expansion par le Locataire, en plus </w:t>
      </w:r>
      <w:r>
        <w:rPr>
          <w:rFonts w:ascii="Arial" w:cs="Arial" w:eastAsia="Arial" w:hAnsi="Arial"/>
          <w:sz w:val="16"/>
          <w:szCs w:val="16"/>
          <w:color w:val="000000"/>
        </w:rPr>
        <w:t>Des Lieux Loues Initiaux, le Bailleur loue au</w:t>
      </w:r>
      <w:r>
        <w:rPr>
          <w:rFonts w:ascii="Arial" w:cs="Arial" w:eastAsia="Arial" w:hAnsi="Arial"/>
          <w:sz w:val="16"/>
          <w:szCs w:val="16"/>
          <w:color w:val="282828"/>
        </w:rPr>
        <w:t xml:space="preserve"> </w:t>
      </w:r>
      <w:r>
        <w:rPr>
          <w:rFonts w:ascii="Arial" w:cs="Arial" w:eastAsia="Arial" w:hAnsi="Arial"/>
          <w:sz w:val="16"/>
          <w:szCs w:val="16"/>
          <w:color w:val="000000"/>
        </w:rPr>
        <w:t xml:space="preserve">Locataire, un local additionnel a être construit </w:t>
      </w:r>
      <w:r>
        <w:rPr>
          <w:rFonts w:ascii="Arial" w:cs="Arial" w:eastAsia="Arial" w:hAnsi="Arial"/>
          <w:sz w:val="16"/>
          <w:szCs w:val="16"/>
          <w:b w:val="1"/>
          <w:bCs w:val="1"/>
          <w:color w:val="282828"/>
        </w:rPr>
        <w:t>(les « Lieux</w:t>
      </w:r>
      <w:r>
        <w:rPr>
          <w:rFonts w:ascii="Arial" w:cs="Arial" w:eastAsia="Arial" w:hAnsi="Arial"/>
          <w:sz w:val="16"/>
          <w:szCs w:val="16"/>
          <w:color w:val="000000"/>
        </w:rPr>
        <w:t xml:space="preserve"> </w:t>
      </w:r>
      <w:r>
        <w:rPr>
          <w:rFonts w:ascii="Arial" w:cs="Arial" w:eastAsia="Arial" w:hAnsi="Arial"/>
          <w:sz w:val="16"/>
          <w:szCs w:val="16"/>
          <w:b w:val="1"/>
          <w:bCs w:val="1"/>
          <w:color w:val="000000"/>
        </w:rPr>
        <w:t>Loues Additionnels</w:t>
      </w:r>
      <w:r>
        <w:rPr>
          <w:rFonts w:ascii="Arial" w:cs="Arial" w:eastAsia="Arial" w:hAnsi="Arial"/>
          <w:sz w:val="16"/>
          <w:szCs w:val="16"/>
          <w:color w:val="000000"/>
        </w:rPr>
        <w:t xml:space="preserve"> </w:t>
      </w:r>
      <w:r>
        <w:rPr>
          <w:rFonts w:ascii="Arial" w:cs="Arial" w:eastAsia="Arial" w:hAnsi="Arial"/>
          <w:sz w:val="16"/>
          <w:szCs w:val="16"/>
          <w:b w:val="1"/>
          <w:bCs w:val="1"/>
          <w:color w:val="282828"/>
        </w:rPr>
        <w:t>»),</w:t>
      </w:r>
      <w:r>
        <w:rPr>
          <w:rFonts w:ascii="Arial" w:cs="Arial" w:eastAsia="Arial" w:hAnsi="Arial"/>
          <w:sz w:val="16"/>
          <w:szCs w:val="16"/>
          <w:color w:val="000000"/>
        </w:rPr>
        <w:t xml:space="preserve"> mesurant approximativement TROIS-MILLE-HUIT-CENTS pieds </w:t>
      </w:r>
      <w:r>
        <w:rPr>
          <w:rFonts w:ascii="Arial" w:cs="Arial" w:eastAsia="Arial" w:hAnsi="Arial"/>
          <w:sz w:val="16"/>
          <w:szCs w:val="16"/>
          <w:color w:val="282828"/>
        </w:rPr>
        <w:t>carres ( 3 800 pi. ca.) ci-après appelée « Superficie</w:t>
      </w:r>
      <w:r>
        <w:rPr>
          <w:rFonts w:ascii="Arial" w:cs="Arial" w:eastAsia="Arial" w:hAnsi="Arial"/>
          <w:sz w:val="16"/>
          <w:szCs w:val="16"/>
          <w:color w:val="000000"/>
        </w:rPr>
        <w:t xml:space="preserve"> Locative additionnelle </w:t>
      </w:r>
      <w:r>
        <w:rPr>
          <w:rFonts w:ascii="Arial" w:cs="Arial" w:eastAsia="Arial" w:hAnsi="Arial"/>
          <w:sz w:val="16"/>
          <w:szCs w:val="16"/>
          <w:color w:val="282828"/>
        </w:rPr>
        <w:t>» et</w:t>
      </w:r>
      <w:r>
        <w:rPr>
          <w:rFonts w:ascii="Arial" w:cs="Arial" w:eastAsia="Arial" w:hAnsi="Arial"/>
          <w:sz w:val="16"/>
          <w:szCs w:val="16"/>
          <w:color w:val="000000"/>
        </w:rPr>
        <w:t xml:space="preserve"> </w:t>
      </w:r>
      <w:r>
        <w:rPr>
          <w:rFonts w:ascii="Arial" w:cs="Arial" w:eastAsia="Arial" w:hAnsi="Arial"/>
          <w:sz w:val="16"/>
          <w:szCs w:val="16"/>
          <w:color w:val="282828"/>
        </w:rPr>
        <w:t>identifie a l’annexe « A ».</w:t>
      </w:r>
    </w:p>
    <w:p>
      <w:pPr>
        <w:spacing w:after="0" w:line="1" w:lineRule="exact"/>
        <w:rPr>
          <w:sz w:val="20"/>
          <w:szCs w:val="20"/>
          <w:color w:val="auto"/>
        </w:rPr>
      </w:pPr>
    </w:p>
    <w:p>
      <w:pPr>
        <w:jc w:val="both"/>
        <w:ind w:left="1940" w:hanging="396"/>
        <w:spacing w:after="0" w:line="216" w:lineRule="auto"/>
        <w:tabs>
          <w:tab w:leader="none" w:pos="1920" w:val="left"/>
        </w:tabs>
        <w:rPr>
          <w:sz w:val="20"/>
          <w:szCs w:val="20"/>
          <w:color w:val="auto"/>
        </w:rPr>
      </w:pPr>
      <w:r>
        <w:rPr>
          <w:rFonts w:ascii="Arial" w:cs="Arial" w:eastAsia="Arial" w:hAnsi="Arial"/>
          <w:sz w:val="16"/>
          <w:szCs w:val="16"/>
          <w:b w:val="1"/>
          <w:bCs w:val="1"/>
          <w:color w:val="282828"/>
        </w:rPr>
        <w:t>2.2</w:t>
      </w:r>
      <w:r>
        <w:rPr>
          <w:sz w:val="20"/>
          <w:szCs w:val="20"/>
          <w:color w:val="auto"/>
        </w:rPr>
        <w:tab/>
      </w:r>
      <w:r>
        <w:rPr>
          <w:rFonts w:ascii="Arial" w:cs="Arial" w:eastAsia="Arial" w:hAnsi="Arial"/>
          <w:sz w:val="16"/>
          <w:szCs w:val="16"/>
          <w:color w:val="282828"/>
        </w:rPr>
        <w:t>Avant le Début de la Durée (tel que défini ci-après) et suivant l'achèvement de l'agrandissement, un mesurage final des Lieux Loues additionnels sera fait aux frais du Bailleur, par un architecte ou un arpenteur-géomètre choisi par le Bailleur, lequel certifiera que le mesurage aura été fait conformément aux Normes de Mesurage Par la suite, pendant la Durée de Location et ses renouvellements la Superficie locative ne pourra être remesurée ou réévaluée a la hausse.</w:t>
      </w:r>
    </w:p>
    <w:p>
      <w:pPr>
        <w:spacing w:after="0" w:line="203" w:lineRule="exact"/>
        <w:rPr>
          <w:sz w:val="20"/>
          <w:szCs w:val="20"/>
          <w:color w:val="auto"/>
        </w:rPr>
      </w:pPr>
    </w:p>
    <w:p>
      <w:pPr>
        <w:ind w:left="1940"/>
        <w:spacing w:after="0" w:line="293" w:lineRule="auto"/>
        <w:rPr>
          <w:sz w:val="20"/>
          <w:szCs w:val="20"/>
          <w:color w:val="auto"/>
        </w:rPr>
      </w:pPr>
      <w:r>
        <w:rPr>
          <w:rFonts w:ascii="Arial" w:cs="Arial" w:eastAsia="Arial" w:hAnsi="Arial"/>
          <w:sz w:val="16"/>
          <w:szCs w:val="16"/>
          <w:color w:val="282828"/>
        </w:rPr>
        <w:t>Pour fin de clarification les Lieux Loues Initiaux ainsi que les Lieux Loues Additionnels sont appelée communément les « Nouveaux Lieux Loues »</w:t>
      </w:r>
    </w:p>
    <w:p>
      <w:pPr>
        <w:spacing w:after="0" w:line="174" w:lineRule="exact"/>
        <w:rPr>
          <w:sz w:val="20"/>
          <w:szCs w:val="20"/>
          <w:color w:val="auto"/>
        </w:rPr>
      </w:pPr>
    </w:p>
    <w:p>
      <w:pPr>
        <w:ind w:left="1940"/>
        <w:spacing w:after="0" w:line="293" w:lineRule="auto"/>
        <w:rPr>
          <w:sz w:val="20"/>
          <w:szCs w:val="20"/>
          <w:color w:val="auto"/>
        </w:rPr>
      </w:pPr>
      <w:r>
        <w:rPr>
          <w:rFonts w:ascii="Arial" w:cs="Arial" w:eastAsia="Arial" w:hAnsi="Arial"/>
          <w:sz w:val="16"/>
          <w:szCs w:val="16"/>
          <w:color w:val="282828"/>
        </w:rPr>
        <w:t>Pour fin de clarification la Superficie Locative initiale ainsi que la Superficie Locative additionnelle sont appelés communément la « Superficie Locative louée »</w:t>
      </w:r>
    </w:p>
    <w:p>
      <w:pPr>
        <w:spacing w:after="0" w:line="200" w:lineRule="exact"/>
        <w:rPr>
          <w:sz w:val="20"/>
          <w:szCs w:val="20"/>
          <w:color w:val="auto"/>
        </w:rPr>
      </w:pPr>
    </w:p>
    <w:p>
      <w:pPr>
        <w:spacing w:after="0" w:line="278"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b w:val="1"/>
          <w:bCs w:val="1"/>
          <w:color w:val="282828"/>
        </w:rPr>
        <w:t>3.</w:t>
      </w:r>
      <w:r>
        <w:rPr>
          <w:sz w:val="20"/>
          <w:szCs w:val="20"/>
          <w:color w:val="auto"/>
        </w:rPr>
        <w:tab/>
      </w:r>
      <w:r>
        <w:rPr>
          <w:rFonts w:ascii="Arial" w:cs="Arial" w:eastAsia="Arial" w:hAnsi="Arial"/>
          <w:sz w:val="15"/>
          <w:szCs w:val="15"/>
          <w:b w:val="1"/>
          <w:bCs w:val="1"/>
          <w:color w:val="282828"/>
        </w:rPr>
        <w:t>EXERCICE DE L'OPTION D'EXPANSION</w:t>
      </w:r>
    </w:p>
    <w:p>
      <w:pPr>
        <w:spacing w:after="0" w:line="147" w:lineRule="exact"/>
        <w:rPr>
          <w:sz w:val="20"/>
          <w:szCs w:val="20"/>
          <w:color w:val="auto"/>
        </w:rPr>
      </w:pPr>
    </w:p>
    <w:p>
      <w:pPr>
        <w:ind w:left="1940" w:right="100" w:hanging="395"/>
        <w:spacing w:after="0" w:line="267" w:lineRule="auto"/>
        <w:tabs>
          <w:tab w:leader="none" w:pos="1920" w:val="left"/>
        </w:tabs>
        <w:rPr>
          <w:sz w:val="20"/>
          <w:szCs w:val="20"/>
          <w:color w:val="auto"/>
        </w:rPr>
      </w:pPr>
      <w:r>
        <w:rPr>
          <w:rFonts w:ascii="Arial" w:cs="Arial" w:eastAsia="Arial" w:hAnsi="Arial"/>
          <w:sz w:val="16"/>
          <w:szCs w:val="16"/>
          <w:b w:val="1"/>
          <w:bCs w:val="1"/>
          <w:color w:val="282828"/>
        </w:rPr>
        <w:t>3.1</w:t>
      </w:r>
      <w:r>
        <w:rPr>
          <w:sz w:val="20"/>
          <w:szCs w:val="20"/>
          <w:color w:val="auto"/>
        </w:rPr>
        <w:tab/>
      </w:r>
      <w:r>
        <w:rPr>
          <w:rFonts w:ascii="Arial" w:cs="Arial" w:eastAsia="Arial" w:hAnsi="Arial"/>
          <w:sz w:val="16"/>
          <w:szCs w:val="16"/>
          <w:color w:val="282828"/>
        </w:rPr>
        <w:t xml:space="preserve">Conformément à la clause 32 du Bail, le Locataire confirme l'exercice </w:t>
      </w:r>
      <w:r>
        <w:rPr>
          <w:rFonts w:ascii="Arial" w:cs="Arial" w:eastAsia="Arial" w:hAnsi="Arial"/>
          <w:sz w:val="16"/>
          <w:szCs w:val="16"/>
          <w:color w:val="000000"/>
        </w:rPr>
        <w:t>de l’option en donnant un préavis de 15 mois</w:t>
      </w:r>
      <w:r>
        <w:rPr>
          <w:rFonts w:ascii="Arial" w:cs="Arial" w:eastAsia="Arial" w:hAnsi="Arial"/>
          <w:sz w:val="16"/>
          <w:szCs w:val="16"/>
          <w:color w:val="282828"/>
        </w:rPr>
        <w:t xml:space="preserve"> </w:t>
      </w:r>
      <w:r>
        <w:rPr>
          <w:rFonts w:ascii="Arial" w:cs="Arial" w:eastAsia="Arial" w:hAnsi="Arial"/>
          <w:sz w:val="16"/>
          <w:szCs w:val="16"/>
          <w:color w:val="000000"/>
        </w:rPr>
        <w:t xml:space="preserve">(avis d’expansion). Les </w:t>
      </w:r>
      <w:r>
        <w:rPr>
          <w:rFonts w:ascii="Arial" w:cs="Arial" w:eastAsia="Arial" w:hAnsi="Arial"/>
          <w:sz w:val="16"/>
          <w:szCs w:val="16"/>
          <w:color w:val="282828"/>
        </w:rPr>
        <w:t>plans préliminaires sont annexes au présent bail (Annexe B). Le calcul du loyer de base</w:t>
      </w:r>
      <w:r>
        <w:rPr>
          <w:rFonts w:ascii="Arial" w:cs="Arial" w:eastAsia="Arial" w:hAnsi="Arial"/>
          <w:sz w:val="16"/>
          <w:szCs w:val="16"/>
          <w:color w:val="000000"/>
        </w:rPr>
        <w:t xml:space="preserve"> </w:t>
      </w:r>
      <w:r>
        <w:rPr>
          <w:rFonts w:ascii="Arial" w:cs="Arial" w:eastAsia="Arial" w:hAnsi="Arial"/>
          <w:sz w:val="16"/>
          <w:szCs w:val="16"/>
          <w:color w:val="282828"/>
        </w:rPr>
        <w:t>sera défini ultérieurement selon les spécifications stipulées a l’article 32 du Bail.</w:t>
      </w:r>
    </w:p>
    <w:p>
      <w:pPr>
        <w:spacing w:after="0" w:line="200" w:lineRule="exact"/>
        <w:rPr>
          <w:sz w:val="20"/>
          <w:szCs w:val="20"/>
          <w:color w:val="auto"/>
        </w:rPr>
      </w:pPr>
    </w:p>
    <w:p>
      <w:pPr>
        <w:spacing w:after="0" w:line="233"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b w:val="1"/>
          <w:bCs w:val="1"/>
          <w:color w:val="282828"/>
        </w:rPr>
        <w:t>4.</w:t>
      </w:r>
      <w:r>
        <w:rPr>
          <w:sz w:val="20"/>
          <w:szCs w:val="20"/>
          <w:color w:val="auto"/>
        </w:rPr>
        <w:tab/>
      </w:r>
      <w:r>
        <w:rPr>
          <w:rFonts w:ascii="Arial" w:cs="Arial" w:eastAsia="Arial" w:hAnsi="Arial"/>
          <w:sz w:val="15"/>
          <w:szCs w:val="15"/>
          <w:b w:val="1"/>
          <w:bCs w:val="1"/>
          <w:color w:val="282828"/>
        </w:rPr>
        <w:t>DURÉE DE LOCATION</w:t>
      </w:r>
    </w:p>
    <w:p>
      <w:pPr>
        <w:spacing w:after="0" w:line="147" w:lineRule="exact"/>
        <w:rPr>
          <w:sz w:val="20"/>
          <w:szCs w:val="20"/>
          <w:color w:val="auto"/>
        </w:rPr>
      </w:pPr>
    </w:p>
    <w:p>
      <w:pPr>
        <w:ind w:left="1940" w:right="220" w:hanging="395"/>
        <w:spacing w:after="0" w:line="303" w:lineRule="auto"/>
        <w:tabs>
          <w:tab w:leader="none" w:pos="1920" w:val="left"/>
        </w:tabs>
        <w:rPr>
          <w:sz w:val="20"/>
          <w:szCs w:val="20"/>
          <w:color w:val="auto"/>
        </w:rPr>
      </w:pPr>
      <w:r>
        <w:rPr>
          <w:rFonts w:ascii="Arial" w:cs="Arial" w:eastAsia="Arial" w:hAnsi="Arial"/>
          <w:sz w:val="16"/>
          <w:szCs w:val="16"/>
          <w:b w:val="1"/>
          <w:bCs w:val="1"/>
          <w:color w:val="282828"/>
        </w:rPr>
        <w:t>4.1</w:t>
      </w:r>
      <w:r>
        <w:rPr>
          <w:sz w:val="20"/>
          <w:szCs w:val="20"/>
          <w:color w:val="auto"/>
        </w:rPr>
        <w:tab/>
      </w:r>
      <w:r>
        <w:rPr>
          <w:rFonts w:ascii="Arial" w:cs="Arial" w:eastAsia="Arial" w:hAnsi="Arial"/>
          <w:sz w:val="16"/>
          <w:szCs w:val="16"/>
          <w:color w:val="282828"/>
        </w:rPr>
        <w:t xml:space="preserve">Pour les Nouveaux Lieux Loues, la durée de location sera de DIX années (10) </w:t>
      </w:r>
      <w:r>
        <w:rPr>
          <w:rFonts w:ascii="Arial" w:cs="Arial" w:eastAsia="Arial" w:hAnsi="Arial"/>
          <w:sz w:val="16"/>
          <w:szCs w:val="16"/>
          <w:b w:val="1"/>
          <w:bCs w:val="1"/>
          <w:color w:val="282828"/>
        </w:rPr>
        <w:t>(ci-après désignée la</w:t>
      </w:r>
      <w:r>
        <w:rPr>
          <w:rFonts w:ascii="Arial" w:cs="Arial" w:eastAsia="Arial" w:hAnsi="Arial"/>
          <w:sz w:val="16"/>
          <w:szCs w:val="16"/>
          <w:color w:val="282828"/>
        </w:rPr>
        <w:t xml:space="preserve"> « </w:t>
      </w:r>
      <w:r>
        <w:rPr>
          <w:rFonts w:ascii="Arial" w:cs="Arial" w:eastAsia="Arial" w:hAnsi="Arial"/>
          <w:sz w:val="16"/>
          <w:szCs w:val="16"/>
          <w:b w:val="1"/>
          <w:bCs w:val="1"/>
          <w:color w:val="282828"/>
        </w:rPr>
        <w:t>Durée de</w:t>
      </w:r>
      <w:r>
        <w:rPr>
          <w:rFonts w:ascii="Arial" w:cs="Arial" w:eastAsia="Arial" w:hAnsi="Arial"/>
          <w:sz w:val="16"/>
          <w:szCs w:val="16"/>
          <w:color w:val="282828"/>
        </w:rPr>
        <w:t xml:space="preserve"> </w:t>
      </w:r>
      <w:r>
        <w:rPr>
          <w:rFonts w:ascii="Arial" w:cs="Arial" w:eastAsia="Arial" w:hAnsi="Arial"/>
          <w:sz w:val="16"/>
          <w:szCs w:val="16"/>
          <w:b w:val="1"/>
          <w:bCs w:val="1"/>
          <w:color w:val="282828"/>
        </w:rPr>
        <w:t xml:space="preserve">Location des Nouveaux Lieux Lou es </w:t>
      </w:r>
      <w:r>
        <w:rPr>
          <w:rFonts w:ascii="Arial" w:cs="Arial" w:eastAsia="Arial" w:hAnsi="Arial"/>
          <w:sz w:val="16"/>
          <w:szCs w:val="16"/>
          <w:color w:val="282828"/>
        </w:rPr>
        <w:t>») et débutera</w:t>
      </w:r>
      <w:r>
        <w:rPr>
          <w:rFonts w:ascii="Arial" w:cs="Arial" w:eastAsia="Arial" w:hAnsi="Arial"/>
          <w:sz w:val="16"/>
          <w:szCs w:val="16"/>
          <w:b w:val="1"/>
          <w:bCs w:val="1"/>
          <w:color w:val="282828"/>
        </w:rPr>
        <w:t xml:space="preserve"> </w:t>
      </w:r>
      <w:r>
        <w:rPr>
          <w:rFonts w:ascii="Arial" w:cs="Arial" w:eastAsia="Arial" w:hAnsi="Arial"/>
          <w:sz w:val="16"/>
          <w:szCs w:val="16"/>
          <w:i w:val="1"/>
          <w:iCs w:val="1"/>
          <w:color w:val="282828"/>
        </w:rPr>
        <w:t>le</w:t>
      </w:r>
      <w:r>
        <w:rPr>
          <w:rFonts w:ascii="Arial" w:cs="Arial" w:eastAsia="Arial" w:hAnsi="Arial"/>
          <w:sz w:val="16"/>
          <w:szCs w:val="16"/>
          <w:b w:val="1"/>
          <w:bCs w:val="1"/>
          <w:color w:val="282828"/>
        </w:rPr>
        <w:t xml:space="preserve"> </w:t>
      </w:r>
      <w:r>
        <w:rPr>
          <w:rFonts w:ascii="Arial" w:cs="Arial" w:eastAsia="Arial" w:hAnsi="Arial"/>
          <w:sz w:val="16"/>
          <w:szCs w:val="16"/>
          <w:color w:val="282828"/>
        </w:rPr>
        <w:t>1er janvier 2024 (</w:t>
      </w:r>
      <w:r>
        <w:rPr>
          <w:rFonts w:ascii="Arial" w:cs="Arial" w:eastAsia="Arial" w:hAnsi="Arial"/>
          <w:sz w:val="16"/>
          <w:szCs w:val="16"/>
          <w:b w:val="1"/>
          <w:bCs w:val="1"/>
          <w:color w:val="282828"/>
        </w:rPr>
        <w:t xml:space="preserve"> ci-après</w:t>
      </w:r>
    </w:p>
    <w:p>
      <w:pPr>
        <w:sectPr>
          <w:pgSz w:w="11900" w:h="16838" w:orient="portrait"/>
          <w:cols w:equalWidth="0" w:num="1">
            <w:col w:w="10120"/>
          </w:cols>
          <w:pgMar w:left="1440" w:top="1440" w:right="339" w:bottom="1440" w:gutter="0" w:footer="0" w:header="0"/>
        </w:sectPr>
      </w:pPr>
    </w:p>
    <w:bookmarkStart w:id="134" w:name="page135"/>
    <w:bookmarkEnd w:id="134"/>
    <w:p>
      <w:pPr>
        <w:ind w:left="9620"/>
        <w:spacing w:after="0"/>
        <w:rPr>
          <w:sz w:val="20"/>
          <w:szCs w:val="20"/>
          <w:color w:val="auto"/>
        </w:rPr>
      </w:pPr>
      <w:r>
        <w:rPr>
          <w:rFonts w:ascii="Arial" w:cs="Arial" w:eastAsia="Arial" w:hAnsi="Arial"/>
          <w:sz w:val="15"/>
          <w:szCs w:val="15"/>
          <w:color w:val="auto"/>
        </w:rPr>
        <w:t>Page 3</w:t>
      </w:r>
    </w:p>
    <w:p>
      <w:pPr>
        <w:spacing w:after="0" w:line="185" w:lineRule="exact"/>
        <w:rPr>
          <w:sz w:val="20"/>
          <w:szCs w:val="20"/>
          <w:color w:val="auto"/>
        </w:rPr>
      </w:pPr>
    </w:p>
    <w:p>
      <w:pPr>
        <w:ind w:left="1940" w:right="200"/>
        <w:spacing w:after="0" w:line="303" w:lineRule="auto"/>
        <w:rPr>
          <w:sz w:val="20"/>
          <w:szCs w:val="20"/>
          <w:color w:val="auto"/>
        </w:rPr>
      </w:pPr>
      <w:r>
        <w:rPr>
          <w:rFonts w:ascii="Arial" w:cs="Arial" w:eastAsia="Arial" w:hAnsi="Arial"/>
          <w:sz w:val="16"/>
          <w:szCs w:val="16"/>
          <w:b w:val="1"/>
          <w:bCs w:val="1"/>
          <w:color w:val="282828"/>
        </w:rPr>
        <w:t xml:space="preserve">désigné le« Début de la Durée </w:t>
      </w:r>
      <w:r>
        <w:rPr>
          <w:rFonts w:ascii="Arial" w:cs="Arial" w:eastAsia="Arial" w:hAnsi="Arial"/>
          <w:sz w:val="16"/>
          <w:szCs w:val="16"/>
          <w:color w:val="282828"/>
        </w:rPr>
        <w:t>») pour se terminer</w:t>
      </w:r>
      <w:r>
        <w:rPr>
          <w:rFonts w:ascii="Arial" w:cs="Arial" w:eastAsia="Arial" w:hAnsi="Arial"/>
          <w:sz w:val="16"/>
          <w:szCs w:val="16"/>
          <w:b w:val="1"/>
          <w:bCs w:val="1"/>
          <w:color w:val="282828"/>
        </w:rPr>
        <w:t xml:space="preserve"> </w:t>
      </w:r>
      <w:r>
        <w:rPr>
          <w:rFonts w:ascii="Arial" w:cs="Arial" w:eastAsia="Arial" w:hAnsi="Arial"/>
          <w:sz w:val="16"/>
          <w:szCs w:val="16"/>
          <w:i w:val="1"/>
          <w:iCs w:val="1"/>
          <w:color w:val="282828"/>
        </w:rPr>
        <w:t>le</w:t>
      </w:r>
      <w:r>
        <w:rPr>
          <w:rFonts w:ascii="Arial" w:cs="Arial" w:eastAsia="Arial" w:hAnsi="Arial"/>
          <w:sz w:val="16"/>
          <w:szCs w:val="16"/>
          <w:b w:val="1"/>
          <w:bCs w:val="1"/>
          <w:color w:val="282828"/>
        </w:rPr>
        <w:t xml:space="preserve"> </w:t>
      </w:r>
      <w:r>
        <w:rPr>
          <w:rFonts w:ascii="Arial" w:cs="Arial" w:eastAsia="Arial" w:hAnsi="Arial"/>
          <w:sz w:val="16"/>
          <w:szCs w:val="16"/>
          <w:color w:val="282828"/>
        </w:rPr>
        <w:t>31 décembre</w:t>
      </w:r>
      <w:r>
        <w:rPr>
          <w:rFonts w:ascii="Arial" w:cs="Arial" w:eastAsia="Arial" w:hAnsi="Arial"/>
          <w:sz w:val="16"/>
          <w:szCs w:val="16"/>
          <w:b w:val="1"/>
          <w:bCs w:val="1"/>
          <w:color w:val="282828"/>
        </w:rPr>
        <w:t xml:space="preserve"> </w:t>
      </w:r>
      <w:r>
        <w:rPr>
          <w:rFonts w:ascii="Arial" w:cs="Arial" w:eastAsia="Arial" w:hAnsi="Arial"/>
          <w:sz w:val="16"/>
          <w:szCs w:val="16"/>
          <w:b w:val="1"/>
          <w:bCs w:val="1"/>
          <w:color w:val="793C40"/>
        </w:rPr>
        <w:t>2033</w:t>
      </w:r>
      <w:r>
        <w:rPr>
          <w:rFonts w:ascii="Arial" w:cs="Arial" w:eastAsia="Arial" w:hAnsi="Arial"/>
          <w:sz w:val="16"/>
          <w:szCs w:val="16"/>
          <w:b w:val="1"/>
          <w:bCs w:val="1"/>
          <w:color w:val="282828"/>
        </w:rPr>
        <w:t xml:space="preserve"> (ci-après désigné </w:t>
      </w:r>
      <w:r>
        <w:rPr>
          <w:rFonts w:ascii="Arial" w:cs="Arial" w:eastAsia="Arial" w:hAnsi="Arial"/>
          <w:sz w:val="16"/>
          <w:szCs w:val="16"/>
          <w:color w:val="282828"/>
        </w:rPr>
        <w:t>I'«</w:t>
      </w:r>
      <w:r>
        <w:rPr>
          <w:rFonts w:ascii="Arial" w:cs="Arial" w:eastAsia="Arial" w:hAnsi="Arial"/>
          <w:sz w:val="16"/>
          <w:szCs w:val="16"/>
          <w:b w:val="1"/>
          <w:bCs w:val="1"/>
          <w:color w:val="282828"/>
        </w:rPr>
        <w:t xml:space="preserve"> Expiration de la Durée»).</w:t>
      </w:r>
    </w:p>
    <w:p>
      <w:pPr>
        <w:spacing w:after="0" w:line="185"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b w:val="1"/>
          <w:bCs w:val="1"/>
          <w:color w:val="282828"/>
        </w:rPr>
        <w:t>5.</w:t>
      </w:r>
      <w:r>
        <w:rPr>
          <w:sz w:val="20"/>
          <w:szCs w:val="20"/>
          <w:color w:val="auto"/>
        </w:rPr>
        <w:tab/>
      </w:r>
      <w:r>
        <w:rPr>
          <w:rFonts w:ascii="Arial" w:cs="Arial" w:eastAsia="Arial" w:hAnsi="Arial"/>
          <w:sz w:val="15"/>
          <w:szCs w:val="15"/>
          <w:b w:val="1"/>
          <w:bCs w:val="1"/>
          <w:color w:val="282828"/>
        </w:rPr>
        <w:t>LOYER DE BASE</w:t>
      </w:r>
    </w:p>
    <w:p>
      <w:pPr>
        <w:spacing w:after="0" w:line="161" w:lineRule="exact"/>
        <w:rPr>
          <w:sz w:val="20"/>
          <w:szCs w:val="20"/>
          <w:color w:val="auto"/>
        </w:rPr>
      </w:pPr>
    </w:p>
    <w:p>
      <w:pPr>
        <w:ind w:left="1940" w:right="60" w:hanging="395"/>
        <w:spacing w:after="0" w:line="254" w:lineRule="auto"/>
        <w:tabs>
          <w:tab w:leader="none" w:pos="1920" w:val="left"/>
        </w:tabs>
        <w:rPr>
          <w:sz w:val="20"/>
          <w:szCs w:val="20"/>
          <w:color w:val="auto"/>
        </w:rPr>
      </w:pPr>
      <w:r>
        <w:rPr>
          <w:rFonts w:ascii="Arial" w:cs="Arial" w:eastAsia="Arial" w:hAnsi="Arial"/>
          <w:sz w:val="16"/>
          <w:szCs w:val="16"/>
          <w:b w:val="1"/>
          <w:bCs w:val="1"/>
          <w:color w:val="282828"/>
        </w:rPr>
        <w:t>5.1</w:t>
      </w:r>
      <w:r>
        <w:rPr>
          <w:sz w:val="20"/>
          <w:szCs w:val="20"/>
          <w:color w:val="auto"/>
        </w:rPr>
        <w:tab/>
      </w:r>
      <w:r>
        <w:rPr>
          <w:rFonts w:ascii="Arial" w:cs="Arial" w:eastAsia="Arial" w:hAnsi="Arial"/>
          <w:sz w:val="16"/>
          <w:szCs w:val="16"/>
          <w:color w:val="auto"/>
        </w:rPr>
        <w:t>Pour les Lieux Loues Initiaux, le Locataire s'engage à payer au Bailleur, à titre de Loyer de Base, pour la première année de la Durée de Location la somme annuelle de ONZE DOLLARS ET QUATORZE CENTS (11,14 $) par pied carre pour la Superficie Locative louée pendant toute la durée du bail. (ci-après désigne le « Loyer de Base initial»). Pour chacune des années subséquentes, et ce, jusqu’a l'Expiration de la Durée, le Loyer de Base initial pour les Lieux Loues Initiaux sera augmenté annuellement à la date d'anniversaire du Bail au taux de 2.5%.</w:t>
      </w:r>
    </w:p>
    <w:p>
      <w:pPr>
        <w:spacing w:after="0" w:line="351" w:lineRule="exact"/>
        <w:rPr>
          <w:sz w:val="20"/>
          <w:szCs w:val="20"/>
          <w:color w:val="auto"/>
        </w:rPr>
      </w:pPr>
    </w:p>
    <w:p>
      <w:pPr>
        <w:ind w:left="1940" w:right="20" w:hanging="395"/>
        <w:spacing w:after="0" w:line="252" w:lineRule="auto"/>
        <w:tabs>
          <w:tab w:leader="none" w:pos="1920" w:val="left"/>
        </w:tabs>
        <w:rPr>
          <w:sz w:val="20"/>
          <w:szCs w:val="20"/>
          <w:color w:val="auto"/>
        </w:rPr>
      </w:pPr>
      <w:r>
        <w:rPr>
          <w:rFonts w:ascii="Arial" w:cs="Arial" w:eastAsia="Arial" w:hAnsi="Arial"/>
          <w:sz w:val="16"/>
          <w:szCs w:val="16"/>
          <w:b w:val="1"/>
          <w:bCs w:val="1"/>
          <w:color w:val="282828"/>
        </w:rPr>
        <w:t>5.2</w:t>
      </w:r>
      <w:r>
        <w:rPr>
          <w:sz w:val="20"/>
          <w:szCs w:val="20"/>
          <w:color w:val="auto"/>
        </w:rPr>
        <w:tab/>
      </w:r>
      <w:r>
        <w:rPr>
          <w:rFonts w:ascii="Arial" w:cs="Arial" w:eastAsia="Arial" w:hAnsi="Arial"/>
          <w:sz w:val="16"/>
          <w:szCs w:val="16"/>
          <w:color w:val="auto"/>
        </w:rPr>
        <w:t>Pour les Lieux Loues Additionnel, le Locataire s'engage à payer au Bailleur, à titre de Loyer de Base, pour la première année de la Durée de Location la somme annuelle qui sera déterminée en tenant compte du cout total du projet (le «Cout total du projet") pour les Lieux Loues Additionnel et l'agrandissement du stationnement, y compris tous les« hard cost », les couts d'améliorations locatives du Locataire (« Améliorations locatives du Locataire») et les couts accessoires lies a la construction des Lieux Loues Additionnel (soft cost), à l'exclusion du Terrain, a un taux d'intérêt de quatre cents (400) points de base au-dessus du taux directeur de la Banque du Canada (cent (100) points). Pour chacune des années subséquentes, et ce, jusqu'a l'Expiration de la Durée, le Loyer de Base pour les Lieux Loues Additionnel (ci-après désigne le« Loyer de Base additionnel ») sera augmenté annuellement à la date d'anniversaire du Bail au taux de 2.5%.</w:t>
      </w:r>
    </w:p>
    <w:p>
      <w:pPr>
        <w:spacing w:after="0" w:line="200" w:lineRule="exact"/>
        <w:rPr>
          <w:sz w:val="20"/>
          <w:szCs w:val="20"/>
          <w:color w:val="auto"/>
        </w:rPr>
      </w:pPr>
    </w:p>
    <w:p>
      <w:pPr>
        <w:spacing w:after="0" w:line="301" w:lineRule="exact"/>
        <w:rPr>
          <w:sz w:val="20"/>
          <w:szCs w:val="20"/>
          <w:color w:val="auto"/>
        </w:rPr>
      </w:pPr>
    </w:p>
    <w:p>
      <w:pPr>
        <w:ind w:left="2580" w:right="360"/>
        <w:spacing w:after="0" w:line="328" w:lineRule="auto"/>
        <w:rPr>
          <w:sz w:val="20"/>
          <w:szCs w:val="20"/>
          <w:color w:val="auto"/>
        </w:rPr>
      </w:pPr>
      <w:r>
        <w:rPr>
          <w:rFonts w:ascii="Arial" w:cs="Arial" w:eastAsia="Arial" w:hAnsi="Arial"/>
          <w:sz w:val="15"/>
          <w:szCs w:val="15"/>
          <w:color w:val="505050"/>
        </w:rPr>
        <w:t xml:space="preserve">Pour fin d'exemple le Loyer de Base additionnel annuel pour </w:t>
      </w:r>
      <w:r>
        <w:rPr>
          <w:rFonts w:ascii="Arial" w:cs="Arial" w:eastAsia="Arial" w:hAnsi="Arial"/>
          <w:sz w:val="15"/>
          <w:szCs w:val="15"/>
          <w:color w:val="3D3E3E"/>
        </w:rPr>
        <w:t>Lieux Loues Additionnel pour la première</w:t>
      </w:r>
      <w:r>
        <w:rPr>
          <w:rFonts w:ascii="Arial" w:cs="Arial" w:eastAsia="Arial" w:hAnsi="Arial"/>
          <w:sz w:val="15"/>
          <w:szCs w:val="15"/>
          <w:color w:val="505050"/>
        </w:rPr>
        <w:t xml:space="preserve"> </w:t>
      </w:r>
      <w:r>
        <w:rPr>
          <w:rFonts w:ascii="Arial" w:cs="Arial" w:eastAsia="Arial" w:hAnsi="Arial"/>
          <w:sz w:val="15"/>
          <w:szCs w:val="15"/>
          <w:color w:val="3D3E3E"/>
        </w:rPr>
        <w:t xml:space="preserve">année du terme des Lieux Loues Additionnel, serait calculé sur la base de la </w:t>
      </w:r>
      <w:r>
        <w:rPr>
          <w:rFonts w:ascii="Arial" w:cs="Arial" w:eastAsia="Arial" w:hAnsi="Arial"/>
          <w:sz w:val="15"/>
          <w:szCs w:val="15"/>
          <w:color w:val="505050"/>
        </w:rPr>
        <w:t>formule suivante:</w:t>
      </w:r>
    </w:p>
    <w:p>
      <w:pPr>
        <w:spacing w:after="0" w:line="151" w:lineRule="exact"/>
        <w:rPr>
          <w:sz w:val="20"/>
          <w:szCs w:val="20"/>
          <w:color w:val="auto"/>
        </w:rPr>
      </w:pPr>
    </w:p>
    <w:p>
      <w:pPr>
        <w:ind w:left="3700" w:hanging="298"/>
        <w:spacing w:after="0"/>
        <w:tabs>
          <w:tab w:leader="none" w:pos="37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Exemple du cout total du projet : 1 150 000 $</w:t>
      </w:r>
    </w:p>
    <w:p>
      <w:pPr>
        <w:spacing w:after="0" w:line="17" w:lineRule="exact"/>
        <w:rPr>
          <w:rFonts w:ascii="Arial" w:cs="Arial" w:eastAsia="Arial" w:hAnsi="Arial"/>
          <w:sz w:val="16"/>
          <w:szCs w:val="16"/>
          <w:color w:val="auto"/>
        </w:rPr>
      </w:pPr>
    </w:p>
    <w:p>
      <w:pPr>
        <w:ind w:left="3700" w:hanging="298"/>
        <w:spacing w:after="0"/>
        <w:tabs>
          <w:tab w:leader="none" w:pos="37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Taux d'intérêt annuel : 5 %</w:t>
      </w:r>
    </w:p>
    <w:p>
      <w:pPr>
        <w:spacing w:after="0" w:line="237" w:lineRule="exact"/>
        <w:rPr>
          <w:sz w:val="20"/>
          <w:szCs w:val="20"/>
          <w:color w:val="auto"/>
        </w:rPr>
      </w:pPr>
    </w:p>
    <w:p>
      <w:pPr>
        <w:ind w:left="3340" w:hanging="320"/>
        <w:spacing w:after="0"/>
        <w:tabs>
          <w:tab w:leader="none" w:pos="3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Loyer de Base additionnel annuel : = (1 150 000$ x 5 % : 57 500$/année)</w:t>
      </w:r>
    </w:p>
    <w:p>
      <w:pPr>
        <w:spacing w:after="0" w:line="240" w:lineRule="exact"/>
        <w:rPr>
          <w:rFonts w:ascii="Arial" w:cs="Arial" w:eastAsia="Arial" w:hAnsi="Arial"/>
          <w:sz w:val="16"/>
          <w:szCs w:val="16"/>
          <w:color w:val="auto"/>
        </w:rPr>
      </w:pPr>
    </w:p>
    <w:p>
      <w:pPr>
        <w:ind w:left="3340" w:hanging="320"/>
        <w:spacing w:after="0"/>
        <w:tabs>
          <w:tab w:leader="none" w:pos="3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Loyer de Base additionnel /année/pi2 : 57 500$/3800 pi2 : 15,13 $/pi2/année</w:t>
      </w:r>
    </w:p>
    <w:p>
      <w:pPr>
        <w:spacing w:after="0" w:line="147" w:lineRule="exact"/>
        <w:rPr>
          <w:sz w:val="20"/>
          <w:szCs w:val="20"/>
          <w:color w:val="auto"/>
        </w:rPr>
      </w:pPr>
    </w:p>
    <w:p>
      <w:pPr>
        <w:ind w:left="1940" w:right="40" w:hanging="395"/>
        <w:spacing w:after="0" w:line="259" w:lineRule="auto"/>
        <w:tabs>
          <w:tab w:leader="none" w:pos="1920" w:val="left"/>
        </w:tabs>
        <w:rPr>
          <w:sz w:val="20"/>
          <w:szCs w:val="20"/>
          <w:color w:val="auto"/>
        </w:rPr>
      </w:pPr>
      <w:r>
        <w:rPr>
          <w:rFonts w:ascii="Arial" w:cs="Arial" w:eastAsia="Arial" w:hAnsi="Arial"/>
          <w:sz w:val="16"/>
          <w:szCs w:val="16"/>
          <w:b w:val="1"/>
          <w:bCs w:val="1"/>
          <w:color w:val="282828"/>
        </w:rPr>
        <w:t>5.3</w:t>
      </w:r>
      <w:r>
        <w:rPr>
          <w:sz w:val="20"/>
          <w:szCs w:val="20"/>
          <w:color w:val="auto"/>
        </w:rPr>
        <w:tab/>
      </w:r>
      <w:r>
        <w:rPr>
          <w:rFonts w:ascii="Arial" w:cs="Arial" w:eastAsia="Arial" w:hAnsi="Arial"/>
          <w:sz w:val="16"/>
          <w:szCs w:val="16"/>
          <w:color w:val="auto"/>
        </w:rPr>
        <w:t>Pour les Nouveaux Lieux Loues, le Locataire s'engage à payer au Bailleur, à titre de Loyer de Base supplémentaire, pour la durée de location la somme annuelle de QUATRE DOLLARS ET SOIXANTE QUINZE CENTS (4.75 $) par pied carre pour la Superficie Locative louée pendant toute la durée du bail. (ci-après désigne le« Loyer de Base supplémentaire»).</w:t>
      </w:r>
    </w:p>
    <w:p>
      <w:pPr>
        <w:spacing w:after="0" w:line="345" w:lineRule="exact"/>
        <w:rPr>
          <w:sz w:val="20"/>
          <w:szCs w:val="20"/>
          <w:color w:val="auto"/>
        </w:rPr>
      </w:pPr>
    </w:p>
    <w:p>
      <w:pPr>
        <w:ind w:left="1940" w:right="300" w:hanging="395"/>
        <w:spacing w:after="0" w:line="267" w:lineRule="auto"/>
        <w:tabs>
          <w:tab w:leader="none" w:pos="1920" w:val="left"/>
        </w:tabs>
        <w:rPr>
          <w:sz w:val="20"/>
          <w:szCs w:val="20"/>
          <w:color w:val="auto"/>
        </w:rPr>
      </w:pPr>
      <w:r>
        <w:rPr>
          <w:rFonts w:ascii="Arial" w:cs="Arial" w:eastAsia="Arial" w:hAnsi="Arial"/>
          <w:sz w:val="16"/>
          <w:szCs w:val="16"/>
          <w:b w:val="1"/>
          <w:bCs w:val="1"/>
          <w:color w:val="282828"/>
        </w:rPr>
        <w:t>5.4</w:t>
      </w:r>
      <w:r>
        <w:rPr>
          <w:sz w:val="20"/>
          <w:szCs w:val="20"/>
          <w:color w:val="auto"/>
        </w:rPr>
        <w:tab/>
      </w:r>
      <w:r>
        <w:rPr>
          <w:rFonts w:ascii="Arial" w:cs="Arial" w:eastAsia="Arial" w:hAnsi="Arial"/>
          <w:sz w:val="16"/>
          <w:szCs w:val="16"/>
          <w:color w:val="282828"/>
        </w:rPr>
        <w:t>Le Loyer de Base initial, le Loyer de Base additionnel ainsi que le Loyer de Base supplémentaire seront payes à l'avance, le premier jour de chaque mois, jusqu'a l'Expiration de la Durée, en versements mensuels, égaux et consécutifs. Dans l'éventualité ou le premier ou</w:t>
      </w:r>
    </w:p>
    <w:p>
      <w:pPr>
        <w:sectPr>
          <w:pgSz w:w="11900" w:h="16838" w:orient="portrait"/>
          <w:cols w:equalWidth="0" w:num="1">
            <w:col w:w="10120"/>
          </w:cols>
          <w:pgMar w:left="1440" w:top="1305" w:right="339" w:bottom="1440" w:gutter="0" w:footer="0" w:header="0"/>
        </w:sectPr>
      </w:pPr>
    </w:p>
    <w:bookmarkStart w:id="135" w:name="page136"/>
    <w:bookmarkEnd w:id="135"/>
    <w:p>
      <w:pPr>
        <w:ind w:left="9620"/>
        <w:spacing w:after="0"/>
        <w:rPr>
          <w:sz w:val="20"/>
          <w:szCs w:val="20"/>
          <w:color w:val="auto"/>
        </w:rPr>
      </w:pPr>
      <w:r>
        <w:rPr>
          <w:rFonts w:ascii="Arial" w:cs="Arial" w:eastAsia="Arial" w:hAnsi="Arial"/>
          <w:sz w:val="15"/>
          <w:szCs w:val="15"/>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940"/>
        <w:spacing w:after="0" w:line="267" w:lineRule="auto"/>
        <w:rPr>
          <w:sz w:val="20"/>
          <w:szCs w:val="20"/>
          <w:color w:val="auto"/>
        </w:rPr>
      </w:pPr>
      <w:r>
        <w:rPr>
          <w:rFonts w:ascii="Arial" w:cs="Arial" w:eastAsia="Arial" w:hAnsi="Arial"/>
          <w:sz w:val="16"/>
          <w:szCs w:val="16"/>
          <w:color w:val="282828"/>
        </w:rPr>
        <w:t>le dernier jour de la Durée de Location ne serait pas le premier ou le dernier jour d'un mois civil, ou que le Loyer de Base ne serait pas payable le premier jour du mois alors, le Locataire paiera pour cette partie du mois le Loyer de Base sur une base« per diem».</w:t>
      </w:r>
    </w:p>
    <w:p>
      <w:pPr>
        <w:spacing w:after="0" w:line="207"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b w:val="1"/>
          <w:bCs w:val="1"/>
          <w:color w:val="282828"/>
        </w:rPr>
        <w:t>6.</w:t>
      </w:r>
      <w:r>
        <w:rPr>
          <w:sz w:val="20"/>
          <w:szCs w:val="20"/>
          <w:color w:val="auto"/>
        </w:rPr>
        <w:tab/>
      </w:r>
      <w:r>
        <w:rPr>
          <w:rFonts w:ascii="Arial" w:cs="Arial" w:eastAsia="Arial" w:hAnsi="Arial"/>
          <w:sz w:val="15"/>
          <w:szCs w:val="15"/>
          <w:b w:val="1"/>
          <w:bCs w:val="1"/>
          <w:color w:val="282828"/>
        </w:rPr>
        <w:t>PAIEMENT INCITATIF</w:t>
      </w:r>
    </w:p>
    <w:p>
      <w:pPr>
        <w:spacing w:after="0" w:line="240" w:lineRule="exact"/>
        <w:rPr>
          <w:sz w:val="20"/>
          <w:szCs w:val="20"/>
          <w:color w:val="auto"/>
        </w:rPr>
      </w:pPr>
    </w:p>
    <w:p>
      <w:pPr>
        <w:ind w:left="1940" w:right="80" w:hanging="395"/>
        <w:spacing w:after="0" w:line="259" w:lineRule="auto"/>
        <w:tabs>
          <w:tab w:leader="none" w:pos="1920" w:val="left"/>
        </w:tabs>
        <w:rPr>
          <w:sz w:val="20"/>
          <w:szCs w:val="20"/>
          <w:color w:val="auto"/>
        </w:rPr>
      </w:pPr>
      <w:r>
        <w:rPr>
          <w:rFonts w:ascii="Arial" w:cs="Arial" w:eastAsia="Arial" w:hAnsi="Arial"/>
          <w:sz w:val="16"/>
          <w:szCs w:val="16"/>
          <w:b w:val="1"/>
          <w:bCs w:val="1"/>
          <w:color w:val="282828"/>
        </w:rPr>
        <w:t>6.1</w:t>
      </w:r>
      <w:r>
        <w:rPr>
          <w:sz w:val="20"/>
          <w:szCs w:val="20"/>
          <w:color w:val="auto"/>
        </w:rPr>
        <w:tab/>
      </w:r>
      <w:r>
        <w:rPr>
          <w:rFonts w:ascii="Arial" w:cs="Arial" w:eastAsia="Arial" w:hAnsi="Arial"/>
          <w:sz w:val="16"/>
          <w:szCs w:val="16"/>
          <w:color w:val="282828"/>
        </w:rPr>
        <w:t>Afin d'inciter le Locataire à louer les Nouveaux Lieux Loues, le Bailleur consent à payer au Locataire la somme de TRENT</w:t>
      </w:r>
      <w:r>
        <w:rPr>
          <w:rFonts w:ascii="Arial" w:cs="Arial" w:eastAsia="Arial" w:hAnsi="Arial"/>
          <w:sz w:val="16"/>
          <w:szCs w:val="16"/>
          <w:color w:val="000000"/>
        </w:rPr>
        <w:t>E CINQ D</w:t>
      </w:r>
      <w:r>
        <w:rPr>
          <w:rFonts w:ascii="Arial" w:cs="Arial" w:eastAsia="Arial" w:hAnsi="Arial"/>
          <w:sz w:val="16"/>
          <w:szCs w:val="16"/>
          <w:color w:val="282828"/>
        </w:rPr>
        <w:t>OLLARS (35.00 $) par pied carre de Superficie Locative louée.Telle somme sera payable par le Bailleur et exigible de celui-ci lors de la signature inconditionnelle des présentes. Toute somme attribuable à la taxe sur les produits et services et toute autre taxe semblable devra être ajoutée au paiement incitatif et payée par le Bailleur.</w:t>
      </w:r>
    </w:p>
    <w:p>
      <w:pPr>
        <w:spacing w:after="0" w:line="200" w:lineRule="exact"/>
        <w:rPr>
          <w:sz w:val="20"/>
          <w:szCs w:val="20"/>
          <w:color w:val="auto"/>
        </w:rPr>
      </w:pPr>
    </w:p>
    <w:p>
      <w:pPr>
        <w:jc w:val="both"/>
        <w:ind w:left="1940" w:hanging="395"/>
        <w:spacing w:after="0" w:line="264" w:lineRule="auto"/>
        <w:tabs>
          <w:tab w:leader="none" w:pos="1920" w:val="left"/>
        </w:tabs>
        <w:rPr>
          <w:sz w:val="20"/>
          <w:szCs w:val="20"/>
          <w:color w:val="auto"/>
        </w:rPr>
      </w:pPr>
      <w:r>
        <w:rPr>
          <w:rFonts w:ascii="Arial" w:cs="Arial" w:eastAsia="Arial" w:hAnsi="Arial"/>
          <w:sz w:val="16"/>
          <w:szCs w:val="16"/>
          <w:b w:val="1"/>
          <w:bCs w:val="1"/>
          <w:color w:val="282828"/>
        </w:rPr>
        <w:t>6.2</w:t>
      </w:r>
      <w:r>
        <w:rPr>
          <w:sz w:val="20"/>
          <w:szCs w:val="20"/>
          <w:color w:val="auto"/>
        </w:rPr>
        <w:tab/>
      </w:r>
      <w:r>
        <w:rPr>
          <w:rFonts w:ascii="Arial" w:cs="Arial" w:eastAsia="Arial" w:hAnsi="Arial"/>
          <w:sz w:val="16"/>
          <w:szCs w:val="16"/>
          <w:color w:val="auto"/>
        </w:rPr>
        <w:t>Il est entendu entre les parties que le Locataire devra rembourser le montant ainsi finance par le Bailleur, majore par un taux d'intérêt de six pour cent et soixante-quinze centième (6,75 %), à titre de loyer de base supplémentaire (tel que défini a l'article 5.3 des présentes) par versement mensuel et égaux effectue le premier ( 1er) jour de chaque mois et de la même manière que les loyers de base.</w:t>
      </w:r>
    </w:p>
    <w:p>
      <w:pPr>
        <w:spacing w:after="0" w:line="211"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b w:val="1"/>
          <w:bCs w:val="1"/>
          <w:color w:val="282828"/>
        </w:rPr>
        <w:t>7.</w:t>
      </w:r>
      <w:r>
        <w:rPr>
          <w:sz w:val="20"/>
          <w:szCs w:val="20"/>
          <w:color w:val="auto"/>
        </w:rPr>
        <w:tab/>
      </w:r>
      <w:r>
        <w:rPr>
          <w:rFonts w:ascii="Arial" w:cs="Arial" w:eastAsia="Arial" w:hAnsi="Arial"/>
          <w:sz w:val="15"/>
          <w:szCs w:val="15"/>
          <w:b w:val="1"/>
          <w:bCs w:val="1"/>
          <w:color w:val="282828"/>
        </w:rPr>
        <w:t>ACCEPTATION DES LIEUX LOUES</w:t>
      </w:r>
    </w:p>
    <w:p>
      <w:pPr>
        <w:spacing w:after="0" w:line="253" w:lineRule="exact"/>
        <w:rPr>
          <w:sz w:val="20"/>
          <w:szCs w:val="20"/>
          <w:color w:val="auto"/>
        </w:rPr>
      </w:pPr>
    </w:p>
    <w:p>
      <w:pPr>
        <w:jc w:val="both"/>
        <w:ind w:left="1940" w:hanging="396"/>
        <w:spacing w:after="0" w:line="267" w:lineRule="auto"/>
        <w:tabs>
          <w:tab w:leader="none" w:pos="1920" w:val="left"/>
        </w:tabs>
        <w:rPr>
          <w:sz w:val="20"/>
          <w:szCs w:val="20"/>
          <w:color w:val="auto"/>
        </w:rPr>
      </w:pPr>
      <w:r>
        <w:rPr>
          <w:rFonts w:ascii="Arial" w:cs="Arial" w:eastAsia="Arial" w:hAnsi="Arial"/>
          <w:sz w:val="16"/>
          <w:szCs w:val="16"/>
          <w:b w:val="1"/>
          <w:bCs w:val="1"/>
          <w:color w:val="282828"/>
        </w:rPr>
        <w:t>7.1</w:t>
      </w:r>
      <w:r>
        <w:rPr>
          <w:sz w:val="20"/>
          <w:szCs w:val="20"/>
          <w:color w:val="auto"/>
        </w:rPr>
        <w:tab/>
      </w:r>
      <w:r>
        <w:rPr>
          <w:rFonts w:ascii="Arial" w:cs="Arial" w:eastAsia="Arial" w:hAnsi="Arial"/>
          <w:sz w:val="16"/>
          <w:szCs w:val="16"/>
          <w:color w:val="282828"/>
        </w:rPr>
        <w:t>Le Locataire bénéficiera d'une période de SIX (6) mois, à compter du Début de la Durée, pour aviser le Bailleur de tout vice apparent a tout système de base de l'Édifice situe dans les Nouveaux Lieux Loues, afin que le Bailleur puisse, a ses frais, remédier audit vice.</w:t>
      </w:r>
    </w:p>
    <w:p>
      <w:pPr>
        <w:spacing w:after="0" w:line="221" w:lineRule="exact"/>
        <w:rPr>
          <w:sz w:val="20"/>
          <w:szCs w:val="20"/>
          <w:color w:val="auto"/>
        </w:rPr>
      </w:pPr>
    </w:p>
    <w:p>
      <w:pPr>
        <w:jc w:val="both"/>
        <w:ind w:left="1940" w:hanging="396"/>
        <w:spacing w:after="0" w:line="252" w:lineRule="auto"/>
        <w:tabs>
          <w:tab w:leader="none" w:pos="1920" w:val="left"/>
        </w:tabs>
        <w:rPr>
          <w:sz w:val="20"/>
          <w:szCs w:val="20"/>
          <w:color w:val="auto"/>
        </w:rPr>
      </w:pPr>
      <w:r>
        <w:rPr>
          <w:rFonts w:ascii="Arial" w:cs="Arial" w:eastAsia="Arial" w:hAnsi="Arial"/>
          <w:sz w:val="16"/>
          <w:szCs w:val="16"/>
          <w:b w:val="1"/>
          <w:bCs w:val="1"/>
          <w:color w:val="282828"/>
        </w:rPr>
        <w:t>7.2</w:t>
      </w:r>
      <w:r>
        <w:rPr>
          <w:sz w:val="20"/>
          <w:szCs w:val="20"/>
          <w:color w:val="auto"/>
        </w:rPr>
        <w:tab/>
      </w:r>
      <w:r>
        <w:rPr>
          <w:rFonts w:ascii="Arial" w:cs="Arial" w:eastAsia="Arial" w:hAnsi="Arial"/>
          <w:sz w:val="16"/>
          <w:szCs w:val="16"/>
          <w:color w:val="282828"/>
        </w:rPr>
        <w:t>Lorsque le vice ou défaut affectera un système ou tout item saisonnier incluant, sans restreindre la portée de ce qui précède, les systèmes de chauffage et de climatisation, alors la période de SIX</w:t>
      </w:r>
    </w:p>
    <w:p>
      <w:pPr>
        <w:spacing w:after="0" w:line="1" w:lineRule="exact"/>
        <w:rPr>
          <w:sz w:val="20"/>
          <w:szCs w:val="20"/>
          <w:color w:val="auto"/>
        </w:rPr>
      </w:pPr>
    </w:p>
    <w:p>
      <w:pPr>
        <w:ind w:left="1940" w:firstLine="3"/>
        <w:spacing w:after="0" w:line="272" w:lineRule="auto"/>
        <w:tabs>
          <w:tab w:leader="none" w:pos="2201" w:val="left"/>
        </w:tabs>
        <w:numPr>
          <w:ilvl w:val="0"/>
          <w:numId w:val="78"/>
        </w:numPr>
        <w:rPr>
          <w:rFonts w:ascii="Arial" w:cs="Arial" w:eastAsia="Arial" w:hAnsi="Arial"/>
          <w:sz w:val="16"/>
          <w:szCs w:val="16"/>
          <w:color w:val="282828"/>
        </w:rPr>
      </w:pPr>
      <w:r>
        <w:rPr>
          <w:rFonts w:ascii="Arial" w:cs="Arial" w:eastAsia="Arial" w:hAnsi="Arial"/>
          <w:sz w:val="16"/>
          <w:szCs w:val="16"/>
          <w:color w:val="282828"/>
        </w:rPr>
        <w:t>mois commencera a courir dès la mise en fonction dudit item ou système et non à compter du Début de la Durée.</w:t>
      </w:r>
    </w:p>
    <w:p>
      <w:pPr>
        <w:spacing w:after="0" w:line="203" w:lineRule="exact"/>
        <w:rPr>
          <w:sz w:val="20"/>
          <w:szCs w:val="20"/>
          <w:color w:val="auto"/>
        </w:rPr>
      </w:pPr>
    </w:p>
    <w:p>
      <w:pPr>
        <w:jc w:val="both"/>
        <w:ind w:left="1940" w:hanging="395"/>
        <w:spacing w:after="0" w:line="259" w:lineRule="auto"/>
        <w:tabs>
          <w:tab w:leader="none" w:pos="1920" w:val="left"/>
        </w:tabs>
        <w:rPr>
          <w:sz w:val="20"/>
          <w:szCs w:val="20"/>
          <w:color w:val="auto"/>
        </w:rPr>
      </w:pPr>
      <w:r>
        <w:rPr>
          <w:rFonts w:ascii="Arial" w:cs="Arial" w:eastAsia="Arial" w:hAnsi="Arial"/>
          <w:sz w:val="16"/>
          <w:szCs w:val="16"/>
          <w:b w:val="1"/>
          <w:bCs w:val="1"/>
          <w:color w:val="282828"/>
        </w:rPr>
        <w:t>7.3</w:t>
      </w:r>
      <w:r>
        <w:rPr>
          <w:sz w:val="20"/>
          <w:szCs w:val="20"/>
          <w:color w:val="auto"/>
        </w:rPr>
        <w:tab/>
      </w:r>
      <w:r>
        <w:rPr>
          <w:rFonts w:ascii="Arial" w:cs="Arial" w:eastAsia="Arial" w:hAnsi="Arial"/>
          <w:sz w:val="16"/>
          <w:szCs w:val="16"/>
          <w:color w:val="282828"/>
        </w:rPr>
        <w:t>L'omission ou le défaut d'aviser le Bailleur de tout défaut ou vice, tel que mentionné ci-dessus, ou d'informer le Bailleur de tout problème affectant la structure des Lieux Loues et qui n'a pu être raisonnablement décelé lors d'un examen du Locataire dans le délai ci-dessus mentionne, ne sera pas interprète et ne constituera pas une renonciation aux droits et recours du Locataire pour tout défaut ou vice.</w:t>
      </w:r>
    </w:p>
    <w:p>
      <w:pPr>
        <w:spacing w:after="0" w:line="239" w:lineRule="exact"/>
        <w:rPr>
          <w:sz w:val="20"/>
          <w:szCs w:val="20"/>
          <w:color w:val="auto"/>
        </w:rPr>
      </w:pPr>
    </w:p>
    <w:p>
      <w:pPr>
        <w:ind w:left="1540"/>
        <w:spacing w:after="0"/>
        <w:tabs>
          <w:tab w:leader="none" w:pos="1920" w:val="left"/>
        </w:tabs>
        <w:rPr>
          <w:sz w:val="20"/>
          <w:szCs w:val="20"/>
          <w:color w:val="auto"/>
        </w:rPr>
      </w:pPr>
      <w:r>
        <w:rPr>
          <w:rFonts w:ascii="Arial" w:cs="Arial" w:eastAsia="Arial" w:hAnsi="Arial"/>
          <w:sz w:val="16"/>
          <w:szCs w:val="16"/>
          <w:b w:val="1"/>
          <w:bCs w:val="1"/>
          <w:color w:val="282828"/>
        </w:rPr>
        <w:t>7.4</w:t>
      </w:r>
      <w:r>
        <w:rPr>
          <w:sz w:val="20"/>
          <w:szCs w:val="20"/>
          <w:color w:val="auto"/>
        </w:rPr>
        <w:tab/>
      </w:r>
      <w:r>
        <w:rPr>
          <w:rFonts w:ascii="Arial" w:cs="Arial" w:eastAsia="Arial" w:hAnsi="Arial"/>
          <w:sz w:val="15"/>
          <w:szCs w:val="15"/>
          <w:color w:val="282828"/>
        </w:rPr>
        <w:t>Le Bailleur reconnait qu'à ce titre le Locataire doit être considère comme un profane.</w:t>
      </w:r>
    </w:p>
    <w:p>
      <w:pPr>
        <w:spacing w:after="0" w:line="267"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b w:val="1"/>
          <w:bCs w:val="1"/>
          <w:color w:val="282828"/>
        </w:rPr>
        <w:t>8.</w:t>
      </w:r>
      <w:r>
        <w:rPr>
          <w:sz w:val="20"/>
          <w:szCs w:val="20"/>
          <w:color w:val="auto"/>
        </w:rPr>
        <w:tab/>
      </w:r>
      <w:r>
        <w:rPr>
          <w:rFonts w:ascii="Arial" w:cs="Arial" w:eastAsia="Arial" w:hAnsi="Arial"/>
          <w:sz w:val="15"/>
          <w:szCs w:val="15"/>
          <w:b w:val="1"/>
          <w:bCs w:val="1"/>
          <w:color w:val="282828"/>
        </w:rPr>
        <w:t>DROIT DE RÉSILIATION</w:t>
      </w:r>
    </w:p>
    <w:p>
      <w:pPr>
        <w:spacing w:after="0" w:line="267" w:lineRule="exact"/>
        <w:rPr>
          <w:sz w:val="20"/>
          <w:szCs w:val="20"/>
          <w:color w:val="auto"/>
        </w:rPr>
      </w:pPr>
    </w:p>
    <w:p>
      <w:pPr>
        <w:jc w:val="both"/>
        <w:ind w:left="1940" w:hanging="396"/>
        <w:spacing w:after="0" w:line="275" w:lineRule="auto"/>
        <w:tabs>
          <w:tab w:leader="none" w:pos="1920" w:val="left"/>
        </w:tabs>
        <w:rPr>
          <w:sz w:val="20"/>
          <w:szCs w:val="20"/>
          <w:color w:val="auto"/>
        </w:rPr>
      </w:pPr>
      <w:r>
        <w:rPr>
          <w:rFonts w:ascii="Arial" w:cs="Arial" w:eastAsia="Arial" w:hAnsi="Arial"/>
          <w:sz w:val="16"/>
          <w:szCs w:val="16"/>
          <w:b w:val="1"/>
          <w:bCs w:val="1"/>
          <w:color w:val="282828"/>
        </w:rPr>
        <w:t>8.1</w:t>
      </w:r>
      <w:r>
        <w:rPr>
          <w:sz w:val="20"/>
          <w:szCs w:val="20"/>
          <w:color w:val="auto"/>
        </w:rPr>
        <w:tab/>
      </w:r>
      <w:r>
        <w:rPr>
          <w:rFonts w:ascii="Arial" w:cs="Arial" w:eastAsia="Arial" w:hAnsi="Arial"/>
          <w:sz w:val="16"/>
          <w:szCs w:val="16"/>
          <w:color w:val="282828"/>
        </w:rPr>
        <w:t>Le Locataire pourra librement lever une option de résiliation anticipée a la CINOUIÈME (5e) année qui suit le Début de la Durée, sur préavis et moyennant le paiement des pénalités suivantes:</w:t>
      </w:r>
    </w:p>
    <w:p>
      <w:pPr>
        <w:sectPr>
          <w:pgSz w:w="11900" w:h="16838" w:orient="portrait"/>
          <w:cols w:equalWidth="0" w:num="1">
            <w:col w:w="10120"/>
          </w:cols>
          <w:pgMar w:left="1440" w:top="130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color w:val="auto"/>
        </w:rPr>
        <w:t>Page 5</w:t>
      </w:r>
    </w:p>
    <w:p>
      <w:pPr>
        <w:spacing w:after="0" w:line="147" w:lineRule="exact"/>
        <w:rPr>
          <w:sz w:val="20"/>
          <w:szCs w:val="20"/>
          <w:color w:val="auto"/>
        </w:rPr>
      </w:pPr>
    </w:p>
    <w:p>
      <w:pPr>
        <w:ind w:left="1960" w:hanging="253"/>
        <w:spacing w:after="0"/>
        <w:tabs>
          <w:tab w:leader="none" w:pos="1960" w:val="left"/>
        </w:tabs>
        <w:numPr>
          <w:ilvl w:val="0"/>
          <w:numId w:val="79"/>
        </w:numPr>
        <w:rPr>
          <w:rFonts w:ascii="Arial" w:cs="Arial" w:eastAsia="Arial" w:hAnsi="Arial"/>
          <w:sz w:val="16"/>
          <w:szCs w:val="16"/>
          <w:color w:val="040405"/>
        </w:rPr>
      </w:pPr>
      <w:r>
        <w:rPr>
          <w:rFonts w:ascii="Arial" w:cs="Arial" w:eastAsia="Arial" w:hAnsi="Arial"/>
          <w:sz w:val="16"/>
          <w:szCs w:val="16"/>
          <w:color w:val="040405"/>
        </w:rPr>
        <w:t>Préavis écrit : 12 (douze) mois</w:t>
      </w:r>
    </w:p>
    <w:p>
      <w:pPr>
        <w:spacing w:after="0" w:line="240" w:lineRule="exact"/>
        <w:rPr>
          <w:rFonts w:ascii="Arial" w:cs="Arial" w:eastAsia="Arial" w:hAnsi="Arial"/>
          <w:sz w:val="16"/>
          <w:szCs w:val="16"/>
          <w:color w:val="040405"/>
        </w:rPr>
      </w:pPr>
    </w:p>
    <w:p>
      <w:pPr>
        <w:ind w:left="1960" w:right="60" w:hanging="253"/>
        <w:spacing w:after="0" w:line="216" w:lineRule="auto"/>
        <w:tabs>
          <w:tab w:leader="none" w:pos="1957" w:val="left"/>
        </w:tabs>
        <w:numPr>
          <w:ilvl w:val="0"/>
          <w:numId w:val="79"/>
        </w:numPr>
        <w:rPr>
          <w:rFonts w:ascii="Arial" w:cs="Arial" w:eastAsia="Arial" w:hAnsi="Arial"/>
          <w:sz w:val="16"/>
          <w:szCs w:val="16"/>
          <w:color w:val="auto"/>
        </w:rPr>
      </w:pPr>
      <w:r>
        <w:rPr>
          <w:rFonts w:ascii="Arial" w:cs="Arial" w:eastAsia="Arial" w:hAnsi="Arial"/>
          <w:sz w:val="16"/>
          <w:szCs w:val="16"/>
          <w:color w:val="040404"/>
        </w:rPr>
        <w:t>Pénalité en cas de résiliation anticipée: En plus de payer une pénalité de 6 mois de loyer Brut (Loyers de Base et Loyers Additionnels, tel qu'établis en date de l'avis de résiliation), le Locataire paiera la somme équivalente à la partie du capital non amorti des améliorations locatives (amorti sur la Durée de Location au taux de six pour cent et soixante-quinze centième (6,75 %)</w:t>
      </w:r>
    </w:p>
    <w:p>
      <w:pPr>
        <w:spacing w:after="0" w:line="2"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6"/>
          <w:szCs w:val="16"/>
          <w:color w:val="040404"/>
        </w:rPr>
        <w:t>( « Pénalité »).</w:t>
      </w:r>
    </w:p>
    <w:p>
      <w:pPr>
        <w:spacing w:after="0" w:line="317" w:lineRule="exact"/>
        <w:rPr>
          <w:sz w:val="20"/>
          <w:szCs w:val="20"/>
          <w:color w:val="auto"/>
        </w:rPr>
      </w:pPr>
    </w:p>
    <w:p>
      <w:pPr>
        <w:jc w:val="both"/>
        <w:ind w:left="1920" w:hanging="397"/>
        <w:spacing w:after="0" w:line="284" w:lineRule="auto"/>
        <w:tabs>
          <w:tab w:leader="none" w:pos="1900" w:val="left"/>
        </w:tabs>
        <w:rPr>
          <w:sz w:val="20"/>
          <w:szCs w:val="20"/>
          <w:color w:val="auto"/>
        </w:rPr>
      </w:pPr>
      <w:r>
        <w:rPr>
          <w:rFonts w:ascii="Arial" w:cs="Arial" w:eastAsia="Arial" w:hAnsi="Arial"/>
          <w:sz w:val="16"/>
          <w:szCs w:val="16"/>
          <w:b w:val="1"/>
          <w:bCs w:val="1"/>
          <w:color w:val="040404"/>
        </w:rPr>
        <w:t>8.2</w:t>
      </w:r>
      <w:r>
        <w:rPr>
          <w:sz w:val="20"/>
          <w:szCs w:val="20"/>
          <w:color w:val="auto"/>
        </w:rPr>
        <w:tab/>
      </w:r>
      <w:r>
        <w:rPr>
          <w:rFonts w:ascii="Arial" w:cs="Arial" w:eastAsia="Arial" w:hAnsi="Arial"/>
          <w:sz w:val="16"/>
          <w:szCs w:val="16"/>
          <w:color w:val="040404"/>
        </w:rPr>
        <w:t>Le paiement de la pénalité décrite aux présentes sera final et libèrera le Locataire, ses cessionnaires, sous-locataires, filiales, compagnie mère et autres personnes liées au Locataire de quelque façon, le Courtier et autres représentants du Locataire de toute obligation, de quelque nature, aux termes du Bail.</w:t>
      </w:r>
    </w:p>
    <w:p>
      <w:pPr>
        <w:spacing w:after="0" w:line="200" w:lineRule="exact"/>
        <w:rPr>
          <w:sz w:val="20"/>
          <w:szCs w:val="20"/>
          <w:color w:val="auto"/>
        </w:rPr>
      </w:pPr>
    </w:p>
    <w:p>
      <w:pPr>
        <w:spacing w:after="0" w:line="286"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b w:val="1"/>
          <w:bCs w:val="1"/>
          <w:color w:val="040404"/>
        </w:rPr>
        <w:t>9.</w:t>
      </w:r>
      <w:r>
        <w:rPr>
          <w:sz w:val="20"/>
          <w:szCs w:val="20"/>
          <w:color w:val="auto"/>
        </w:rPr>
        <w:tab/>
      </w:r>
      <w:r>
        <w:rPr>
          <w:rFonts w:ascii="Arial" w:cs="Arial" w:eastAsia="Arial" w:hAnsi="Arial"/>
          <w:sz w:val="15"/>
          <w:szCs w:val="15"/>
          <w:b w:val="1"/>
          <w:bCs w:val="1"/>
          <w:color w:val="040404"/>
        </w:rPr>
        <w:t>DEMANDE DE PERMIS</w:t>
      </w:r>
    </w:p>
    <w:p>
      <w:pPr>
        <w:spacing w:after="0" w:line="306" w:lineRule="exact"/>
        <w:rPr>
          <w:sz w:val="20"/>
          <w:szCs w:val="20"/>
          <w:color w:val="auto"/>
        </w:rPr>
      </w:pPr>
    </w:p>
    <w:p>
      <w:pPr>
        <w:ind w:left="1940" w:right="80" w:hanging="398"/>
        <w:spacing w:after="0" w:line="280" w:lineRule="auto"/>
        <w:tabs>
          <w:tab w:leader="none" w:pos="1920" w:val="left"/>
        </w:tabs>
        <w:rPr>
          <w:sz w:val="20"/>
          <w:szCs w:val="20"/>
          <w:color w:val="auto"/>
        </w:rPr>
      </w:pPr>
      <w:r>
        <w:rPr>
          <w:rFonts w:ascii="Arial" w:cs="Arial" w:eastAsia="Arial" w:hAnsi="Arial"/>
          <w:sz w:val="16"/>
          <w:szCs w:val="16"/>
          <w:b w:val="1"/>
          <w:bCs w:val="1"/>
          <w:color w:val="040404"/>
        </w:rPr>
        <w:t>9.1</w:t>
      </w:r>
      <w:r>
        <w:rPr>
          <w:sz w:val="20"/>
          <w:szCs w:val="20"/>
          <w:color w:val="auto"/>
        </w:rPr>
        <w:tab/>
      </w:r>
      <w:r>
        <w:rPr>
          <w:rFonts w:ascii="Arial" w:cs="Arial" w:eastAsia="Arial" w:hAnsi="Arial"/>
          <w:sz w:val="16"/>
          <w:szCs w:val="16"/>
          <w:color w:val="040404"/>
        </w:rPr>
        <w:t>Le Bailleur obtiendra dans les QUATRE-VINGT-DIX (90) jours suivants la signature de l'Addenda 1, les permis de construction nécessaires relativement aux travaux d'agrandissement de l'immeuble et de ceux du stationnement ci-après appelés conjointement les « Permis ». Pour fin d'exemple, les travaux d'agrandissement de l'immeuble et du stationnement sont illustres à l'Annexe C des présentes. Ces demandes de Permis devront être approuvées par écrit par le Locataire agissant raisonnablement.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40404"/>
        </w:rPr>
        <w:t>10. ACCEPTATION CONDITIONNELLE</w:t>
      </w:r>
    </w:p>
    <w:p>
      <w:pPr>
        <w:spacing w:after="0" w:line="147" w:lineRule="exact"/>
        <w:rPr>
          <w:sz w:val="20"/>
          <w:szCs w:val="20"/>
          <w:color w:val="auto"/>
        </w:rPr>
      </w:pPr>
    </w:p>
    <w:p>
      <w:pPr>
        <w:ind w:left="1940" w:firstLine="2"/>
        <w:spacing w:after="0" w:line="328" w:lineRule="auto"/>
        <w:rPr>
          <w:sz w:val="20"/>
          <w:szCs w:val="20"/>
          <w:color w:val="auto"/>
        </w:rPr>
      </w:pPr>
      <w:r>
        <w:rPr>
          <w:rFonts w:ascii="Arial" w:cs="Arial" w:eastAsia="Arial" w:hAnsi="Arial"/>
          <w:sz w:val="15"/>
          <w:szCs w:val="15"/>
          <w:color w:val="040404"/>
        </w:rPr>
        <w:t>Il est entendu que l'Addenda no 1 est conditionnel a l'obtention des Permis relatifs aux travaux d'agrandissement de l'immeuble et du stationnement. Si le Bailleur n'obtient pas les Permis alors l'Addenda no 1 sera nul et de nul effet.</w:t>
      </w:r>
    </w:p>
    <w:p>
      <w:pPr>
        <w:spacing w:after="0" w:line="165" w:lineRule="exact"/>
        <w:rPr>
          <w:sz w:val="20"/>
          <w:szCs w:val="20"/>
          <w:color w:val="auto"/>
        </w:rPr>
      </w:pPr>
    </w:p>
    <w:p>
      <w:pPr>
        <w:ind w:left="220" w:right="540" w:firstLine="2"/>
        <w:spacing w:after="0" w:line="320" w:lineRule="auto"/>
        <w:rPr>
          <w:sz w:val="20"/>
          <w:szCs w:val="20"/>
          <w:color w:val="auto"/>
        </w:rPr>
      </w:pPr>
      <w:r>
        <w:rPr>
          <w:rFonts w:ascii="Arial" w:cs="Arial" w:eastAsia="Arial" w:hAnsi="Arial"/>
          <w:sz w:val="16"/>
          <w:szCs w:val="16"/>
          <w:b w:val="1"/>
          <w:bCs w:val="1"/>
          <w:color w:val="040404"/>
        </w:rPr>
        <w:t>Toutes les autres clauses du Bail seront les mêmes. En cas de contradiction entre les clauses du Bail et celles du présent Addenda no 1, les clauses de I‘Addenda no 1 auront préséance.</w:t>
      </w:r>
    </w:p>
    <w:p>
      <w:pPr>
        <w:sectPr>
          <w:pgSz w:w="11900" w:h="16838" w:orient="portrait"/>
          <w:cols w:equalWidth="0" w:num="1">
            <w:col w:w="10120"/>
          </w:cols>
          <w:pgMar w:left="1440" w:top="130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040404"/>
        </w:rPr>
        <w:t>SIGNÉE À QUÉBEC, PROVINCE DE QUÉBEC, 12/05/2022.</w:t>
      </w:r>
    </w:p>
    <w:p>
      <w:pPr>
        <w:spacing w:after="0" w:line="227" w:lineRule="exact"/>
        <w:rPr>
          <w:sz w:val="20"/>
          <w:szCs w:val="20"/>
          <w:color w:val="auto"/>
        </w:rPr>
      </w:pPr>
    </w:p>
    <w:tbl>
      <w:tblPr>
        <w:tblLayout w:type="fixed"/>
        <w:tblInd w:w="74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80" w:type="dxa"/>
            <w:vAlign w:val="bottom"/>
            <w:gridSpan w:val="2"/>
          </w:tcPr>
          <w:p>
            <w:pPr>
              <w:ind w:left="820"/>
              <w:spacing w:after="0"/>
              <w:rPr>
                <w:sz w:val="20"/>
                <w:szCs w:val="20"/>
                <w:color w:val="auto"/>
              </w:rPr>
            </w:pPr>
            <w:r>
              <w:rPr>
                <w:rFonts w:ascii="Arial" w:cs="Arial" w:eastAsia="Arial" w:hAnsi="Arial"/>
                <w:sz w:val="16"/>
                <w:szCs w:val="16"/>
                <w:b w:val="1"/>
                <w:bCs w:val="1"/>
                <w:color w:val="050505"/>
              </w:rPr>
              <w:t>OPSENS INC.</w:t>
            </w:r>
          </w:p>
        </w:tc>
      </w:tr>
      <w:tr>
        <w:trPr>
          <w:trHeight w:val="218"/>
        </w:trPr>
        <w:tc>
          <w:tcPr>
            <w:tcW w:w="1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gridSpan w:val="2"/>
          </w:tcPr>
          <w:p>
            <w:pPr>
              <w:ind w:left="820"/>
              <w:spacing w:after="0"/>
              <w:rPr>
                <w:sz w:val="20"/>
                <w:szCs w:val="20"/>
                <w:color w:val="auto"/>
              </w:rPr>
            </w:pPr>
            <w:r>
              <w:rPr>
                <w:rFonts w:ascii="Arial" w:cs="Arial" w:eastAsia="Arial" w:hAnsi="Arial"/>
                <w:sz w:val="16"/>
                <w:szCs w:val="16"/>
                <w:b w:val="1"/>
                <w:bCs w:val="1"/>
                <w:color w:val="auto"/>
              </w:rPr>
              <w:t>(Locataire)</w:t>
            </w:r>
          </w:p>
        </w:tc>
      </w:tr>
      <w:tr>
        <w:trPr>
          <w:trHeight w:val="750"/>
        </w:trPr>
        <w:tc>
          <w:tcPr>
            <w:tcW w:w="2940" w:type="dxa"/>
            <w:vAlign w:val="bottom"/>
            <w:gridSpan w:val="2"/>
          </w:tcPr>
          <w:p>
            <w:pPr>
              <w:spacing w:after="0"/>
              <w:rPr>
                <w:sz w:val="20"/>
                <w:szCs w:val="20"/>
                <w:color w:val="auto"/>
              </w:rPr>
            </w:pPr>
            <w:r>
              <w:rPr>
                <w:rFonts w:ascii="Arial" w:cs="Arial" w:eastAsia="Arial" w:hAnsi="Arial"/>
                <w:sz w:val="16"/>
                <w:szCs w:val="16"/>
                <w:b w:val="1"/>
                <w:bCs w:val="1"/>
                <w:color w:val="auto"/>
              </w:rPr>
              <w:t>____________________________</w:t>
            </w:r>
          </w:p>
        </w:tc>
        <w:tc>
          <w:tcPr>
            <w:tcW w:w="264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_/s/ Louis Laflamme____________</w:t>
            </w:r>
          </w:p>
        </w:tc>
      </w:tr>
      <w:tr>
        <w:trPr>
          <w:trHeight w:val="202"/>
        </w:trPr>
        <w:tc>
          <w:tcPr>
            <w:tcW w:w="1140" w:type="dxa"/>
            <w:vAlign w:val="bottom"/>
          </w:tcPr>
          <w:p>
            <w:pPr>
              <w:spacing w:after="0"/>
              <w:rPr>
                <w:sz w:val="20"/>
                <w:szCs w:val="20"/>
                <w:color w:val="auto"/>
              </w:rPr>
            </w:pPr>
            <w:r>
              <w:rPr>
                <w:rFonts w:ascii="Arial" w:cs="Arial" w:eastAsia="Arial" w:hAnsi="Arial"/>
                <w:sz w:val="16"/>
                <w:szCs w:val="16"/>
                <w:color w:val="auto"/>
              </w:rPr>
              <w:t>Témoin</w:t>
            </w:r>
          </w:p>
        </w:tc>
        <w:tc>
          <w:tcPr>
            <w:tcW w:w="1800" w:type="dxa"/>
            <w:vAlign w:val="bottom"/>
          </w:tcPr>
          <w:p>
            <w:pPr>
              <w:ind w:left="620"/>
              <w:spacing w:after="0"/>
              <w:rPr>
                <w:sz w:val="20"/>
                <w:szCs w:val="20"/>
                <w:color w:val="auto"/>
              </w:rPr>
            </w:pPr>
            <w:r>
              <w:rPr>
                <w:rFonts w:ascii="Arial" w:cs="Arial" w:eastAsia="Arial" w:hAnsi="Arial"/>
                <w:sz w:val="16"/>
                <w:szCs w:val="16"/>
                <w:color w:val="auto"/>
              </w:rPr>
              <w:t>Louis Laflamme</w:t>
            </w:r>
          </w:p>
        </w:tc>
        <w:tc>
          <w:tcPr>
            <w:tcW w:w="6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r>
    </w:tbl>
    <w:p>
      <w:pPr>
        <w:spacing w:after="0" w:line="400" w:lineRule="exact"/>
        <w:rPr>
          <w:sz w:val="20"/>
          <w:szCs w:val="20"/>
          <w:color w:val="auto"/>
        </w:rPr>
      </w:pPr>
    </w:p>
    <w:p>
      <w:pPr>
        <w:ind w:left="740" w:right="620"/>
        <w:spacing w:after="0" w:line="303" w:lineRule="auto"/>
        <w:rPr>
          <w:sz w:val="20"/>
          <w:szCs w:val="20"/>
          <w:color w:val="auto"/>
        </w:rPr>
      </w:pPr>
      <w:r>
        <w:rPr>
          <w:rFonts w:ascii="Arial" w:cs="Arial" w:eastAsia="Arial" w:hAnsi="Arial"/>
          <w:sz w:val="16"/>
          <w:szCs w:val="16"/>
          <w:b w:val="1"/>
          <w:bCs w:val="1"/>
          <w:color w:val="040404"/>
        </w:rPr>
        <w:t>NOUS ACCEPTONS LES TERMES ET CONDITIONS DE CETTE OFFRE DE LOCATION, SIGNÉE À QUÉBEC, PROVINCE DE QUÉBEC, 12/05/2022.</w:t>
      </w: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040404"/>
        </w:rPr>
        <w:t>1405 PTQM s.e.c.</w:t>
      </w:r>
    </w:p>
    <w:p>
      <w:pPr>
        <w:spacing w:after="0" w:line="34"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040404"/>
        </w:rPr>
        <w:t>(Bailleur)</w:t>
      </w:r>
    </w:p>
    <w:p>
      <w:pPr>
        <w:spacing w:after="0" w:line="382"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2860" w:type="dxa"/>
            <w:vAlign w:val="bottom"/>
            <w:gridSpan w:val="2"/>
          </w:tcPr>
          <w:p>
            <w:pPr>
              <w:spacing w:after="0"/>
              <w:rPr>
                <w:sz w:val="20"/>
                <w:szCs w:val="20"/>
                <w:color w:val="auto"/>
              </w:rPr>
            </w:pPr>
            <w:r>
              <w:rPr>
                <w:rFonts w:ascii="Arial" w:cs="Arial" w:eastAsia="Arial" w:hAnsi="Arial"/>
                <w:sz w:val="16"/>
                <w:szCs w:val="16"/>
                <w:b w:val="1"/>
                <w:bCs w:val="1"/>
                <w:color w:val="auto"/>
              </w:rPr>
              <w:t>_/s/ Jean-Michel Simard________</w:t>
            </w:r>
          </w:p>
        </w:tc>
        <w:tc>
          <w:tcPr>
            <w:tcW w:w="2860" w:type="dxa"/>
            <w:vAlign w:val="bottom"/>
            <w:gridSpan w:val="3"/>
          </w:tcPr>
          <w:p>
            <w:pPr>
              <w:ind w:left="180"/>
              <w:spacing w:after="0"/>
              <w:rPr>
                <w:sz w:val="20"/>
                <w:szCs w:val="20"/>
                <w:color w:val="auto"/>
              </w:rPr>
            </w:pPr>
            <w:r>
              <w:rPr>
                <w:rFonts w:ascii="Arial" w:cs="Arial" w:eastAsia="Arial" w:hAnsi="Arial"/>
                <w:sz w:val="16"/>
                <w:szCs w:val="16"/>
                <w:b w:val="1"/>
                <w:bCs w:val="1"/>
                <w:color w:val="auto"/>
                <w:w w:val="98"/>
              </w:rPr>
              <w:t>_/s/ Marc Simard________________</w:t>
            </w:r>
          </w:p>
        </w:tc>
      </w:tr>
      <w:tr>
        <w:trPr>
          <w:trHeight w:val="203"/>
        </w:trPr>
        <w:tc>
          <w:tcPr>
            <w:tcW w:w="1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Témoin</w:t>
            </w:r>
          </w:p>
        </w:tc>
        <w:tc>
          <w:tcPr>
            <w:tcW w:w="1060" w:type="dxa"/>
            <w:vAlign w:val="bottom"/>
          </w:tcPr>
          <w:p>
            <w:pPr>
              <w:spacing w:after="0"/>
              <w:rPr>
                <w:sz w:val="20"/>
                <w:szCs w:val="20"/>
                <w:color w:val="auto"/>
              </w:rPr>
            </w:pPr>
            <w:r>
              <w:rPr>
                <w:rFonts w:ascii="Arial" w:cs="Arial" w:eastAsia="Arial" w:hAnsi="Arial"/>
                <w:sz w:val="16"/>
                <w:szCs w:val="16"/>
                <w:color w:val="auto"/>
              </w:rPr>
              <w:t>Marc Simard</w:t>
            </w:r>
          </w:p>
        </w:tc>
        <w:tc>
          <w:tcPr>
            <w:tcW w:w="1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bl>
    <w:p>
      <w:pPr>
        <w:sectPr>
          <w:pgSz w:w="11900" w:h="16838" w:orient="portrait"/>
          <w:cols w:equalWidth="0" w:num="1">
            <w:col w:w="10700"/>
          </w:cols>
          <w:pgMar w:left="860" w:top="1305" w:right="339" w:bottom="1440" w:gutter="0" w:footer="0" w:header="0"/>
        </w:sectPr>
      </w:pPr>
    </w:p>
    <w:bookmarkStart w:id="138" w:name="page139"/>
    <w:bookmarkEnd w:id="138"/>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560"/>
        <w:spacing w:after="0"/>
        <w:rPr>
          <w:sz w:val="20"/>
          <w:szCs w:val="20"/>
          <w:color w:val="auto"/>
        </w:rPr>
      </w:pPr>
      <w:r>
        <w:rPr>
          <w:rFonts w:ascii="Arial" w:cs="Arial" w:eastAsia="Arial" w:hAnsi="Arial"/>
          <w:sz w:val="25"/>
          <w:szCs w:val="25"/>
          <w:b w:val="1"/>
          <w:bCs w:val="1"/>
          <w:u w:val="single" w:color="auto"/>
          <w:color w:val="030303"/>
        </w:rPr>
        <w:t>ADDENDA NO 2</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030303"/>
        </w:rPr>
        <w:t>Adresse des lieux loues</w:t>
      </w:r>
    </w:p>
    <w:p>
      <w:pPr>
        <w:spacing w:after="0" w:line="3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030303"/>
        </w:rPr>
        <w:t>750, boulevard du Parc Technologique Québec (Québec) G1P 4S3</w:t>
      </w:r>
    </w:p>
    <w:p>
      <w:pPr>
        <w:spacing w:after="0" w:line="200" w:lineRule="exact"/>
        <w:rPr>
          <w:sz w:val="20"/>
          <w:szCs w:val="20"/>
          <w:color w:val="auto"/>
        </w:rPr>
      </w:pPr>
    </w:p>
    <w:p>
      <w:pPr>
        <w:spacing w:after="0" w:line="329" w:lineRule="exact"/>
        <w:rPr>
          <w:sz w:val="20"/>
          <w:szCs w:val="20"/>
          <w:color w:val="auto"/>
        </w:rPr>
      </w:pPr>
    </w:p>
    <w:p>
      <w:pPr>
        <w:jc w:val="both"/>
        <w:ind w:left="1060" w:right="200" w:hanging="980"/>
        <w:spacing w:after="0" w:line="249" w:lineRule="auto"/>
        <w:tabs>
          <w:tab w:leader="none" w:pos="1040" w:val="left"/>
        </w:tabs>
        <w:rPr>
          <w:sz w:val="20"/>
          <w:szCs w:val="20"/>
          <w:color w:val="auto"/>
        </w:rPr>
      </w:pPr>
      <w:r>
        <w:rPr>
          <w:rFonts w:ascii="Arial" w:cs="Arial" w:eastAsia="Arial" w:hAnsi="Arial"/>
          <w:sz w:val="16"/>
          <w:szCs w:val="16"/>
          <w:b w:val="1"/>
          <w:bCs w:val="1"/>
          <w:color w:val="030303"/>
        </w:rPr>
        <w:t>ENTRE:</w:t>
        <w:tab/>
        <w:t xml:space="preserve">1405 PTQM S.E.C., </w:t>
      </w:r>
      <w:r>
        <w:rPr>
          <w:rFonts w:ascii="Arial" w:cs="Arial" w:eastAsia="Arial" w:hAnsi="Arial"/>
          <w:sz w:val="16"/>
          <w:szCs w:val="16"/>
          <w:color w:val="030303"/>
        </w:rPr>
        <w:t>société dument constituée, ayant son siège au 1135 Grande Allee Ouest, bureau 21o, Québec</w:t>
      </w:r>
      <w:r>
        <w:rPr>
          <w:rFonts w:ascii="Arial" w:cs="Arial" w:eastAsia="Arial" w:hAnsi="Arial"/>
          <w:sz w:val="16"/>
          <w:szCs w:val="16"/>
          <w:b w:val="1"/>
          <w:bCs w:val="1"/>
          <w:color w:val="030303"/>
        </w:rPr>
        <w:t xml:space="preserve"> </w:t>
      </w:r>
      <w:r>
        <w:rPr>
          <w:rFonts w:ascii="Arial" w:cs="Arial" w:eastAsia="Arial" w:hAnsi="Arial"/>
          <w:sz w:val="16"/>
          <w:szCs w:val="16"/>
          <w:color w:val="131313"/>
        </w:rPr>
        <w:t>(Québec)</w:t>
      </w:r>
      <w:r>
        <w:rPr>
          <w:rFonts w:ascii="Arial" w:cs="Arial" w:eastAsia="Arial" w:hAnsi="Arial"/>
          <w:sz w:val="16"/>
          <w:szCs w:val="16"/>
          <w:b w:val="1"/>
          <w:bCs w:val="1"/>
          <w:color w:val="030303"/>
        </w:rPr>
        <w:t xml:space="preserve"> </w:t>
      </w:r>
      <w:r>
        <w:rPr>
          <w:rFonts w:ascii="Arial" w:cs="Arial" w:eastAsia="Arial" w:hAnsi="Arial"/>
          <w:sz w:val="16"/>
          <w:szCs w:val="16"/>
          <w:color w:val="030303"/>
        </w:rPr>
        <w:t>G1S 1E7, représentée</w:t>
      </w:r>
    </w:p>
    <w:p>
      <w:pPr>
        <w:ind w:left="1220"/>
        <w:spacing w:after="0"/>
        <w:rPr>
          <w:sz w:val="20"/>
          <w:szCs w:val="20"/>
          <w:color w:val="auto"/>
        </w:rPr>
      </w:pPr>
      <w:r>
        <w:rPr>
          <w:rFonts w:ascii="Arial" w:cs="Arial" w:eastAsia="Arial" w:hAnsi="Arial"/>
          <w:sz w:val="16"/>
          <w:szCs w:val="16"/>
          <w:color w:val="030303"/>
        </w:rPr>
        <w:t>aux présentes par monsieur Marc Simard, représentant dument autorise tel qu'il le déclare;</w:t>
      </w:r>
    </w:p>
    <w:p>
      <w:pPr>
        <w:spacing w:after="0" w:line="269" w:lineRule="exact"/>
        <w:rPr>
          <w:sz w:val="20"/>
          <w:szCs w:val="20"/>
          <w:color w:val="auto"/>
        </w:rPr>
      </w:pPr>
    </w:p>
    <w:p>
      <w:pPr>
        <w:ind w:left="1220"/>
        <w:spacing w:after="0"/>
        <w:rPr>
          <w:sz w:val="20"/>
          <w:szCs w:val="20"/>
          <w:color w:val="auto"/>
        </w:rPr>
      </w:pPr>
      <w:r>
        <w:rPr>
          <w:rFonts w:ascii="Arial" w:cs="Arial" w:eastAsia="Arial" w:hAnsi="Arial"/>
          <w:sz w:val="16"/>
          <w:szCs w:val="16"/>
          <w:color w:val="131313"/>
        </w:rPr>
        <w:t xml:space="preserve">(ci-après </w:t>
      </w:r>
      <w:r>
        <w:rPr>
          <w:rFonts w:ascii="Arial" w:cs="Arial" w:eastAsia="Arial" w:hAnsi="Arial"/>
          <w:sz w:val="16"/>
          <w:szCs w:val="16"/>
          <w:color w:val="030303"/>
        </w:rPr>
        <w:t>le</w:t>
      </w:r>
      <w:r>
        <w:rPr>
          <w:rFonts w:ascii="Arial" w:cs="Arial" w:eastAsia="Arial" w:hAnsi="Arial"/>
          <w:sz w:val="16"/>
          <w:szCs w:val="16"/>
          <w:color w:val="131313"/>
        </w:rPr>
        <w:t xml:space="preserve"> </w:t>
      </w:r>
      <w:r>
        <w:rPr>
          <w:rFonts w:ascii="Arial" w:cs="Arial" w:eastAsia="Arial" w:hAnsi="Arial"/>
          <w:sz w:val="16"/>
          <w:szCs w:val="16"/>
          <w:color w:val="282828"/>
        </w:rPr>
        <w:t>«</w:t>
      </w:r>
      <w:r>
        <w:rPr>
          <w:rFonts w:ascii="Arial" w:cs="Arial" w:eastAsia="Arial" w:hAnsi="Arial"/>
          <w:sz w:val="16"/>
          <w:szCs w:val="16"/>
          <w:color w:val="131313"/>
        </w:rPr>
        <w:t xml:space="preserve"> </w:t>
      </w:r>
      <w:r>
        <w:rPr>
          <w:rFonts w:ascii="Arial" w:cs="Arial" w:eastAsia="Arial" w:hAnsi="Arial"/>
          <w:sz w:val="16"/>
          <w:szCs w:val="16"/>
          <w:b w:val="1"/>
          <w:bCs w:val="1"/>
          <w:color w:val="282828"/>
        </w:rPr>
        <w:t>Bailleur</w:t>
      </w:r>
      <w:r>
        <w:rPr>
          <w:rFonts w:ascii="Arial" w:cs="Arial" w:eastAsia="Arial" w:hAnsi="Arial"/>
          <w:sz w:val="16"/>
          <w:szCs w:val="16"/>
          <w:color w:val="131313"/>
        </w:rPr>
        <w:t xml:space="preserve"> </w:t>
      </w:r>
      <w:r>
        <w:rPr>
          <w:rFonts w:ascii="Arial" w:cs="Arial" w:eastAsia="Arial" w:hAnsi="Arial"/>
          <w:sz w:val="16"/>
          <w:szCs w:val="16"/>
          <w:color w:val="282828"/>
        </w:rPr>
        <w:t>») ;</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060" w:right="200" w:hanging="977"/>
        <w:spacing w:after="0" w:line="284" w:lineRule="auto"/>
        <w:tabs>
          <w:tab w:leader="none" w:pos="1040" w:val="left"/>
        </w:tabs>
        <w:rPr>
          <w:sz w:val="20"/>
          <w:szCs w:val="20"/>
          <w:color w:val="auto"/>
        </w:rPr>
      </w:pPr>
      <w:r>
        <w:rPr>
          <w:rFonts w:ascii="Arial" w:cs="Arial" w:eastAsia="Arial" w:hAnsi="Arial"/>
          <w:sz w:val="16"/>
          <w:szCs w:val="16"/>
          <w:b w:val="1"/>
          <w:bCs w:val="1"/>
          <w:color w:val="030303"/>
        </w:rPr>
        <w:t>ET :</w:t>
      </w:r>
      <w:r>
        <w:rPr>
          <w:sz w:val="20"/>
          <w:szCs w:val="20"/>
          <w:color w:val="auto"/>
        </w:rPr>
        <w:tab/>
      </w:r>
      <w:r>
        <w:rPr>
          <w:rFonts w:ascii="Arial" w:cs="Arial" w:eastAsia="Arial" w:hAnsi="Arial"/>
          <w:sz w:val="16"/>
          <w:szCs w:val="16"/>
          <w:b w:val="1"/>
          <w:bCs w:val="1"/>
          <w:color w:val="030303"/>
        </w:rPr>
        <w:t xml:space="preserve">OPSENS INC., </w:t>
      </w:r>
      <w:r>
        <w:rPr>
          <w:rFonts w:ascii="Arial" w:cs="Arial" w:eastAsia="Arial" w:hAnsi="Arial"/>
          <w:sz w:val="16"/>
          <w:szCs w:val="16"/>
          <w:color w:val="030303"/>
        </w:rPr>
        <w:t>une société constituée en vertu des lois du Canada, ayant une place d'affaire au 750, boulevard du Parc</w:t>
      </w:r>
      <w:r>
        <w:rPr>
          <w:rFonts w:ascii="Arial" w:cs="Arial" w:eastAsia="Arial" w:hAnsi="Arial"/>
          <w:sz w:val="16"/>
          <w:szCs w:val="16"/>
          <w:b w:val="1"/>
          <w:bCs w:val="1"/>
          <w:color w:val="030303"/>
        </w:rPr>
        <w:t xml:space="preserve"> </w:t>
      </w:r>
      <w:r>
        <w:rPr>
          <w:rFonts w:ascii="Arial" w:cs="Arial" w:eastAsia="Arial" w:hAnsi="Arial"/>
          <w:sz w:val="16"/>
          <w:szCs w:val="16"/>
          <w:color w:val="030303"/>
        </w:rPr>
        <w:t>Technologique, dans la ville de Québec, province de Québec, agissant aux présentes par l'entremise de monsieur Louis Laflamme, Président, dument autorise tel qu'il le déclare;</w:t>
      </w:r>
    </w:p>
    <w:p>
      <w:pPr>
        <w:spacing w:after="0" w:line="235" w:lineRule="exact"/>
        <w:rPr>
          <w:sz w:val="20"/>
          <w:szCs w:val="20"/>
          <w:color w:val="auto"/>
        </w:rPr>
      </w:pPr>
    </w:p>
    <w:p>
      <w:pPr>
        <w:ind w:left="1220"/>
        <w:spacing w:after="0"/>
        <w:rPr>
          <w:sz w:val="20"/>
          <w:szCs w:val="20"/>
          <w:color w:val="auto"/>
        </w:rPr>
      </w:pPr>
      <w:r>
        <w:rPr>
          <w:rFonts w:ascii="Arial" w:cs="Arial" w:eastAsia="Arial" w:hAnsi="Arial"/>
          <w:sz w:val="16"/>
          <w:szCs w:val="16"/>
          <w:color w:val="131313"/>
        </w:rPr>
        <w:t xml:space="preserve">(ci-après </w:t>
      </w:r>
      <w:r>
        <w:rPr>
          <w:rFonts w:ascii="Arial" w:cs="Arial" w:eastAsia="Arial" w:hAnsi="Arial"/>
          <w:sz w:val="16"/>
          <w:szCs w:val="16"/>
          <w:color w:val="030303"/>
        </w:rPr>
        <w:t>le</w:t>
      </w:r>
      <w:r>
        <w:rPr>
          <w:rFonts w:ascii="Arial" w:cs="Arial" w:eastAsia="Arial" w:hAnsi="Arial"/>
          <w:sz w:val="16"/>
          <w:szCs w:val="16"/>
          <w:color w:val="131313"/>
        </w:rPr>
        <w:t xml:space="preserve"> </w:t>
      </w:r>
      <w:r>
        <w:rPr>
          <w:rFonts w:ascii="Arial" w:cs="Arial" w:eastAsia="Arial" w:hAnsi="Arial"/>
          <w:sz w:val="16"/>
          <w:szCs w:val="16"/>
          <w:color w:val="282828"/>
        </w:rPr>
        <w:t>«</w:t>
      </w:r>
      <w:r>
        <w:rPr>
          <w:rFonts w:ascii="Arial" w:cs="Arial" w:eastAsia="Arial" w:hAnsi="Arial"/>
          <w:sz w:val="16"/>
          <w:szCs w:val="16"/>
          <w:color w:val="131313"/>
        </w:rPr>
        <w:t xml:space="preserve"> </w:t>
      </w:r>
      <w:r>
        <w:rPr>
          <w:rFonts w:ascii="Arial" w:cs="Arial" w:eastAsia="Arial" w:hAnsi="Arial"/>
          <w:sz w:val="16"/>
          <w:szCs w:val="16"/>
          <w:b w:val="1"/>
          <w:bCs w:val="1"/>
          <w:color w:val="030303"/>
        </w:rPr>
        <w:t>Locataire</w:t>
      </w:r>
      <w:r>
        <w:rPr>
          <w:rFonts w:ascii="Arial" w:cs="Arial" w:eastAsia="Arial" w:hAnsi="Arial"/>
          <w:sz w:val="16"/>
          <w:szCs w:val="16"/>
          <w:color w:val="131313"/>
        </w:rPr>
        <w:t xml:space="preserve"> </w:t>
      </w:r>
      <w:r>
        <w:rPr>
          <w:rFonts w:ascii="Arial" w:cs="Arial" w:eastAsia="Arial" w:hAnsi="Arial"/>
          <w:sz w:val="16"/>
          <w:szCs w:val="16"/>
          <w:color w:val="282828"/>
        </w:rPr>
        <w: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6"/>
          <w:szCs w:val="16"/>
          <w:color w:val="030303"/>
        </w:rPr>
        <w:t xml:space="preserve">ATTENDU QUE par </w:t>
      </w:r>
      <w:r>
        <w:rPr>
          <w:rFonts w:ascii="Arial" w:cs="Arial" w:eastAsia="Arial" w:hAnsi="Arial"/>
          <w:sz w:val="16"/>
          <w:szCs w:val="16"/>
          <w:color w:val="131313"/>
        </w:rPr>
        <w:t>convention</w:t>
      </w:r>
      <w:r>
        <w:rPr>
          <w:rFonts w:ascii="Arial" w:cs="Arial" w:eastAsia="Arial" w:hAnsi="Arial"/>
          <w:sz w:val="16"/>
          <w:szCs w:val="16"/>
          <w:color w:val="030303"/>
        </w:rPr>
        <w:t xml:space="preserve"> de bail intervenue le 15 avril 2015 ci-après appelée le </w:t>
      </w:r>
      <w:r>
        <w:rPr>
          <w:rFonts w:ascii="Arial" w:cs="Arial" w:eastAsia="Arial" w:hAnsi="Arial"/>
          <w:sz w:val="16"/>
          <w:szCs w:val="16"/>
          <w:color w:val="282828"/>
        </w:rPr>
        <w:t>«</w:t>
      </w:r>
      <w:r>
        <w:rPr>
          <w:rFonts w:ascii="Arial" w:cs="Arial" w:eastAsia="Arial" w:hAnsi="Arial"/>
          <w:sz w:val="16"/>
          <w:szCs w:val="16"/>
          <w:color w:val="030303"/>
        </w:rPr>
        <w:t xml:space="preserve"> Bail</w:t>
      </w:r>
    </w:p>
    <w:p>
      <w:pPr>
        <w:spacing w:after="0" w:line="28" w:lineRule="exact"/>
        <w:rPr>
          <w:sz w:val="20"/>
          <w:szCs w:val="20"/>
          <w:color w:val="auto"/>
        </w:rPr>
      </w:pPr>
    </w:p>
    <w:p>
      <w:pPr>
        <w:jc w:val="both"/>
        <w:ind w:left="220" w:right="200" w:firstLine="2"/>
        <w:spacing w:after="0" w:line="259" w:lineRule="auto"/>
        <w:rPr>
          <w:sz w:val="20"/>
          <w:szCs w:val="20"/>
          <w:color w:val="auto"/>
        </w:rPr>
      </w:pPr>
      <w:r>
        <w:rPr>
          <w:rFonts w:ascii="Arial" w:cs="Arial" w:eastAsia="Arial" w:hAnsi="Arial"/>
          <w:sz w:val="16"/>
          <w:szCs w:val="16"/>
          <w:color w:val="131313"/>
        </w:rPr>
        <w:t xml:space="preserve">»), </w:t>
      </w:r>
      <w:r>
        <w:rPr>
          <w:rFonts w:ascii="Arial" w:cs="Arial" w:eastAsia="Arial" w:hAnsi="Arial"/>
          <w:sz w:val="16"/>
          <w:szCs w:val="16"/>
          <w:color w:val="030303"/>
        </w:rPr>
        <w:t>le Locataire loue au Bailleur l'Immeuble sis au 750 Boul. du Parc Technologique les</w:t>
      </w:r>
      <w:r>
        <w:rPr>
          <w:rFonts w:ascii="Arial" w:cs="Arial" w:eastAsia="Arial" w:hAnsi="Arial"/>
          <w:sz w:val="16"/>
          <w:szCs w:val="16"/>
          <w:color w:val="131313"/>
        </w:rPr>
        <w:t xml:space="preserve"> </w:t>
      </w:r>
      <w:r>
        <w:rPr>
          <w:rFonts w:ascii="Arial" w:cs="Arial" w:eastAsia="Arial" w:hAnsi="Arial"/>
          <w:sz w:val="16"/>
          <w:szCs w:val="16"/>
          <w:color w:val="282828"/>
        </w:rPr>
        <w:t>«</w:t>
      </w:r>
      <w:r>
        <w:rPr>
          <w:rFonts w:ascii="Arial" w:cs="Arial" w:eastAsia="Arial" w:hAnsi="Arial"/>
          <w:sz w:val="16"/>
          <w:szCs w:val="16"/>
          <w:color w:val="131313"/>
        </w:rPr>
        <w:t xml:space="preserve"> </w:t>
      </w:r>
      <w:r>
        <w:rPr>
          <w:rFonts w:ascii="Arial" w:cs="Arial" w:eastAsia="Arial" w:hAnsi="Arial"/>
          <w:sz w:val="16"/>
          <w:szCs w:val="16"/>
          <w:color w:val="030303"/>
        </w:rPr>
        <w:t>Lieux Loues Initiaux</w:t>
      </w:r>
      <w:r>
        <w:rPr>
          <w:rFonts w:ascii="Arial" w:cs="Arial" w:eastAsia="Arial" w:hAnsi="Arial"/>
          <w:sz w:val="16"/>
          <w:szCs w:val="16"/>
          <w:color w:val="131313"/>
        </w:rPr>
        <w:t xml:space="preserve"> </w:t>
      </w:r>
      <w:r>
        <w:rPr>
          <w:rFonts w:ascii="Arial" w:cs="Arial" w:eastAsia="Arial" w:hAnsi="Arial"/>
          <w:sz w:val="16"/>
          <w:szCs w:val="16"/>
          <w:color w:val="282828"/>
        </w:rPr>
        <w:t>»),</w:t>
      </w:r>
      <w:r>
        <w:rPr>
          <w:rFonts w:ascii="Arial" w:cs="Arial" w:eastAsia="Arial" w:hAnsi="Arial"/>
          <w:sz w:val="16"/>
          <w:szCs w:val="16"/>
          <w:color w:val="131313"/>
        </w:rPr>
        <w:t xml:space="preserve"> </w:t>
      </w:r>
      <w:r>
        <w:rPr>
          <w:rFonts w:ascii="Arial" w:cs="Arial" w:eastAsia="Arial" w:hAnsi="Arial"/>
          <w:sz w:val="16"/>
          <w:szCs w:val="16"/>
          <w:color w:val="030303"/>
        </w:rPr>
        <w:t>ayant une superficie</w:t>
      </w:r>
      <w:r>
        <w:rPr>
          <w:rFonts w:ascii="Arial" w:cs="Arial" w:eastAsia="Arial" w:hAnsi="Arial"/>
          <w:sz w:val="16"/>
          <w:szCs w:val="16"/>
          <w:color w:val="131313"/>
        </w:rPr>
        <w:t xml:space="preserve"> </w:t>
      </w:r>
      <w:r>
        <w:rPr>
          <w:rFonts w:ascii="Arial" w:cs="Arial" w:eastAsia="Arial" w:hAnsi="Arial"/>
          <w:sz w:val="16"/>
          <w:szCs w:val="16"/>
          <w:color w:val="030303"/>
        </w:rPr>
        <w:t xml:space="preserve">totale de VINGT-NEUF MILLES HUIT CENT CINQ </w:t>
      </w:r>
      <w:r>
        <w:rPr>
          <w:rFonts w:ascii="Arial" w:cs="Arial" w:eastAsia="Arial" w:hAnsi="Arial"/>
          <w:sz w:val="16"/>
          <w:szCs w:val="16"/>
          <w:color w:val="131313"/>
        </w:rPr>
        <w:t>(29</w:t>
      </w:r>
      <w:r>
        <w:rPr>
          <w:rFonts w:ascii="Arial" w:cs="Arial" w:eastAsia="Arial" w:hAnsi="Arial"/>
          <w:sz w:val="16"/>
          <w:szCs w:val="16"/>
          <w:color w:val="030303"/>
        </w:rPr>
        <w:t xml:space="preserve"> 805 pi</w:t>
      </w:r>
      <w:r>
        <w:rPr>
          <w:rFonts w:ascii="Arial" w:cs="Arial" w:eastAsia="Arial" w:hAnsi="Arial"/>
          <w:sz w:val="16"/>
          <w:szCs w:val="16"/>
          <w:color w:val="444444"/>
        </w:rPr>
        <w:t>.</w:t>
      </w:r>
      <w:r>
        <w:rPr>
          <w:rFonts w:ascii="Arial" w:cs="Arial" w:eastAsia="Arial" w:hAnsi="Arial"/>
          <w:sz w:val="16"/>
          <w:szCs w:val="16"/>
          <w:color w:val="030303"/>
        </w:rPr>
        <w:t xml:space="preserve"> ca</w:t>
      </w:r>
      <w:r>
        <w:rPr>
          <w:rFonts w:ascii="Arial" w:cs="Arial" w:eastAsia="Arial" w:hAnsi="Arial"/>
          <w:sz w:val="16"/>
          <w:szCs w:val="16"/>
          <w:color w:val="444444"/>
        </w:rPr>
        <w:t>.</w:t>
      </w:r>
      <w:r>
        <w:rPr>
          <w:rFonts w:ascii="Arial" w:cs="Arial" w:eastAsia="Arial" w:hAnsi="Arial"/>
          <w:sz w:val="16"/>
          <w:szCs w:val="16"/>
          <w:color w:val="131313"/>
        </w:rPr>
        <w:t>) (la</w:t>
      </w:r>
      <w:r>
        <w:rPr>
          <w:rFonts w:ascii="Arial" w:cs="Arial" w:eastAsia="Arial" w:hAnsi="Arial"/>
          <w:sz w:val="16"/>
          <w:szCs w:val="16"/>
          <w:color w:val="030303"/>
        </w:rPr>
        <w:t xml:space="preserve"> </w:t>
      </w:r>
      <w:r>
        <w:rPr>
          <w:rFonts w:ascii="Arial" w:cs="Arial" w:eastAsia="Arial" w:hAnsi="Arial"/>
          <w:sz w:val="16"/>
          <w:szCs w:val="16"/>
          <w:color w:val="282828"/>
        </w:rPr>
        <w:t>«</w:t>
      </w:r>
      <w:r>
        <w:rPr>
          <w:rFonts w:ascii="Arial" w:cs="Arial" w:eastAsia="Arial" w:hAnsi="Arial"/>
          <w:sz w:val="16"/>
          <w:szCs w:val="16"/>
          <w:color w:val="030303"/>
        </w:rPr>
        <w:t xml:space="preserve"> Superficie Locative des Lieux Loues Initiaux </w:t>
      </w:r>
      <w:r>
        <w:rPr>
          <w:rFonts w:ascii="Arial" w:cs="Arial" w:eastAsia="Arial" w:hAnsi="Arial"/>
          <w:sz w:val="16"/>
          <w:szCs w:val="16"/>
          <w:color w:val="282828"/>
        </w:rPr>
        <w:t>»),</w:t>
      </w:r>
      <w:r>
        <w:rPr>
          <w:rFonts w:ascii="Arial" w:cs="Arial" w:eastAsia="Arial" w:hAnsi="Arial"/>
          <w:sz w:val="16"/>
          <w:szCs w:val="16"/>
          <w:color w:val="030303"/>
        </w:rPr>
        <w:t xml:space="preserve"> pour une durée de dix </w:t>
      </w:r>
      <w:r>
        <w:rPr>
          <w:rFonts w:ascii="Arial" w:cs="Arial" w:eastAsia="Arial" w:hAnsi="Arial"/>
          <w:sz w:val="16"/>
          <w:szCs w:val="16"/>
          <w:color w:val="131313"/>
        </w:rPr>
        <w:t>(10)</w:t>
      </w:r>
      <w:r>
        <w:rPr>
          <w:rFonts w:ascii="Arial" w:cs="Arial" w:eastAsia="Arial" w:hAnsi="Arial"/>
          <w:sz w:val="16"/>
          <w:szCs w:val="16"/>
          <w:color w:val="030303"/>
        </w:rPr>
        <w:t xml:space="preserve"> ans commençant le 1er octobre 2015 et se terminant le 30 septembre 2025 </w:t>
      </w:r>
      <w:r>
        <w:rPr>
          <w:rFonts w:ascii="Arial" w:cs="Arial" w:eastAsia="Arial" w:hAnsi="Arial"/>
          <w:sz w:val="16"/>
          <w:szCs w:val="16"/>
          <w:color w:val="131313"/>
        </w:rPr>
        <w:t>(la</w:t>
      </w:r>
      <w:r>
        <w:rPr>
          <w:rFonts w:ascii="Arial" w:cs="Arial" w:eastAsia="Arial" w:hAnsi="Arial"/>
          <w:sz w:val="16"/>
          <w:szCs w:val="16"/>
          <w:color w:val="030303"/>
        </w:rPr>
        <w:t xml:space="preserve"> </w:t>
      </w:r>
      <w:r>
        <w:rPr>
          <w:rFonts w:ascii="Arial" w:cs="Arial" w:eastAsia="Arial" w:hAnsi="Arial"/>
          <w:sz w:val="16"/>
          <w:szCs w:val="16"/>
          <w:color w:val="282828"/>
        </w:rPr>
        <w:t>«</w:t>
      </w:r>
      <w:r>
        <w:rPr>
          <w:rFonts w:ascii="Arial" w:cs="Arial" w:eastAsia="Arial" w:hAnsi="Arial"/>
          <w:sz w:val="16"/>
          <w:szCs w:val="16"/>
          <w:color w:val="030303"/>
        </w:rPr>
        <w:t xml:space="preserve"> Durée du Bail »), le tout tel que plus amplement décrit au Bail;</w:t>
      </w:r>
    </w:p>
    <w:p>
      <w:pPr>
        <w:spacing w:after="0" w:line="226" w:lineRule="exact"/>
        <w:rPr>
          <w:sz w:val="20"/>
          <w:szCs w:val="20"/>
          <w:color w:val="auto"/>
        </w:rPr>
      </w:pPr>
    </w:p>
    <w:p>
      <w:pPr>
        <w:ind w:left="220" w:right="3540" w:firstLine="9"/>
        <w:spacing w:after="0" w:line="310" w:lineRule="auto"/>
        <w:rPr>
          <w:sz w:val="20"/>
          <w:szCs w:val="20"/>
          <w:color w:val="auto"/>
        </w:rPr>
      </w:pPr>
      <w:r>
        <w:rPr>
          <w:rFonts w:ascii="Arial" w:cs="Arial" w:eastAsia="Arial" w:hAnsi="Arial"/>
          <w:sz w:val="16"/>
          <w:szCs w:val="16"/>
          <w:color w:val="030303"/>
        </w:rPr>
        <w:t xml:space="preserve">ATTENDU QUE le Bail a été renouvelé jusqu'au </w:t>
      </w:r>
      <w:r>
        <w:rPr>
          <w:rFonts w:ascii="Arial" w:cs="Arial" w:eastAsia="Arial" w:hAnsi="Arial"/>
          <w:sz w:val="16"/>
          <w:szCs w:val="16"/>
          <w:color w:val="131313"/>
        </w:rPr>
        <w:t>31</w:t>
      </w:r>
      <w:r>
        <w:rPr>
          <w:rFonts w:ascii="Arial" w:cs="Arial" w:eastAsia="Arial" w:hAnsi="Arial"/>
          <w:sz w:val="16"/>
          <w:szCs w:val="16"/>
          <w:color w:val="030303"/>
        </w:rPr>
        <w:t xml:space="preserve"> décembre 2033, tel que convenu dans !'Addenda no 1</w:t>
      </w:r>
      <w:r>
        <w:rPr>
          <w:rFonts w:ascii="Arial" w:cs="Arial" w:eastAsia="Arial" w:hAnsi="Arial"/>
          <w:sz w:val="16"/>
          <w:szCs w:val="16"/>
          <w:color w:val="444444"/>
        </w:rPr>
        <w:t>.</w:t>
      </w:r>
    </w:p>
    <w:p>
      <w:pPr>
        <w:spacing w:after="0" w:line="240" w:lineRule="exact"/>
        <w:rPr>
          <w:sz w:val="20"/>
          <w:szCs w:val="20"/>
          <w:color w:val="auto"/>
        </w:rPr>
      </w:pPr>
    </w:p>
    <w:p>
      <w:pPr>
        <w:ind w:left="220" w:right="200" w:firstLine="2"/>
        <w:spacing w:after="0" w:line="293" w:lineRule="auto"/>
        <w:rPr>
          <w:sz w:val="20"/>
          <w:szCs w:val="20"/>
          <w:color w:val="auto"/>
        </w:rPr>
      </w:pPr>
      <w:r>
        <w:rPr>
          <w:rFonts w:ascii="Arial" w:cs="Arial" w:eastAsia="Arial" w:hAnsi="Arial"/>
          <w:sz w:val="16"/>
          <w:szCs w:val="16"/>
          <w:color w:val="030303"/>
        </w:rPr>
        <w:t xml:space="preserve">PAR CONSÉQUENT, le Bailleur et le Locataire conviennent mutuellement que les dispositions du Bail continuent de s'appliquer selon les mêmes modalités, a l’exception de </w:t>
      </w:r>
      <w:r>
        <w:rPr>
          <w:rFonts w:ascii="Arial" w:cs="Arial" w:eastAsia="Arial" w:hAnsi="Arial"/>
          <w:sz w:val="16"/>
          <w:szCs w:val="16"/>
          <w:color w:val="131313"/>
        </w:rPr>
        <w:t>ce</w:t>
      </w:r>
      <w:r>
        <w:rPr>
          <w:rFonts w:ascii="Arial" w:cs="Arial" w:eastAsia="Arial" w:hAnsi="Arial"/>
          <w:sz w:val="16"/>
          <w:szCs w:val="16"/>
          <w:color w:val="030303"/>
        </w:rPr>
        <w:t xml:space="preserve"> qui suit:</w:t>
      </w:r>
    </w:p>
    <w:p>
      <w:pPr>
        <w:sectPr>
          <w:pgSz w:w="11900" w:h="16838" w:orient="portrait"/>
          <w:cols w:equalWidth="0" w:num="1">
            <w:col w:w="10120"/>
          </w:cols>
          <w:pgMar w:left="1440" w:top="1440" w:right="339" w:bottom="1440" w:gutter="0" w:footer="0" w:header="0"/>
        </w:sectPr>
      </w:pPr>
    </w:p>
    <w:bookmarkStart w:id="139" w:name="page140"/>
    <w:bookmarkEnd w:id="139"/>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w:t>
      </w:r>
    </w:p>
    <w:p>
      <w:pPr>
        <w:spacing w:after="0" w:line="373" w:lineRule="exact"/>
        <w:rPr>
          <w:sz w:val="20"/>
          <w:szCs w:val="20"/>
          <w:color w:val="auto"/>
        </w:rPr>
      </w:pPr>
    </w:p>
    <w:p>
      <w:pPr>
        <w:ind w:left="240"/>
        <w:spacing w:after="0"/>
        <w:rPr>
          <w:sz w:val="20"/>
          <w:szCs w:val="20"/>
          <w:color w:val="auto"/>
        </w:rPr>
      </w:pPr>
      <w:r>
        <w:rPr>
          <w:rFonts w:ascii="Arial" w:cs="Arial" w:eastAsia="Arial" w:hAnsi="Arial"/>
          <w:sz w:val="16"/>
          <w:szCs w:val="16"/>
          <w:color w:val="030303"/>
        </w:rPr>
        <w:t>Le préambule fait partie intégrante des présentes.</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6"/>
          <w:szCs w:val="16"/>
          <w:color w:val="030303"/>
        </w:rPr>
        <w:t>Tout mot ou terme en majuscule non autrement défini aux présentes aura le sens qui lui est donne dans le Bail.</w:t>
      </w:r>
    </w:p>
    <w:p>
      <w:pPr>
        <w:spacing w:after="0" w:line="161" w:lineRule="exact"/>
        <w:rPr>
          <w:sz w:val="20"/>
          <w:szCs w:val="20"/>
          <w:color w:val="auto"/>
        </w:rPr>
      </w:pPr>
    </w:p>
    <w:p>
      <w:pPr>
        <w:ind w:left="520" w:hanging="296"/>
        <w:spacing w:after="0"/>
        <w:tabs>
          <w:tab w:leader="none" w:pos="520" w:val="left"/>
        </w:tabs>
        <w:numPr>
          <w:ilvl w:val="0"/>
          <w:numId w:val="80"/>
        </w:numPr>
        <w:rPr>
          <w:rFonts w:ascii="Arial" w:cs="Arial" w:eastAsia="Arial" w:hAnsi="Arial"/>
          <w:sz w:val="16"/>
          <w:szCs w:val="16"/>
          <w:b w:val="1"/>
          <w:bCs w:val="1"/>
          <w:color w:val="030303"/>
        </w:rPr>
      </w:pPr>
      <w:r>
        <w:rPr>
          <w:rFonts w:ascii="Arial" w:cs="Arial" w:eastAsia="Arial" w:hAnsi="Arial"/>
          <w:sz w:val="16"/>
          <w:szCs w:val="16"/>
          <w:color w:val="030303"/>
        </w:rPr>
        <w:t xml:space="preserve">La date de fin de Bail indiquée à la clause 4.1 de l’Addenda no </w:t>
      </w:r>
      <w:r>
        <w:rPr>
          <w:rFonts w:ascii="Arial" w:cs="Arial" w:eastAsia="Arial" w:hAnsi="Arial"/>
          <w:sz w:val="16"/>
          <w:szCs w:val="16"/>
          <w:b w:val="1"/>
          <w:bCs w:val="1"/>
          <w:color w:val="030303"/>
        </w:rPr>
        <w:t>1</w:t>
      </w:r>
      <w:r>
        <w:rPr>
          <w:rFonts w:ascii="Arial" w:cs="Arial" w:eastAsia="Arial" w:hAnsi="Arial"/>
          <w:sz w:val="16"/>
          <w:szCs w:val="16"/>
          <w:color w:val="030303"/>
        </w:rPr>
        <w:t xml:space="preserve"> est modifiée. La date de fin de Bail sera le 31 aout 2035</w:t>
      </w:r>
      <w:r>
        <w:rPr>
          <w:rFonts w:ascii="Arial" w:cs="Arial" w:eastAsia="Arial" w:hAnsi="Arial"/>
          <w:sz w:val="16"/>
          <w:szCs w:val="16"/>
          <w:color w:val="464646"/>
        </w:rPr>
        <w:t>.</w:t>
      </w:r>
    </w:p>
    <w:p>
      <w:pPr>
        <w:spacing w:after="0" w:line="226" w:lineRule="exact"/>
        <w:rPr>
          <w:rFonts w:ascii="Arial" w:cs="Arial" w:eastAsia="Arial" w:hAnsi="Arial"/>
          <w:sz w:val="16"/>
          <w:szCs w:val="16"/>
          <w:b w:val="1"/>
          <w:bCs w:val="1"/>
          <w:color w:val="030303"/>
        </w:rPr>
      </w:pPr>
    </w:p>
    <w:p>
      <w:pPr>
        <w:jc w:val="both"/>
        <w:ind w:left="520" w:hanging="296"/>
        <w:spacing w:after="0" w:line="229" w:lineRule="auto"/>
        <w:tabs>
          <w:tab w:leader="none" w:pos="511" w:val="left"/>
        </w:tabs>
        <w:numPr>
          <w:ilvl w:val="0"/>
          <w:numId w:val="80"/>
        </w:numPr>
        <w:rPr>
          <w:rFonts w:ascii="Arial" w:cs="Arial" w:eastAsia="Arial" w:hAnsi="Arial"/>
          <w:sz w:val="16"/>
          <w:szCs w:val="16"/>
          <w:b w:val="1"/>
          <w:bCs w:val="1"/>
          <w:color w:val="030303"/>
        </w:rPr>
      </w:pPr>
      <w:r>
        <w:rPr>
          <w:rFonts w:ascii="Arial" w:cs="Arial" w:eastAsia="Arial" w:hAnsi="Arial"/>
          <w:sz w:val="16"/>
          <w:szCs w:val="16"/>
          <w:b w:val="1"/>
          <w:bCs w:val="1"/>
          <w:color w:val="030303"/>
        </w:rPr>
        <w:t>L</w:t>
      </w:r>
      <w:r>
        <w:rPr>
          <w:rFonts w:ascii="Arial" w:cs="Arial" w:eastAsia="Arial" w:hAnsi="Arial"/>
          <w:sz w:val="16"/>
          <w:szCs w:val="16"/>
          <w:color w:val="030303"/>
        </w:rPr>
        <w:t>es couts encourus pour l'aménagement de la nouvelle aire de stationnement seront remboursés à raison de 5% du cout total par</w:t>
      </w:r>
      <w:r>
        <w:rPr>
          <w:rFonts w:ascii="Arial" w:cs="Arial" w:eastAsia="Arial" w:hAnsi="Arial"/>
          <w:sz w:val="16"/>
          <w:szCs w:val="16"/>
          <w:b w:val="1"/>
          <w:bCs w:val="1"/>
          <w:color w:val="030303"/>
        </w:rPr>
        <w:t xml:space="preserve"> </w:t>
      </w:r>
      <w:r>
        <w:rPr>
          <w:rFonts w:ascii="Arial" w:cs="Arial" w:eastAsia="Arial" w:hAnsi="Arial"/>
          <w:sz w:val="16"/>
          <w:szCs w:val="16"/>
          <w:color w:val="030303"/>
        </w:rPr>
        <w:t>année pendant toute la durée de la location. Le cout total s'élevé a cent trente-quatre mille neuf cent soixante-quatre dollars (134 964,00 $).</w:t>
      </w:r>
    </w:p>
    <w:p>
      <w:pPr>
        <w:spacing w:after="0" w:line="188" w:lineRule="exact"/>
        <w:rPr>
          <w:rFonts w:ascii="Arial" w:cs="Arial" w:eastAsia="Arial" w:hAnsi="Arial"/>
          <w:sz w:val="16"/>
          <w:szCs w:val="16"/>
          <w:b w:val="1"/>
          <w:bCs w:val="1"/>
          <w:color w:val="030303"/>
        </w:rPr>
      </w:pPr>
    </w:p>
    <w:p>
      <w:pPr>
        <w:ind w:left="520" w:hanging="296"/>
        <w:spacing w:after="0" w:line="241" w:lineRule="auto"/>
        <w:tabs>
          <w:tab w:leader="none" w:pos="511" w:val="left"/>
        </w:tabs>
        <w:numPr>
          <w:ilvl w:val="0"/>
          <w:numId w:val="80"/>
        </w:numPr>
        <w:rPr>
          <w:rFonts w:ascii="Arial" w:cs="Arial" w:eastAsia="Arial" w:hAnsi="Arial"/>
          <w:sz w:val="16"/>
          <w:szCs w:val="16"/>
          <w:b w:val="1"/>
          <w:bCs w:val="1"/>
          <w:color w:val="030303"/>
        </w:rPr>
      </w:pPr>
      <w:r>
        <w:rPr>
          <w:rFonts w:ascii="Arial" w:cs="Arial" w:eastAsia="Arial" w:hAnsi="Arial"/>
          <w:sz w:val="16"/>
          <w:szCs w:val="16"/>
          <w:color w:val="030303"/>
        </w:rPr>
        <w:t xml:space="preserve">A partir du 1er avril 2023, le loyer annuel sera augmenté de vingt-trois cents (0,23 $) le pied carre (134964,00 $* 5%= 6 748,20 $ </w:t>
      </w:r>
      <w:r>
        <w:rPr>
          <w:rFonts w:ascii="Arial" w:cs="Arial" w:eastAsia="Arial" w:hAnsi="Arial"/>
          <w:sz w:val="16"/>
          <w:szCs w:val="16"/>
          <w:color w:val="282828"/>
        </w:rPr>
        <w:t>/</w:t>
      </w:r>
      <w:r>
        <w:rPr>
          <w:rFonts w:ascii="Arial" w:cs="Arial" w:eastAsia="Arial" w:hAnsi="Arial"/>
          <w:sz w:val="16"/>
          <w:szCs w:val="16"/>
          <w:color w:val="030303"/>
        </w:rPr>
        <w:t xml:space="preserve"> 29805 pi2 = 0,23 $). Ce montant sera ajoute au prix du loyer actuel et de son renouvellement.</w:t>
      </w:r>
    </w:p>
    <w:p>
      <w:pPr>
        <w:spacing w:after="0" w:line="200" w:lineRule="exact"/>
        <w:rPr>
          <w:rFonts w:ascii="Arial" w:cs="Arial" w:eastAsia="Arial" w:hAnsi="Arial"/>
          <w:sz w:val="16"/>
          <w:szCs w:val="16"/>
          <w:b w:val="1"/>
          <w:bCs w:val="1"/>
          <w:color w:val="030303"/>
        </w:rPr>
      </w:pPr>
    </w:p>
    <w:p>
      <w:pPr>
        <w:ind w:left="520" w:hanging="291"/>
        <w:spacing w:after="0"/>
        <w:tabs>
          <w:tab w:leader="none" w:pos="520" w:val="left"/>
        </w:tabs>
        <w:numPr>
          <w:ilvl w:val="0"/>
          <w:numId w:val="80"/>
        </w:numPr>
        <w:rPr>
          <w:rFonts w:ascii="Arial" w:cs="Arial" w:eastAsia="Arial" w:hAnsi="Arial"/>
          <w:sz w:val="16"/>
          <w:szCs w:val="16"/>
          <w:b w:val="1"/>
          <w:bCs w:val="1"/>
          <w:color w:val="030303"/>
        </w:rPr>
      </w:pPr>
      <w:r>
        <w:rPr>
          <w:rFonts w:ascii="Arial" w:cs="Arial" w:eastAsia="Arial" w:hAnsi="Arial"/>
          <w:sz w:val="16"/>
          <w:szCs w:val="16"/>
          <w:color w:val="030303"/>
        </w:rPr>
        <w:t>La première phrase de la clause 6.1 de L'Addenda no1 sera modifiée comme suit:</w:t>
      </w:r>
    </w:p>
    <w:p>
      <w:pPr>
        <w:spacing w:after="0" w:line="121" w:lineRule="exact"/>
        <w:rPr>
          <w:sz w:val="20"/>
          <w:szCs w:val="20"/>
          <w:color w:val="auto"/>
        </w:rPr>
      </w:pPr>
    </w:p>
    <w:p>
      <w:pPr>
        <w:ind w:left="380" w:hanging="142"/>
        <w:spacing w:after="0"/>
        <w:tabs>
          <w:tab w:leader="none" w:pos="380" w:val="left"/>
        </w:tabs>
        <w:numPr>
          <w:ilvl w:val="0"/>
          <w:numId w:val="81"/>
        </w:numPr>
        <w:rPr>
          <w:rFonts w:ascii="Arial" w:cs="Arial" w:eastAsia="Arial" w:hAnsi="Arial"/>
          <w:sz w:val="16"/>
          <w:szCs w:val="16"/>
          <w:color w:val="282828"/>
        </w:rPr>
      </w:pPr>
      <w:r>
        <w:rPr>
          <w:rFonts w:ascii="Arial" w:cs="Arial" w:eastAsia="Arial" w:hAnsi="Arial"/>
          <w:sz w:val="16"/>
          <w:szCs w:val="16"/>
          <w:color w:val="030303"/>
        </w:rPr>
        <w:t>Le Bailleur consent à payer au Locataire la somme de quarante dollars (40</w:t>
      </w:r>
      <w:r>
        <w:rPr>
          <w:rFonts w:ascii="Arial" w:cs="Arial" w:eastAsia="Arial" w:hAnsi="Arial"/>
          <w:sz w:val="16"/>
          <w:szCs w:val="16"/>
          <w:color w:val="464646"/>
        </w:rPr>
        <w:t>,</w:t>
      </w:r>
      <w:r>
        <w:rPr>
          <w:rFonts w:ascii="Arial" w:cs="Arial" w:eastAsia="Arial" w:hAnsi="Arial"/>
          <w:sz w:val="16"/>
          <w:szCs w:val="16"/>
          <w:color w:val="030303"/>
        </w:rPr>
        <w:t xml:space="preserve">00 $) par pied carre de la Superficie locative louée </w:t>
      </w:r>
      <w:r>
        <w:rPr>
          <w:rFonts w:ascii="Arial" w:cs="Arial" w:eastAsia="Arial" w:hAnsi="Arial"/>
          <w:sz w:val="16"/>
          <w:szCs w:val="16"/>
          <w:color w:val="282828"/>
        </w:rPr>
        <w:t>»</w:t>
      </w:r>
    </w:p>
    <w:p>
      <w:pPr>
        <w:spacing w:after="0" w:line="359" w:lineRule="exact"/>
        <w:rPr>
          <w:sz w:val="20"/>
          <w:szCs w:val="20"/>
          <w:color w:val="auto"/>
        </w:rPr>
      </w:pPr>
    </w:p>
    <w:p>
      <w:pPr>
        <w:ind w:left="520" w:hanging="295"/>
        <w:spacing w:after="0"/>
        <w:tabs>
          <w:tab w:leader="none" w:pos="520" w:val="left"/>
        </w:tabs>
        <w:numPr>
          <w:ilvl w:val="0"/>
          <w:numId w:val="82"/>
        </w:numPr>
        <w:rPr>
          <w:rFonts w:ascii="Arial" w:cs="Arial" w:eastAsia="Arial" w:hAnsi="Arial"/>
          <w:sz w:val="16"/>
          <w:szCs w:val="16"/>
          <w:b w:val="1"/>
          <w:bCs w:val="1"/>
          <w:color w:val="030303"/>
        </w:rPr>
      </w:pPr>
      <w:r>
        <w:rPr>
          <w:rFonts w:ascii="Arial" w:cs="Arial" w:eastAsia="Arial" w:hAnsi="Arial"/>
          <w:sz w:val="16"/>
          <w:szCs w:val="16"/>
          <w:color w:val="030303"/>
        </w:rPr>
        <w:t>Le point suivant sera ajoute à la clause 6 de L'Addenda 1 ;</w:t>
      </w:r>
    </w:p>
    <w:p>
      <w:pPr>
        <w:spacing w:after="0" w:line="121" w:lineRule="exact"/>
        <w:rPr>
          <w:sz w:val="20"/>
          <w:szCs w:val="20"/>
          <w:color w:val="auto"/>
        </w:rPr>
      </w:pPr>
    </w:p>
    <w:p>
      <w:pPr>
        <w:ind w:left="240" w:right="600"/>
        <w:spacing w:after="0" w:line="258" w:lineRule="auto"/>
        <w:rPr>
          <w:sz w:val="20"/>
          <w:szCs w:val="20"/>
          <w:color w:val="auto"/>
        </w:rPr>
      </w:pPr>
      <w:r>
        <w:rPr>
          <w:rFonts w:ascii="Arial" w:cs="Arial" w:eastAsia="Arial" w:hAnsi="Arial"/>
          <w:sz w:val="16"/>
          <w:szCs w:val="16"/>
          <w:color w:val="030303"/>
        </w:rPr>
        <w:t>6.3 Si le débourse à lieu avant la date du renouvellement, le Locataire devra payer seulement les intérêts sur le montant débourse jusqu'au 1er janvier 2024.</w:t>
      </w:r>
    </w:p>
    <w:p>
      <w:pPr>
        <w:spacing w:after="0" w:line="240" w:lineRule="exact"/>
        <w:rPr>
          <w:sz w:val="20"/>
          <w:szCs w:val="20"/>
          <w:color w:val="auto"/>
        </w:rPr>
      </w:pPr>
    </w:p>
    <w:p>
      <w:pPr>
        <w:jc w:val="both"/>
        <w:ind w:left="520" w:right="200" w:hanging="295"/>
        <w:spacing w:after="0" w:line="276" w:lineRule="auto"/>
        <w:tabs>
          <w:tab w:leader="none" w:pos="509" w:val="left"/>
        </w:tabs>
        <w:numPr>
          <w:ilvl w:val="0"/>
          <w:numId w:val="83"/>
        </w:numPr>
        <w:rPr>
          <w:rFonts w:ascii="Arial" w:cs="Arial" w:eastAsia="Arial" w:hAnsi="Arial"/>
          <w:sz w:val="16"/>
          <w:szCs w:val="16"/>
          <w:b w:val="1"/>
          <w:bCs w:val="1"/>
          <w:color w:val="030303"/>
        </w:rPr>
      </w:pPr>
      <w:r>
        <w:rPr>
          <w:rFonts w:ascii="Arial" w:cs="Arial" w:eastAsia="Arial" w:hAnsi="Arial"/>
          <w:sz w:val="16"/>
          <w:szCs w:val="16"/>
          <w:color w:val="030303"/>
        </w:rPr>
        <w:t>II est entendu que les couts débourses pour l'élaboration des plans et devis pour l'agrandissement de l'immeuble sont inclus dans le remboursement du paiement incitatif</w:t>
      </w:r>
      <w:r>
        <w:rPr>
          <w:rFonts w:ascii="Arial" w:cs="Arial" w:eastAsia="Arial" w:hAnsi="Arial"/>
          <w:sz w:val="16"/>
          <w:szCs w:val="16"/>
          <w:color w:val="464646"/>
        </w:rPr>
        <w:t>.</w:t>
      </w:r>
      <w:r>
        <w:rPr>
          <w:rFonts w:ascii="Arial" w:cs="Arial" w:eastAsia="Arial" w:hAnsi="Arial"/>
          <w:sz w:val="16"/>
          <w:szCs w:val="16"/>
          <w:color w:val="030303"/>
        </w:rPr>
        <w:t xml:space="preserve"> Ce cout représente quatre dollars et soixante-quinze cents (4,75 $) le pied carre et sera ajoute au loyer pendant toute la durée du renouvellement.</w:t>
      </w:r>
    </w:p>
    <w:p>
      <w:pPr>
        <w:spacing w:after="0" w:line="146" w:lineRule="exact"/>
        <w:rPr>
          <w:rFonts w:ascii="Arial" w:cs="Arial" w:eastAsia="Arial" w:hAnsi="Arial"/>
          <w:sz w:val="16"/>
          <w:szCs w:val="16"/>
          <w:b w:val="1"/>
          <w:bCs w:val="1"/>
          <w:color w:val="030303"/>
        </w:rPr>
      </w:pPr>
    </w:p>
    <w:p>
      <w:pPr>
        <w:ind w:left="520" w:right="200" w:hanging="295"/>
        <w:spacing w:after="0" w:line="310" w:lineRule="auto"/>
        <w:tabs>
          <w:tab w:leader="none" w:pos="509" w:val="left"/>
        </w:tabs>
        <w:numPr>
          <w:ilvl w:val="0"/>
          <w:numId w:val="83"/>
        </w:numPr>
        <w:rPr>
          <w:rFonts w:ascii="Arial" w:cs="Arial" w:eastAsia="Arial" w:hAnsi="Arial"/>
          <w:sz w:val="16"/>
          <w:szCs w:val="16"/>
          <w:b w:val="1"/>
          <w:bCs w:val="1"/>
          <w:color w:val="030303"/>
        </w:rPr>
      </w:pPr>
      <w:r>
        <w:rPr>
          <w:rFonts w:ascii="Arial" w:cs="Arial" w:eastAsia="Arial" w:hAnsi="Arial"/>
          <w:sz w:val="16"/>
          <w:szCs w:val="16"/>
          <w:color w:val="030303"/>
        </w:rPr>
        <w:t>Le projet d'agrandissement n'ayant pas lieu, la clause 3 de L'Addenda no1 est annulée. Par contre, il est entendu que la clause 32 du Bail pourra être exercée en tout temps si le Locataire le désire</w:t>
      </w:r>
      <w:r>
        <w:rPr>
          <w:rFonts w:ascii="Arial" w:cs="Arial" w:eastAsia="Arial" w:hAnsi="Arial"/>
          <w:sz w:val="16"/>
          <w:szCs w:val="16"/>
          <w:color w:val="464646"/>
        </w:rPr>
        <w:t>.</w:t>
      </w:r>
    </w:p>
    <w:p>
      <w:pPr>
        <w:sectPr>
          <w:pgSz w:w="11900" w:h="16838" w:orient="portrait"/>
          <w:cols w:equalWidth="0" w:num="1">
            <w:col w:w="10120"/>
          </w:cols>
          <w:pgMar w:left="1440" w:top="1440" w:right="339" w:bottom="1440" w:gutter="0" w:footer="0" w:header="0"/>
        </w:sectPr>
      </w:pPr>
    </w:p>
    <w:bookmarkStart w:id="140" w:name="page141"/>
    <w:bookmarkEnd w:id="140"/>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right="200" w:hanging="1"/>
        <w:spacing w:after="0" w:line="303" w:lineRule="auto"/>
        <w:rPr>
          <w:sz w:val="20"/>
          <w:szCs w:val="20"/>
          <w:color w:val="auto"/>
        </w:rPr>
      </w:pPr>
      <w:r>
        <w:rPr>
          <w:rFonts w:ascii="Arial" w:cs="Arial" w:eastAsia="Arial" w:hAnsi="Arial"/>
          <w:sz w:val="16"/>
          <w:szCs w:val="16"/>
          <w:b w:val="1"/>
          <w:bCs w:val="1"/>
          <w:color w:val="010101"/>
        </w:rPr>
        <w:t xml:space="preserve">Toutes les autres clauses du Bail seront les mêmes. En cas de contradiction entre les clauses du Bail et celles du présent Addenda, les clauses de </w:t>
      </w:r>
      <w:r>
        <w:rPr>
          <w:rFonts w:ascii="Arial" w:cs="Arial" w:eastAsia="Arial" w:hAnsi="Arial"/>
          <w:sz w:val="16"/>
          <w:szCs w:val="16"/>
          <w:color w:val="010101"/>
        </w:rPr>
        <w:t>I'</w:t>
      </w:r>
      <w:r>
        <w:rPr>
          <w:rFonts w:ascii="Arial" w:cs="Arial" w:eastAsia="Arial" w:hAnsi="Arial"/>
          <w:sz w:val="16"/>
          <w:szCs w:val="16"/>
          <w:b w:val="1"/>
          <w:bCs w:val="1"/>
          <w:color w:val="010101"/>
        </w:rPr>
        <w:t xml:space="preserve"> Addenda no 2 auront préséance.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10101"/>
        </w:rPr>
        <w:t>SIGNÉE A QUÉBEC, PROVINCE DE QUÉBEC, 4/28/2023</w:t>
      </w:r>
    </w:p>
    <w:p>
      <w:pPr>
        <w:spacing w:after="0" w:line="200" w:lineRule="exact"/>
        <w:rPr>
          <w:sz w:val="20"/>
          <w:szCs w:val="20"/>
          <w:color w:val="auto"/>
        </w:rPr>
      </w:pPr>
    </w:p>
    <w:p>
      <w:pPr>
        <w:spacing w:after="0" w:line="345"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10101"/>
        </w:rPr>
        <w:t>OPSENS INC.</w:t>
      </w:r>
    </w:p>
    <w:p>
      <w:pPr>
        <w:spacing w:after="0" w:line="34"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10101"/>
        </w:rPr>
        <w:t>(Locataire)</w:t>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940" w:type="dxa"/>
            <w:vAlign w:val="bottom"/>
            <w:gridSpan w:val="2"/>
          </w:tcPr>
          <w:p>
            <w:pPr>
              <w:spacing w:after="0"/>
              <w:rPr>
                <w:sz w:val="20"/>
                <w:szCs w:val="20"/>
                <w:color w:val="auto"/>
              </w:rPr>
            </w:pPr>
            <w:r>
              <w:rPr>
                <w:rFonts w:ascii="Arial" w:cs="Arial" w:eastAsia="Arial" w:hAnsi="Arial"/>
                <w:sz w:val="16"/>
                <w:szCs w:val="16"/>
                <w:b w:val="1"/>
                <w:bCs w:val="1"/>
                <w:color w:val="auto"/>
              </w:rPr>
              <w:t>____________________________</w:t>
            </w:r>
          </w:p>
        </w:tc>
        <w:tc>
          <w:tcPr>
            <w:tcW w:w="264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_/s/ Louis Laflamme____________</w:t>
            </w:r>
          </w:p>
        </w:tc>
      </w:tr>
      <w:tr>
        <w:trPr>
          <w:trHeight w:val="202"/>
        </w:trPr>
        <w:tc>
          <w:tcPr>
            <w:tcW w:w="1140" w:type="dxa"/>
            <w:vAlign w:val="bottom"/>
          </w:tcPr>
          <w:p>
            <w:pPr>
              <w:spacing w:after="0"/>
              <w:rPr>
                <w:sz w:val="20"/>
                <w:szCs w:val="20"/>
                <w:color w:val="auto"/>
              </w:rPr>
            </w:pPr>
            <w:r>
              <w:rPr>
                <w:rFonts w:ascii="Arial" w:cs="Arial" w:eastAsia="Arial" w:hAnsi="Arial"/>
                <w:sz w:val="16"/>
                <w:szCs w:val="16"/>
                <w:color w:val="auto"/>
              </w:rPr>
              <w:t>Témoin</w:t>
            </w:r>
          </w:p>
        </w:tc>
        <w:tc>
          <w:tcPr>
            <w:tcW w:w="1800" w:type="dxa"/>
            <w:vAlign w:val="bottom"/>
          </w:tcPr>
          <w:p>
            <w:pPr>
              <w:ind w:left="620"/>
              <w:spacing w:after="0"/>
              <w:rPr>
                <w:sz w:val="20"/>
                <w:szCs w:val="20"/>
                <w:color w:val="auto"/>
              </w:rPr>
            </w:pPr>
            <w:r>
              <w:rPr>
                <w:rFonts w:ascii="Arial" w:cs="Arial" w:eastAsia="Arial" w:hAnsi="Arial"/>
                <w:sz w:val="16"/>
                <w:szCs w:val="16"/>
                <w:color w:val="auto"/>
              </w:rPr>
              <w:t>Louis Laflamme</w:t>
            </w:r>
          </w:p>
        </w:tc>
        <w:tc>
          <w:tcPr>
            <w:tcW w:w="6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40" w:right="3840" w:hanging="3"/>
        <w:spacing w:after="0" w:line="303" w:lineRule="auto"/>
        <w:rPr>
          <w:sz w:val="20"/>
          <w:szCs w:val="20"/>
          <w:color w:val="auto"/>
        </w:rPr>
      </w:pPr>
      <w:r>
        <w:rPr>
          <w:rFonts w:ascii="Arial" w:cs="Arial" w:eastAsia="Arial" w:hAnsi="Arial"/>
          <w:sz w:val="16"/>
          <w:szCs w:val="16"/>
          <w:b w:val="1"/>
          <w:bCs w:val="1"/>
          <w:color w:val="010101"/>
        </w:rPr>
        <w:t>NOUS ACCEPTONS LES TERMES ET CONDITIONS DE CET ADDENDA, SIGNE A QUÉBEC, PROVINCE DE QUÉBEC, 5/1/2023</w:t>
      </w:r>
    </w:p>
    <w:p>
      <w:pPr>
        <w:spacing w:after="0" w:line="397"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40404"/>
        </w:rPr>
        <w:t>1405 PTQM s.e.c.</w:t>
      </w:r>
    </w:p>
    <w:p>
      <w:pPr>
        <w:spacing w:after="0" w:line="34"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40404"/>
        </w:rPr>
        <w:t>(Bailleur)</w:t>
      </w:r>
    </w:p>
    <w:p>
      <w:pPr>
        <w:spacing w:after="0" w:line="382"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____________________________</w:t>
            </w:r>
          </w:p>
        </w:tc>
        <w:tc>
          <w:tcPr>
            <w:tcW w:w="2840" w:type="dxa"/>
            <w:vAlign w:val="bottom"/>
            <w:gridSpan w:val="3"/>
          </w:tcPr>
          <w:p>
            <w:pPr>
              <w:ind w:left="160"/>
              <w:spacing w:after="0"/>
              <w:rPr>
                <w:sz w:val="20"/>
                <w:szCs w:val="20"/>
                <w:color w:val="auto"/>
              </w:rPr>
            </w:pPr>
            <w:r>
              <w:rPr>
                <w:rFonts w:ascii="Arial" w:cs="Arial" w:eastAsia="Arial" w:hAnsi="Arial"/>
                <w:sz w:val="16"/>
                <w:szCs w:val="16"/>
                <w:b w:val="1"/>
                <w:bCs w:val="1"/>
                <w:color w:val="auto"/>
                <w:w w:val="98"/>
              </w:rPr>
              <w:t>_/s/ Marc Simard________________</w:t>
            </w:r>
          </w:p>
        </w:tc>
      </w:tr>
      <w:tr>
        <w:trPr>
          <w:trHeight w:val="203"/>
        </w:trPr>
        <w:tc>
          <w:tcPr>
            <w:tcW w:w="17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Témoin</w:t>
            </w:r>
          </w:p>
        </w:tc>
        <w:tc>
          <w:tcPr>
            <w:tcW w:w="1080" w:type="dxa"/>
            <w:vAlign w:val="bottom"/>
          </w:tcPr>
          <w:p>
            <w:pPr>
              <w:spacing w:after="0"/>
              <w:rPr>
                <w:sz w:val="20"/>
                <w:szCs w:val="20"/>
                <w:color w:val="auto"/>
              </w:rPr>
            </w:pPr>
            <w:r>
              <w:rPr>
                <w:rFonts w:ascii="Arial" w:cs="Arial" w:eastAsia="Arial" w:hAnsi="Arial"/>
                <w:sz w:val="16"/>
                <w:szCs w:val="16"/>
                <w:color w:val="auto"/>
              </w:rPr>
              <w:t>Marc Simard</w:t>
            </w:r>
          </w:p>
        </w:tc>
        <w:tc>
          <w:tcPr>
            <w:tcW w:w="1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bl>
    <w:p>
      <w:pPr>
        <w:sectPr>
          <w:pgSz w:w="11900" w:h="16838" w:orient="portrait"/>
          <w:cols w:equalWidth="0" w:num="1">
            <w:col w:w="10120"/>
          </w:cols>
          <w:pgMar w:left="1440" w:top="144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HAEMONETICS CORPORATION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TRADING POLICY</w:t>
      </w:r>
    </w:p>
    <w:p>
      <w:pPr>
        <w:spacing w:after="0" w:line="247" w:lineRule="exact"/>
        <w:rPr>
          <w:sz w:val="20"/>
          <w:szCs w:val="20"/>
          <w:color w:val="auto"/>
        </w:rPr>
      </w:pPr>
    </w:p>
    <w:p>
      <w:pPr>
        <w:ind w:left="480" w:hanging="474"/>
        <w:spacing w:after="0"/>
        <w:tabs>
          <w:tab w:leader="none" w:pos="48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Securities Trading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sets forth the guidelines of Haemonetics Corporation and its subsidiaries (collectively,</w:t>
      </w:r>
    </w:p>
    <w:p>
      <w:pPr>
        <w:spacing w:after="0" w:line="3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Haemonetics</w:t>
      </w:r>
      <w:r>
        <w:rPr>
          <w:rFonts w:ascii="Times New Roman" w:cs="Times New Roman" w:eastAsia="Times New Roman" w:hAnsi="Times New Roman"/>
          <w:sz w:val="20"/>
          <w:szCs w:val="20"/>
          <w:color w:val="auto"/>
        </w:rPr>
        <w:t>”) regarding compliance with U.S. and foreign securities laws and regulations relating to trading in Haemonetics and third-party securities. The purpose of this Policy is to promote compliance with these securities laws and regulations and to provide Covered Persons (as defined below) with procedures and guidance to prevent even unintentional violations.</w:t>
      </w:r>
    </w:p>
    <w:p>
      <w:pPr>
        <w:spacing w:after="0" w:line="18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20"/>
          <w:szCs w:val="20"/>
          <w:color w:val="auto"/>
        </w:rPr>
        <w:t>As used in this Policy, the term “</w:t>
      </w:r>
      <w:r>
        <w:rPr>
          <w:rFonts w:ascii="Times New Roman" w:cs="Times New Roman" w:eastAsia="Times New Roman" w:hAnsi="Times New Roman"/>
          <w:sz w:val="20"/>
          <w:szCs w:val="20"/>
          <w:b w:val="1"/>
          <w:bCs w:val="1"/>
          <w:color w:val="auto"/>
        </w:rPr>
        <w:t>Haemonetics securities</w:t>
      </w:r>
      <w:r>
        <w:rPr>
          <w:rFonts w:ascii="Times New Roman" w:cs="Times New Roman" w:eastAsia="Times New Roman" w:hAnsi="Times New Roman"/>
          <w:sz w:val="20"/>
          <w:szCs w:val="20"/>
          <w:color w:val="auto"/>
        </w:rPr>
        <w:t>” means (i) Haemonetics common stock, options to purchase Haemonetics common stock, or any other type of securities that Haemonetics may issue, including (but not limited to) preferred stock, convertible debentures and warrants, and (ii) derivative securities that are not issued by Haemonetics, such as exchange-traded put or call options or swaps, in each case relating to Haemonetics securities.</w:t>
      </w:r>
    </w:p>
    <w:p>
      <w:pPr>
        <w:spacing w:after="0" w:line="196" w:lineRule="exact"/>
        <w:rPr>
          <w:sz w:val="20"/>
          <w:szCs w:val="20"/>
          <w:color w:val="auto"/>
        </w:rPr>
      </w:pPr>
    </w:p>
    <w:p>
      <w:pPr>
        <w:ind w:left="480" w:hanging="474"/>
        <w:spacing w:after="0"/>
        <w:tabs>
          <w:tab w:leader="none" w:pos="48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Applicability</w:t>
      </w:r>
    </w:p>
    <w:p>
      <w:pPr>
        <w:spacing w:after="0" w:line="251"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20"/>
          <w:szCs w:val="20"/>
          <w:color w:val="auto"/>
        </w:rPr>
        <w:t>This Policy applies to all Haemonetics employees (regardless of role or title), members of its Board of Directors, contract workers, consultants and temporary staff worldwide (collectively, “</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This policy applies to all Covered Persons even if the activities prohibited in this Policy are not illegal in the country where any particular person is located.</w:t>
      </w:r>
    </w:p>
    <w:p>
      <w:pPr>
        <w:spacing w:after="0" w:line="18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0"/>
          <w:szCs w:val="20"/>
          <w:color w:val="auto"/>
        </w:rPr>
        <w:t xml:space="preserve">Covered Persons are responsible for ensuring that their family members who reside with a Covered Person (including spouses, children, children away at college and parents) and anyone living in a Covered Person’s household also comply with this Policy, and each reference in this Policy to a “Covered Person” (including any additional restrictions applicable under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based on a Covered Person’s designation as an “insider”) should be interpreted to include such persons.</w:t>
      </w:r>
    </w:p>
    <w:p>
      <w:pPr>
        <w:spacing w:after="0" w:line="199" w:lineRule="exact"/>
        <w:rPr>
          <w:sz w:val="20"/>
          <w:szCs w:val="20"/>
          <w:color w:val="auto"/>
        </w:rPr>
      </w:pPr>
    </w:p>
    <w:p>
      <w:pPr>
        <w:ind w:left="480" w:hanging="474"/>
        <w:spacing w:after="0"/>
        <w:tabs>
          <w:tab w:leader="none" w:pos="48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Principles and Policies</w:t>
      </w:r>
    </w:p>
    <w:p>
      <w:pPr>
        <w:spacing w:after="0" w:line="34" w:lineRule="exact"/>
        <w:rPr>
          <w:rFonts w:ascii="Times New Roman" w:cs="Times New Roman" w:eastAsia="Times New Roman" w:hAnsi="Times New Roman"/>
          <w:sz w:val="20"/>
          <w:szCs w:val="20"/>
          <w:b w:val="1"/>
          <w:bCs w:val="1"/>
          <w:color w:val="auto"/>
        </w:rPr>
      </w:pPr>
    </w:p>
    <w:p>
      <w:pPr>
        <w:ind w:right="160" w:firstLine="483"/>
        <w:spacing w:after="0" w:line="258" w:lineRule="auto"/>
        <w:tabs>
          <w:tab w:leader="none" w:pos="127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Non-Disclosure of Material Nonpublic Information</w:t>
      </w:r>
      <w:r>
        <w:rPr>
          <w:rFonts w:ascii="Times New Roman" w:cs="Times New Roman" w:eastAsia="Times New Roman" w:hAnsi="Times New Roman"/>
          <w:sz w:val="20"/>
          <w:szCs w:val="20"/>
          <w:color w:val="auto"/>
        </w:rPr>
        <w:t>. Covered Persons may not disclose material nonpublic information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to anyone, except persons within Haemonetics or third party agents of Haemonetics (such as our independent auditor or outside legal counsel) whose positions require them to know it, until such information has been publicly released by Haemonetics. Please refer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below for guidance and illustrative examples of what may constitute “material nonpublic information.”</w:t>
      </w:r>
    </w:p>
    <w:p>
      <w:pPr>
        <w:spacing w:after="0" w:line="202" w:lineRule="exact"/>
        <w:rPr>
          <w:rFonts w:ascii="Times New Roman" w:cs="Times New Roman" w:eastAsia="Times New Roman" w:hAnsi="Times New Roman"/>
          <w:sz w:val="20"/>
          <w:szCs w:val="20"/>
          <w:color w:val="auto"/>
        </w:rPr>
      </w:pPr>
    </w:p>
    <w:p>
      <w:pPr>
        <w:ind w:right="100" w:firstLine="483"/>
        <w:spacing w:after="0" w:line="262" w:lineRule="auto"/>
        <w:tabs>
          <w:tab w:leader="none" w:pos="127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Prohibition Against Insider Trading</w:t>
      </w:r>
      <w:r>
        <w:rPr>
          <w:rFonts w:ascii="Times New Roman" w:cs="Times New Roman" w:eastAsia="Times New Roman" w:hAnsi="Times New Roman"/>
          <w:sz w:val="20"/>
          <w:szCs w:val="20"/>
          <w:color w:val="auto"/>
        </w:rPr>
        <w:t>. U.S. securities laws impose important trading restrictions on Covered Persons who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learn of material nonpublic information regarding Haemonetics or a company with which it does business - including its customers and suppliers – in the course of a Covered Person’s employment or association with Haemonetics. The principal restriction is that Covered Persons may not buy or sell Haemonetics securities or such third-party’s securities while in possession of material nonpublic information or “tip” others about such information. This conduct is referred to as “insider trading” and can carry both criminal and civil penalties. Accordingly, Covered Persons are subject to the following restrictions:</w:t>
      </w:r>
    </w:p>
    <w:p>
      <w:pPr>
        <w:sectPr>
          <w:pgSz w:w="11900" w:h="16838" w:orient="portrait"/>
          <w:cols w:equalWidth="0" w:num="1">
            <w:col w:w="11240"/>
          </w:cols>
          <w:pgMar w:left="320" w:top="992" w:right="339" w:bottom="1440" w:gutter="0" w:footer="0" w:header="0"/>
        </w:sectPr>
      </w:pPr>
    </w:p>
    <w:bookmarkStart w:id="142" w:name="page143"/>
    <w:bookmarkEnd w:id="142"/>
    <w:p>
      <w:pPr>
        <w:ind w:left="400" w:right="80" w:firstLine="639"/>
        <w:spacing w:after="0" w:line="274" w:lineRule="auto"/>
        <w:tabs>
          <w:tab w:leader="none" w:pos="1267"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Prohibited Transactions in Haemonetics Securities</w:t>
      </w:r>
      <w:r>
        <w:rPr>
          <w:rFonts w:ascii="Times New Roman" w:cs="Times New Roman" w:eastAsia="Times New Roman" w:hAnsi="Times New Roman"/>
          <w:sz w:val="20"/>
          <w:szCs w:val="20"/>
          <w:color w:val="auto"/>
        </w:rPr>
        <w:t>. No Covered Person may trade, including by placing a purchase or sell order, or recommend that another person trade, in Haemonetics securities when he or she has knowledge of material nonpublic information concerning Haemonetics.</w:t>
      </w:r>
    </w:p>
    <w:p>
      <w:pPr>
        <w:spacing w:after="0" w:line="179" w:lineRule="exact"/>
        <w:rPr>
          <w:rFonts w:ascii="Times New Roman" w:cs="Times New Roman" w:eastAsia="Times New Roman" w:hAnsi="Times New Roman"/>
          <w:sz w:val="20"/>
          <w:szCs w:val="20"/>
          <w:color w:val="auto"/>
        </w:rPr>
      </w:pPr>
    </w:p>
    <w:p>
      <w:pPr>
        <w:jc w:val="both"/>
        <w:ind w:left="400" w:right="540" w:firstLine="639"/>
        <w:spacing w:after="0" w:line="274" w:lineRule="auto"/>
        <w:tabs>
          <w:tab w:leader="none" w:pos="1907"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Prohibited Trading in Other Securities</w:t>
      </w:r>
      <w:r>
        <w:rPr>
          <w:rFonts w:ascii="Times New Roman" w:cs="Times New Roman" w:eastAsia="Times New Roman" w:hAnsi="Times New Roman"/>
          <w:sz w:val="20"/>
          <w:szCs w:val="20"/>
          <w:color w:val="auto"/>
        </w:rPr>
        <w:t>. No Covered Person may trade, including by placing purchase or sell orders, or recommend that another person trade, in the securities of another company if the person learns of material nonpublic information about the other company in the course of his or her employment with Haemonetics.</w:t>
      </w:r>
    </w:p>
    <w:p>
      <w:pPr>
        <w:spacing w:after="0" w:line="179" w:lineRule="exact"/>
        <w:rPr>
          <w:rFonts w:ascii="Times New Roman" w:cs="Times New Roman" w:eastAsia="Times New Roman" w:hAnsi="Times New Roman"/>
          <w:sz w:val="20"/>
          <w:szCs w:val="20"/>
          <w:color w:val="auto"/>
        </w:rPr>
      </w:pPr>
    </w:p>
    <w:p>
      <w:pPr>
        <w:ind w:left="400" w:firstLine="639"/>
        <w:spacing w:after="0" w:line="259" w:lineRule="auto"/>
        <w:tabs>
          <w:tab w:leader="none" w:pos="191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“Tipping” Information to Others</w:t>
      </w:r>
      <w:r>
        <w:rPr>
          <w:rFonts w:ascii="Times New Roman" w:cs="Times New Roman" w:eastAsia="Times New Roman" w:hAnsi="Times New Roman"/>
          <w:sz w:val="20"/>
          <w:szCs w:val="20"/>
          <w:color w:val="auto"/>
        </w:rPr>
        <w:t>. Covered Persons may not communicate, or “tip,” material nonpublic information to any third party (a “</w:t>
      </w:r>
      <w:r>
        <w:rPr>
          <w:rFonts w:ascii="Times New Roman" w:cs="Times New Roman" w:eastAsia="Times New Roman" w:hAnsi="Times New Roman"/>
          <w:sz w:val="20"/>
          <w:szCs w:val="20"/>
          <w:b w:val="1"/>
          <w:bCs w:val="1"/>
          <w:color w:val="auto"/>
        </w:rPr>
        <w:t>tippee</w:t>
      </w:r>
      <w:r>
        <w:rPr>
          <w:rFonts w:ascii="Times New Roman" w:cs="Times New Roman" w:eastAsia="Times New Roman" w:hAnsi="Times New Roman"/>
          <w:sz w:val="20"/>
          <w:szCs w:val="20"/>
          <w:color w:val="auto"/>
        </w:rPr>
        <w:t>”) – whether a family member or otherwise – for the improper purpose of exploiting that information for personal gain. In such circumstances, tippees inherit a Covered Person’s duties and both the tippee who trades on material nonpublic information illegally tipped to them and the Covered Person who tipped such information may be held liable for insider trading violations. Covered Persons may be liable for any unauthorized communication of material nonpublic information to a tippee even if the Covered Person does not receive any pecuniary gain from the tip (a mere gift of such information can be sufficient to support liability for both a tipper and tippee). Additionally, tippees will be held liable for trades by other persons to whom they tip such material nonpublic information. In other words, a tippee’s liability for insider trading is no different from that of a Covered Person. Tippees can obtain material nonpublic information by receiving explicit tips from others or from unintentional disclosure through, among other things, conversations at social, business or other gatherings.</w:t>
      </w:r>
    </w:p>
    <w:p>
      <w:pPr>
        <w:spacing w:after="0" w:line="188" w:lineRule="exact"/>
        <w:rPr>
          <w:rFonts w:ascii="Times New Roman" w:cs="Times New Roman" w:eastAsia="Times New Roman" w:hAnsi="Times New Roman"/>
          <w:sz w:val="20"/>
          <w:szCs w:val="20"/>
          <w:color w:val="auto"/>
        </w:rPr>
      </w:pPr>
    </w:p>
    <w:p>
      <w:pPr>
        <w:ind w:right="40" w:firstLine="403"/>
        <w:spacing w:after="0" w:line="266" w:lineRule="auto"/>
        <w:tabs>
          <w:tab w:leader="none" w:pos="63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Prohibition on Speculation and Hedging</w:t>
      </w:r>
      <w:r>
        <w:rPr>
          <w:rFonts w:ascii="Times New Roman" w:cs="Times New Roman" w:eastAsia="Times New Roman" w:hAnsi="Times New Roman"/>
          <w:sz w:val="20"/>
          <w:szCs w:val="20"/>
          <w:color w:val="auto"/>
        </w:rPr>
        <w:t>. Investing in Haemonetics securities provides an opportunity to share in Haemonetics’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long-term growth. In contrast, short-term speculation based on fluctuations in the market for Haemonetics securities may create the potential for conflict between a Covered Person’s personal gain and the long-term interests of Haemonetics and its shareholders. Accordingly, this Policy prohibits Covered Persons from directly or indirectly participating in the following trading activities with respect to Haemonetics securities that by their nature are aggressive or speculative or may give rise to an appearance of impropriety:</w:t>
      </w:r>
    </w:p>
    <w:p>
      <w:pPr>
        <w:spacing w:after="0" w:line="189" w:lineRule="exact"/>
        <w:rPr>
          <w:sz w:val="20"/>
          <w:szCs w:val="20"/>
          <w:color w:val="auto"/>
        </w:rPr>
      </w:pPr>
    </w:p>
    <w:p>
      <w:pPr>
        <w:ind w:left="1260" w:hanging="221"/>
        <w:spacing w:after="0"/>
        <w:tabs>
          <w:tab w:leader="none" w:pos="12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Same-day or short-term trading (i.e., “day trading”);</w:t>
      </w:r>
    </w:p>
    <w:p>
      <w:pPr>
        <w:spacing w:after="0" w:line="260" w:lineRule="exact"/>
        <w:rPr>
          <w:rFonts w:ascii="Times New Roman" w:cs="Times New Roman" w:eastAsia="Times New Roman" w:hAnsi="Times New Roman"/>
          <w:sz w:val="20"/>
          <w:szCs w:val="20"/>
          <w:color w:val="auto"/>
        </w:rPr>
      </w:pPr>
    </w:p>
    <w:p>
      <w:pPr>
        <w:ind w:left="1280" w:right="20" w:hanging="241"/>
        <w:spacing w:after="0" w:line="285" w:lineRule="auto"/>
        <w:tabs>
          <w:tab w:leader="none" w:pos="127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stock that the Covered Person does not own or a sale that is completed by delivery of borrowed stock (i.e., a “short sale”);</w:t>
      </w:r>
    </w:p>
    <w:p>
      <w:pPr>
        <w:spacing w:after="0" w:line="169" w:lineRule="exact"/>
        <w:rPr>
          <w:rFonts w:ascii="Times New Roman" w:cs="Times New Roman" w:eastAsia="Times New Roman" w:hAnsi="Times New Roman"/>
          <w:sz w:val="20"/>
          <w:szCs w:val="20"/>
          <w:color w:val="auto"/>
        </w:rPr>
      </w:pPr>
    </w:p>
    <w:p>
      <w:pPr>
        <w:ind w:left="1280" w:right="200" w:hanging="241"/>
        <w:spacing w:after="0" w:line="274" w:lineRule="auto"/>
        <w:tabs>
          <w:tab w:leader="none" w:pos="127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any derivative security transactions (including purchasing, selling or writing put or call options, forward contracts, “equity” or “performance” swap or any similar agreements denominated in Haemonetics securities) or similar transactions.</w:t>
      </w:r>
    </w:p>
    <w:p>
      <w:pPr>
        <w:spacing w:after="0" w:line="193" w:lineRule="exact"/>
        <w:rPr>
          <w:sz w:val="20"/>
          <w:szCs w:val="20"/>
          <w:color w:val="auto"/>
        </w:rPr>
      </w:pPr>
    </w:p>
    <w:p>
      <w:pPr>
        <w:ind w:left="20" w:right="20"/>
        <w:spacing w:after="0" w:line="285" w:lineRule="auto"/>
        <w:rPr>
          <w:sz w:val="20"/>
          <w:szCs w:val="20"/>
          <w:color w:val="auto"/>
        </w:rPr>
      </w:pPr>
      <w:r>
        <w:rPr>
          <w:rFonts w:ascii="Times New Roman" w:cs="Times New Roman" w:eastAsia="Times New Roman" w:hAnsi="Times New Roman"/>
          <w:sz w:val="20"/>
          <w:szCs w:val="20"/>
          <w:color w:val="auto"/>
        </w:rPr>
        <w:t>In addition, from time to time, Haemonetics may determine that other types of transactions by Covered Persons in Haemonetics securities shall be prohibited or shall be permitted only with the prior written consent of Haemonetics’ Chief Financial Officer or General Counsel.</w:t>
      </w:r>
    </w:p>
    <w:p>
      <w:pPr>
        <w:spacing w:after="0" w:line="163" w:lineRule="exact"/>
        <w:rPr>
          <w:sz w:val="20"/>
          <w:szCs w:val="20"/>
          <w:color w:val="auto"/>
        </w:rPr>
      </w:pPr>
    </w:p>
    <w:p>
      <w:pPr>
        <w:ind w:firstLine="397"/>
        <w:spacing w:after="0" w:line="272"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b w:val="1"/>
          <w:bCs w:val="1"/>
          <w:i w:val="1"/>
          <w:iCs w:val="1"/>
          <w:color w:val="auto"/>
        </w:rPr>
        <w:t>Prohibition on Pledging</w:t>
      </w:r>
      <w:r>
        <w:rPr>
          <w:rFonts w:ascii="Times New Roman" w:cs="Times New Roman" w:eastAsia="Times New Roman" w:hAnsi="Times New Roman"/>
          <w:sz w:val="20"/>
          <w:szCs w:val="20"/>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a loan. Because a margin sale or foreclosure sale may occur at a time when a Covered Person is aware of material nonpublic information or otherwise not permitted to trade in Haemonetics securities, Covered Persons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996" w:right="339" w:bottom="1440" w:gutter="0" w:footer="0" w:header="0"/>
        </w:sectPr>
      </w:pPr>
    </w:p>
    <w:bookmarkStart w:id="143" w:name="page144"/>
    <w:bookmarkEnd w:id="143"/>
    <w:p>
      <w:pPr>
        <w:ind w:right="680"/>
        <w:spacing w:after="0" w:line="285" w:lineRule="auto"/>
        <w:rPr>
          <w:sz w:val="20"/>
          <w:szCs w:val="20"/>
          <w:color w:val="auto"/>
        </w:rPr>
      </w:pPr>
      <w:r>
        <w:rPr>
          <w:rFonts w:ascii="Times New Roman" w:cs="Times New Roman" w:eastAsia="Times New Roman" w:hAnsi="Times New Roman"/>
          <w:sz w:val="20"/>
          <w:szCs w:val="20"/>
          <w:color w:val="auto"/>
        </w:rPr>
        <w:t>are prohibited from holding Haemonetics securities in a margin account or otherwise pledging Haemonetics securities in any way including as collateral for a loan.</w:t>
      </w:r>
    </w:p>
    <w:p>
      <w:pPr>
        <w:spacing w:after="0" w:line="179" w:lineRule="exact"/>
        <w:rPr>
          <w:sz w:val="20"/>
          <w:szCs w:val="20"/>
          <w:color w:val="auto"/>
        </w:rPr>
      </w:pPr>
    </w:p>
    <w:p>
      <w:pPr>
        <w:ind w:left="400" w:hanging="394"/>
        <w:spacing w:after="0"/>
        <w:tabs>
          <w:tab w:leader="none" w:pos="40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Windows and Blackout Periods</w:t>
      </w:r>
    </w:p>
    <w:p>
      <w:pPr>
        <w:spacing w:after="0" w:line="25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0"/>
          <w:szCs w:val="20"/>
          <w:color w:val="auto"/>
        </w:rPr>
        <w:t>In addition to the other requirements of this Policy, Haemonetics officers, members of its Board of Directors and certain other Covered Persons designated by the General Counsel from time to time (together, “</w:t>
      </w:r>
      <w:r>
        <w:rPr>
          <w:rFonts w:ascii="Times New Roman" w:cs="Times New Roman" w:eastAsia="Times New Roman" w:hAnsi="Times New Roman"/>
          <w:sz w:val="20"/>
          <w:szCs w:val="20"/>
          <w:b w:val="1"/>
          <w:bCs w:val="1"/>
          <w:color w:val="auto"/>
        </w:rPr>
        <w:t>insiders</w:t>
      </w:r>
      <w:r>
        <w:rPr>
          <w:rFonts w:ascii="Times New Roman" w:cs="Times New Roman" w:eastAsia="Times New Roman" w:hAnsi="Times New Roman"/>
          <w:sz w:val="20"/>
          <w:szCs w:val="20"/>
          <w:color w:val="auto"/>
        </w:rPr>
        <w:t>”) are subject to the following additional trading restrictions based on (i) their responsibility for or authority over business decisions and/or (ii) their routine exposure to financial or other information that would likely be considered material before it is publicly released:</w:t>
      </w:r>
    </w:p>
    <w:p>
      <w:pPr>
        <w:spacing w:after="0" w:line="197" w:lineRule="exact"/>
        <w:rPr>
          <w:sz w:val="20"/>
          <w:szCs w:val="20"/>
          <w:color w:val="auto"/>
        </w:rPr>
      </w:pPr>
    </w:p>
    <w:p>
      <w:pPr>
        <w:ind w:right="20" w:firstLine="403"/>
        <w:spacing w:after="0" w:line="263" w:lineRule="auto"/>
        <w:tabs>
          <w:tab w:leader="none" w:pos="63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Quarterly Blackout Periods</w:t>
      </w:r>
      <w:r>
        <w:rPr>
          <w:rFonts w:ascii="Times New Roman" w:cs="Times New Roman" w:eastAsia="Times New Roman" w:hAnsi="Times New Roman"/>
          <w:sz w:val="20"/>
          <w:szCs w:val="20"/>
          <w:color w:val="auto"/>
        </w:rPr>
        <w:t>. Trading in Haemonetics securities by insiders is generally prohibited beginning two weeks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end of a fiscal quarter and ending at the close of market on the second full trading day after Haemonetics’ earnings for that quarter are publicly released. During these quarterly no-trading (i.e., “</w:t>
      </w:r>
      <w:r>
        <w:rPr>
          <w:rFonts w:ascii="Times New Roman" w:cs="Times New Roman" w:eastAsia="Times New Roman" w:hAnsi="Times New Roman"/>
          <w:sz w:val="20"/>
          <w:szCs w:val="20"/>
          <w:b w:val="1"/>
          <w:bCs w:val="1"/>
          <w:color w:val="auto"/>
        </w:rPr>
        <w:t>blackout</w:t>
      </w:r>
      <w:r>
        <w:rPr>
          <w:rFonts w:ascii="Times New Roman" w:cs="Times New Roman" w:eastAsia="Times New Roman" w:hAnsi="Times New Roman"/>
          <w:sz w:val="20"/>
          <w:szCs w:val="20"/>
          <w:color w:val="auto"/>
        </w:rPr>
        <w:t>”) periods, insiders generally possess or are presumed to possess material nonpublic information about Haemonetics’ financial results. Quarterly blackout periods may be adjusted by the Chief Financial Officer or General Counsel and may be started early or extended without prior notice.</w:t>
      </w:r>
    </w:p>
    <w:p>
      <w:pPr>
        <w:spacing w:after="0" w:line="197" w:lineRule="exact"/>
        <w:rPr>
          <w:sz w:val="20"/>
          <w:szCs w:val="20"/>
          <w:color w:val="auto"/>
        </w:rPr>
      </w:pPr>
    </w:p>
    <w:p>
      <w:pPr>
        <w:ind w:right="100" w:firstLine="397"/>
        <w:spacing w:after="0" w:line="26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b w:val="1"/>
          <w:bCs w:val="1"/>
          <w:i w:val="1"/>
          <w:iCs w:val="1"/>
          <w:color w:val="auto"/>
        </w:rPr>
        <w:t>Special Blackout Periods</w:t>
      </w:r>
      <w:r>
        <w:rPr>
          <w:rFonts w:ascii="Times New Roman" w:cs="Times New Roman" w:eastAsia="Times New Roman" w:hAnsi="Times New Roman"/>
          <w:sz w:val="20"/>
          <w:szCs w:val="20"/>
          <w:color w:val="auto"/>
        </w:rPr>
        <w:t>. From time to time, Haemonetics’ Chief Financial Officer or General Counsel may institute other specific blackout periods with respect to Haemonetics securities as warranted by business developments. In such instances, Haemonetics will notify applicable Covered Persons in writing that they are subject to such blackout period and such persons will be prohibited from trading in Haemonetics securities until they receive notice that the special blackout period has been lifted. Affected persons must not discuss the existence of the special blackout period with any Haemonetics employee or other person (other than the General Counsel to the extent necessary for the resolution of any question or issues).</w:t>
      </w:r>
    </w:p>
    <w:p>
      <w:pPr>
        <w:spacing w:after="0" w:line="190" w:lineRule="exact"/>
        <w:rPr>
          <w:sz w:val="20"/>
          <w:szCs w:val="20"/>
          <w:color w:val="auto"/>
        </w:rPr>
      </w:pPr>
    </w:p>
    <w:p>
      <w:pPr>
        <w:ind w:right="60" w:firstLine="403"/>
        <w:spacing w:after="0" w:line="260" w:lineRule="auto"/>
        <w:tabs>
          <w:tab w:leader="none" w:pos="63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Pre-Clearance Procedures</w:t>
      </w:r>
      <w:r>
        <w:rPr>
          <w:rFonts w:ascii="Times New Roman" w:cs="Times New Roman" w:eastAsia="Times New Roman" w:hAnsi="Times New Roman"/>
          <w:sz w:val="20"/>
          <w:szCs w:val="20"/>
          <w:color w:val="auto"/>
        </w:rPr>
        <w:t>. Haemonetics imposes mandatory trading pre-clearance procedures outside of blackout periods (i.e.,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color w:val="auto"/>
        </w:rPr>
        <w:t>open trading window</w:t>
      </w:r>
      <w:r>
        <w:rPr>
          <w:rFonts w:ascii="Times New Roman" w:cs="Times New Roman" w:eastAsia="Times New Roman" w:hAnsi="Times New Roman"/>
          <w:sz w:val="20"/>
          <w:szCs w:val="20"/>
          <w:color w:val="auto"/>
        </w:rPr>
        <w:t>”) for all officers, members of its Board of Directors and other insiders. Each director, officer and other insider must receive pre-clearance from the General Counsel, or his or her designee, prior to purchasing or selling Haemonetics securities during an open trading window (including upon the exercise of options). Such pre-clearance is valid for up to three trading days but terminates immediately upon the earlier of notification from the General Counsel, the start of a blackout period or the insider’s acquisition of material nonpublic information. Additionally, no limit order for any insider may extend beyond the pre-clearance period. Please note that open trading windows and pre-clearance grants are not “safe harbors” that ensure compliance with securities laws. Insiders remain responsible for their trades and should use good judgment.</w:t>
      </w:r>
    </w:p>
    <w:p>
      <w:pPr>
        <w:spacing w:after="0" w:line="193" w:lineRule="exact"/>
        <w:rPr>
          <w:sz w:val="20"/>
          <w:szCs w:val="20"/>
          <w:color w:val="auto"/>
        </w:rPr>
      </w:pPr>
    </w:p>
    <w:p>
      <w:pPr>
        <w:ind w:right="20" w:firstLine="397"/>
        <w:spacing w:after="0" w:line="267"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b w:val="1"/>
          <w:bCs w:val="1"/>
          <w:i w:val="1"/>
          <w:iCs w:val="1"/>
          <w:color w:val="auto"/>
        </w:rPr>
        <w:t>Brokerage Account Transfers</w:t>
      </w:r>
      <w:r>
        <w:rPr>
          <w:rFonts w:ascii="Times New Roman" w:cs="Times New Roman" w:eastAsia="Times New Roman" w:hAnsi="Times New Roman"/>
          <w:sz w:val="20"/>
          <w:szCs w:val="20"/>
          <w:color w:val="auto"/>
        </w:rPr>
        <w:t>. Haemonetics officers, members of its Board of Directors and other insiders are prohibited from placing Haemonetics securities in brokerage accounts outside of Fidelity Investments (“</w:t>
      </w:r>
      <w:r>
        <w:rPr>
          <w:rFonts w:ascii="Times New Roman" w:cs="Times New Roman" w:eastAsia="Times New Roman" w:hAnsi="Times New Roman"/>
          <w:sz w:val="20"/>
          <w:szCs w:val="20"/>
          <w:b w:val="1"/>
          <w:bCs w:val="1"/>
          <w:color w:val="auto"/>
        </w:rPr>
        <w:t>Fidelity</w:t>
      </w:r>
      <w:r>
        <w:rPr>
          <w:rFonts w:ascii="Times New Roman" w:cs="Times New Roman" w:eastAsia="Times New Roman" w:hAnsi="Times New Roman"/>
          <w:sz w:val="20"/>
          <w:szCs w:val="20"/>
          <w:color w:val="auto"/>
        </w:rPr>
        <w:t>”) without the prior written consent of the General Counsel. All Haemonetics securities transferred pursuant to the foregoing sentence remain subject to the requirements of this Policy and any additional requirements the General Counsel determines appropriate.</w:t>
      </w:r>
    </w:p>
    <w:p>
      <w:pPr>
        <w:spacing w:after="0" w:line="196" w:lineRule="exact"/>
        <w:rPr>
          <w:sz w:val="20"/>
          <w:szCs w:val="20"/>
          <w:color w:val="auto"/>
        </w:rPr>
      </w:pPr>
    </w:p>
    <w:p>
      <w:pPr>
        <w:ind w:firstLine="403"/>
        <w:spacing w:after="0" w:line="277" w:lineRule="auto"/>
        <w:tabs>
          <w:tab w:leader="none" w:pos="63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Termination of Relationship with Haemonetics</w:t>
      </w:r>
      <w:r>
        <w:rPr>
          <w:rFonts w:ascii="Times New Roman" w:cs="Times New Roman" w:eastAsia="Times New Roman" w:hAnsi="Times New Roman"/>
          <w:sz w:val="20"/>
          <w:szCs w:val="20"/>
          <w:color w:val="auto"/>
        </w:rPr>
        <w:t>. Covered Persons subject to a quarterly or special blackout period at the time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their employment with Haemonetics or service on its Board of Directors terminates will remain subject to the requirements of such then-existing blackout period until it is lifted, at which time the Covered Person will no longer be subject to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996" w:right="359" w:bottom="1440" w:gutter="0" w:footer="0" w:header="0"/>
        </w:sectPr>
      </w:pPr>
    </w:p>
    <w:bookmarkStart w:id="144" w:name="page145"/>
    <w:bookmarkEnd w:id="144"/>
    <w:p>
      <w:pPr>
        <w:ind w:right="20"/>
        <w:spacing w:after="0" w:line="274" w:lineRule="auto"/>
        <w:rPr>
          <w:sz w:val="20"/>
          <w:szCs w:val="20"/>
          <w:color w:val="auto"/>
        </w:rPr>
      </w:pPr>
      <w:r>
        <w:rPr>
          <w:rFonts w:ascii="Times New Roman" w:cs="Times New Roman" w:eastAsia="Times New Roman" w:hAnsi="Times New Roman"/>
          <w:sz w:val="20"/>
          <w:szCs w:val="20"/>
          <w:color w:val="auto"/>
        </w:rPr>
        <w:t>The General Counsel maintains one or more lists of insiders and persons subject to special blackout periods. Haemonetics will ensure that each such person is made aware that he or she is on such list(s) or will be made aware that he or she has been added to such list(s) promptly after the related determination has been made.</w:t>
      </w:r>
    </w:p>
    <w:p>
      <w:pPr>
        <w:spacing w:after="0" w:line="176" w:lineRule="exact"/>
        <w:rPr>
          <w:sz w:val="20"/>
          <w:szCs w:val="20"/>
          <w:color w:val="auto"/>
        </w:rPr>
      </w:pPr>
    </w:p>
    <w:p>
      <w:pPr>
        <w:ind w:left="480" w:hanging="474"/>
        <w:spacing w:after="0"/>
        <w:tabs>
          <w:tab w:leader="none" w:pos="48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Exceptions to Trading Prohibitions</w:t>
      </w:r>
    </w:p>
    <w:p>
      <w:pPr>
        <w:spacing w:after="0" w:line="258" w:lineRule="exact"/>
        <w:rPr>
          <w:rFonts w:ascii="Times New Roman" w:cs="Times New Roman" w:eastAsia="Times New Roman" w:hAnsi="Times New Roman"/>
          <w:sz w:val="20"/>
          <w:szCs w:val="20"/>
          <w:b w:val="1"/>
          <w:bCs w:val="1"/>
          <w:color w:val="auto"/>
        </w:rPr>
      </w:pPr>
    </w:p>
    <w:p>
      <w:pPr>
        <w:ind w:left="920" w:hanging="437"/>
        <w:spacing w:after="0"/>
        <w:tabs>
          <w:tab w:leader="none" w:pos="92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Permitted Transactions</w:t>
      </w:r>
      <w:r>
        <w:rPr>
          <w:rFonts w:ascii="Times New Roman" w:cs="Times New Roman" w:eastAsia="Times New Roman" w:hAnsi="Times New Roman"/>
          <w:sz w:val="20"/>
          <w:szCs w:val="20"/>
          <w:color w:val="auto"/>
        </w:rPr>
        <w:t>. This Policy generally does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apply to the following transactions in Haemonetics securities:</w:t>
      </w:r>
    </w:p>
    <w:p>
      <w:pPr>
        <w:spacing w:after="0" w:line="253" w:lineRule="exact"/>
        <w:rPr>
          <w:rFonts w:ascii="Times New Roman" w:cs="Times New Roman" w:eastAsia="Times New Roman" w:hAnsi="Times New Roman"/>
          <w:sz w:val="20"/>
          <w:szCs w:val="20"/>
          <w:color w:val="auto"/>
        </w:rPr>
      </w:pPr>
    </w:p>
    <w:p>
      <w:pPr>
        <w:ind w:left="1200" w:right="160" w:hanging="240"/>
        <w:spacing w:after="0" w:line="274" w:lineRule="auto"/>
        <w:tabs>
          <w:tab w:leader="none" w:pos="11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Covered Person’s exercise of Haemonetics stock options by paying the full exercise price in cash, provided that no shares of common stock received upon such exercise may be sold except in compliance with </w:t>
      </w:r>
      <w:r>
        <w:rPr>
          <w:rFonts w:ascii="Times New Roman" w:cs="Times New Roman" w:eastAsia="Times New Roman" w:hAnsi="Times New Roman"/>
          <w:sz w:val="20"/>
          <w:szCs w:val="20"/>
          <w:u w:val="single" w:color="auto"/>
          <w:color w:val="auto"/>
        </w:rPr>
        <w:t>Sections 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whether to fund the exercise, pay taxes or otherwise;</w:t>
      </w:r>
    </w:p>
    <w:p>
      <w:pPr>
        <w:spacing w:after="0" w:line="179" w:lineRule="exact"/>
        <w:rPr>
          <w:rFonts w:ascii="Times New Roman" w:cs="Times New Roman" w:eastAsia="Times New Roman" w:hAnsi="Times New Roman"/>
          <w:sz w:val="20"/>
          <w:szCs w:val="20"/>
          <w:color w:val="auto"/>
        </w:rPr>
      </w:pPr>
    </w:p>
    <w:p>
      <w:pPr>
        <w:ind w:left="1200" w:right="20" w:hanging="240"/>
        <w:spacing w:after="0" w:line="265" w:lineRule="auto"/>
        <w:tabs>
          <w:tab w:leader="none" w:pos="11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Automatic “sell to cover” transactions conducted by Fidelity and mandated by Haemonetics’ election under one or more of its equity incentive compensation plans to require the satisfaction of tax withholding obligations in connection with the vesting of a Covered Person’s restricted stock units (whether performance or time-based) to be funded by such sell to cover transactions;</w:t>
      </w:r>
    </w:p>
    <w:p>
      <w:pPr>
        <w:spacing w:after="0" w:line="203" w:lineRule="exact"/>
        <w:rPr>
          <w:rFonts w:ascii="Times New Roman" w:cs="Times New Roman" w:eastAsia="Times New Roman" w:hAnsi="Times New Roman"/>
          <w:sz w:val="20"/>
          <w:szCs w:val="20"/>
          <w:color w:val="auto"/>
        </w:rPr>
      </w:pPr>
    </w:p>
    <w:p>
      <w:pPr>
        <w:ind w:left="1200" w:right="700" w:hanging="240"/>
        <w:spacing w:after="0" w:line="285" w:lineRule="auto"/>
        <w:tabs>
          <w:tab w:leader="none" w:pos="11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Person’s ongoing investments under the Employee Stock Purchase Plan pursuant to existing investment elections; or</w:t>
      </w:r>
    </w:p>
    <w:p>
      <w:pPr>
        <w:spacing w:after="0" w:line="169" w:lineRule="exact"/>
        <w:rPr>
          <w:rFonts w:ascii="Times New Roman" w:cs="Times New Roman" w:eastAsia="Times New Roman" w:hAnsi="Times New Roman"/>
          <w:sz w:val="20"/>
          <w:szCs w:val="20"/>
          <w:color w:val="auto"/>
        </w:rPr>
      </w:pPr>
    </w:p>
    <w:p>
      <w:pPr>
        <w:ind w:left="1200" w:hanging="240"/>
        <w:spacing w:after="0"/>
        <w:tabs>
          <w:tab w:leader="none" w:pos="120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Buying or selling investments in publicly traded mutual funds.</w:t>
      </w:r>
    </w:p>
    <w:p>
      <w:pPr>
        <w:spacing w:after="0" w:line="254" w:lineRule="exact"/>
        <w:rPr>
          <w:rFonts w:ascii="Times New Roman" w:cs="Times New Roman" w:eastAsia="Times New Roman" w:hAnsi="Times New Roman"/>
          <w:sz w:val="20"/>
          <w:szCs w:val="20"/>
          <w:color w:val="auto"/>
        </w:rPr>
      </w:pPr>
    </w:p>
    <w:p>
      <w:pPr>
        <w:ind w:firstLine="483"/>
        <w:spacing w:after="0" w:line="258" w:lineRule="auto"/>
        <w:tabs>
          <w:tab w:leader="none" w:pos="917"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Rule 10b5-1 Plans. </w:t>
      </w:r>
      <w:r>
        <w:rPr>
          <w:rFonts w:ascii="Times New Roman" w:cs="Times New Roman" w:eastAsia="Times New Roman" w:hAnsi="Times New Roman"/>
          <w:sz w:val="20"/>
          <w:szCs w:val="20"/>
          <w:color w:val="auto"/>
        </w:rPr>
        <w:t>The trading blackout and trade pre-clearance requirements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this Policy do not apply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purchases or sales of Haemonetics securities made pursuant to a previously established and approved “Rule 10b5-1 plan.” Rule 10b5-1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provides Covered Persons with an affirmative defense from insider trading liability to the extent a plan meets certain conditions specified in Rule 10b5-1. Any Covered Person who wishes to enter into a Rule 10b5-1 plan must contact the General Counsel for pre-clearance. To be pre-cleared by the General Counsel, a Rule 10b5-</w:t>
      </w:r>
    </w:p>
    <w:p>
      <w:pPr>
        <w:spacing w:after="0" w:line="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plan must comply with both the requirements of Rule 10b5-1 and the following guidelines:</w:t>
      </w:r>
    </w:p>
    <w:p>
      <w:pPr>
        <w:spacing w:after="0" w:line="233" w:lineRule="exact"/>
        <w:rPr>
          <w:rFonts w:ascii="Times New Roman" w:cs="Times New Roman" w:eastAsia="Times New Roman" w:hAnsi="Times New Roman"/>
          <w:sz w:val="20"/>
          <w:szCs w:val="20"/>
          <w:color w:val="auto"/>
        </w:rPr>
      </w:pPr>
    </w:p>
    <w:p>
      <w:pPr>
        <w:ind w:left="1200" w:right="540" w:hanging="240"/>
        <w:spacing w:after="0" w:line="299" w:lineRule="auto"/>
        <w:tabs>
          <w:tab w:leader="none" w:pos="11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can only be established or amended at a time when the Covered Person does not possess material nonpublic information about Haemonetics;</w:t>
      </w:r>
    </w:p>
    <w:p>
      <w:pPr>
        <w:spacing w:after="0" w:line="155" w:lineRule="exact"/>
        <w:rPr>
          <w:rFonts w:ascii="Times New Roman" w:cs="Times New Roman" w:eastAsia="Times New Roman" w:hAnsi="Times New Roman"/>
          <w:sz w:val="20"/>
          <w:szCs w:val="20"/>
          <w:color w:val="auto"/>
        </w:rPr>
      </w:pPr>
    </w:p>
    <w:p>
      <w:pPr>
        <w:ind w:left="1200" w:hanging="240"/>
        <w:spacing w:after="0"/>
        <w:tabs>
          <w:tab w:leader="none" w:pos="120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cannot be established or amended during a trading blackout period;</w:t>
      </w:r>
    </w:p>
    <w:p>
      <w:pPr>
        <w:spacing w:after="0" w:line="247" w:lineRule="exact"/>
        <w:rPr>
          <w:rFonts w:ascii="Times New Roman" w:cs="Times New Roman" w:eastAsia="Times New Roman" w:hAnsi="Times New Roman"/>
          <w:sz w:val="20"/>
          <w:szCs w:val="20"/>
          <w:color w:val="auto"/>
        </w:rPr>
      </w:pPr>
    </w:p>
    <w:p>
      <w:pPr>
        <w:ind w:left="1200" w:right="40" w:hanging="240"/>
        <w:spacing w:after="0" w:line="260" w:lineRule="auto"/>
        <w:tabs>
          <w:tab w:leader="none" w:pos="1192"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 10b5-1 plan must include a “cooling off period” between establishment or modification and a transaction under that plan. For Covered Persons that are directors or officers within the meaning of Section 16 of the Exchange Act, the “cooling off period” is the later of (a) 90 days following establishment or modification of the Rule 10b5-1 plan and (b) two business days following disclosure in the Form 10-K or Form 10-Q filed by Haemonetics disclosing the Haemonetics financial results for the period in which the plan was established or modified, in all cases subject to maximum “cooling off period” of 120 days. For other Covered Persons, the “cooling off period” is 30 days following establishment or modification of the Rule 10b5-1 plan. Consistent with guidance from the SEC, for this limited purpose it will not be considered a modification of a Rule 10b5-1 plan if the modification does not change the sales or purchase prices or price ranges, the amount of securities to be sold or purchased, or the timing of transactions under a Rule 10b5-1 plan;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996" w:right="339" w:bottom="1440" w:gutter="0" w:footer="0" w:header="0"/>
        </w:sectPr>
      </w:pPr>
    </w:p>
    <w:bookmarkStart w:id="145" w:name="page146"/>
    <w:bookmarkEnd w:id="145"/>
    <w:p>
      <w:pPr>
        <w:jc w:val="both"/>
        <w:ind w:left="1200" w:right="200" w:hanging="240"/>
        <w:spacing w:after="0" w:line="265" w:lineRule="auto"/>
        <w:tabs>
          <w:tab w:leader="none" w:pos="119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limited circumstances as approved by the General Counsel, Covered Persons may not at any one time have more than one Rule 10b5-1 plan that cover all or a portion of the same time period. For clarity, this policy does not limit the ability of a Covered Person who adopts a Rule 10b5-1 plan from engaging in the permitted transactions specified in Section 5(a) above;</w:t>
      </w:r>
    </w:p>
    <w:p>
      <w:pPr>
        <w:spacing w:after="0" w:line="203" w:lineRule="exact"/>
        <w:rPr>
          <w:rFonts w:ascii="Times New Roman" w:cs="Times New Roman" w:eastAsia="Times New Roman" w:hAnsi="Times New Roman"/>
          <w:sz w:val="20"/>
          <w:szCs w:val="20"/>
          <w:color w:val="auto"/>
        </w:rPr>
      </w:pPr>
    </w:p>
    <w:p>
      <w:pPr>
        <w:ind w:left="1200" w:right="100" w:hanging="240"/>
        <w:spacing w:after="0" w:line="267" w:lineRule="auto"/>
        <w:tabs>
          <w:tab w:leader="none" w:pos="119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Persons may not adopt more than one Rule 10b5-1 plan in any consecutive 12 month period that is a single-trade plan or is designed to effect the purchase and sale as a single transaction and which has the practical effect of requiring such a result;</w:t>
      </w:r>
    </w:p>
    <w:p>
      <w:pPr>
        <w:spacing w:after="0" w:line="199" w:lineRule="exact"/>
        <w:rPr>
          <w:rFonts w:ascii="Times New Roman" w:cs="Times New Roman" w:eastAsia="Times New Roman" w:hAnsi="Times New Roman"/>
          <w:sz w:val="20"/>
          <w:szCs w:val="20"/>
          <w:color w:val="auto"/>
        </w:rPr>
      </w:pPr>
    </w:p>
    <w:p>
      <w:pPr>
        <w:ind w:left="1200" w:right="180" w:hanging="240"/>
        <w:spacing w:after="0" w:line="285" w:lineRule="auto"/>
        <w:tabs>
          <w:tab w:leader="none" w:pos="119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 10b5-1 plan must comply with any additional guidelines established by the General Counsel from time to time, which will be made available upon request; and</w:t>
      </w:r>
    </w:p>
    <w:p>
      <w:pPr>
        <w:spacing w:after="0" w:line="182" w:lineRule="exact"/>
        <w:rPr>
          <w:rFonts w:ascii="Times New Roman" w:cs="Times New Roman" w:eastAsia="Times New Roman" w:hAnsi="Times New Roman"/>
          <w:sz w:val="20"/>
          <w:szCs w:val="20"/>
          <w:color w:val="auto"/>
        </w:rPr>
      </w:pPr>
    </w:p>
    <w:p>
      <w:pPr>
        <w:ind w:left="1200" w:right="460" w:hanging="240"/>
        <w:spacing w:after="0" w:line="285" w:lineRule="auto"/>
        <w:tabs>
          <w:tab w:leader="none" w:pos="119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 10b5-1 plan cannot be established, terminated or amended without the prior written approval of the General Counsel, or his or her designee.</w:t>
      </w:r>
    </w:p>
    <w:p>
      <w:pPr>
        <w:spacing w:after="0" w:line="16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20"/>
          <w:szCs w:val="20"/>
          <w:color w:val="auto"/>
        </w:rPr>
        <w:t>Please note that the pre-clearance of a Rule 10b5-1 plan by the General Counsel in no way guarantees compliance with Rule 10b5-1 or reduces or eliminates a Covered Person’s obligations to comply with the U.S. securities laws, including the reporting and short-swing trading provisions under Section 16 of the Exchange Act. If any questions arise, Covered Persons should consult with their own counsel when implementing a Rule 10b5-1 plan.</w:t>
      </w:r>
    </w:p>
    <w:p>
      <w:pPr>
        <w:spacing w:after="0" w:line="199" w:lineRule="exact"/>
        <w:rPr>
          <w:sz w:val="20"/>
          <w:szCs w:val="20"/>
          <w:color w:val="auto"/>
        </w:rPr>
      </w:pPr>
    </w:p>
    <w:p>
      <w:pPr>
        <w:ind w:left="480" w:hanging="474"/>
        <w:spacing w:after="0"/>
        <w:tabs>
          <w:tab w:leader="none" w:pos="48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Guidance on Understanding Material Nonpublic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Information is Material?</w:t>
      </w:r>
    </w:p>
    <w:p>
      <w:pPr>
        <w:spacing w:after="0" w:line="26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generally means information – whether positive or negative – that if disclosed could reasonably be expected to have an effect on the price of a company’s securities or that is likely to be considered important by a reasonable investor in determining whether to buy, sell or hold such securities. However, there is no precise definition and, as such, Covered Persons should take a broad and cautious view when evaluating whether a particular piece of information is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Information related to the following </w:t>
      </w:r>
      <w:r>
        <w:rPr>
          <w:rFonts w:ascii="Times New Roman" w:cs="Times New Roman" w:eastAsia="Times New Roman" w:hAnsi="Times New Roman"/>
          <w:sz w:val="20"/>
          <w:szCs w:val="20"/>
          <w:i w:val="1"/>
          <w:iCs w:val="1"/>
          <w:u w:val="single" w:color="auto"/>
          <w:color w:val="auto"/>
        </w:rPr>
        <w:t>may</w:t>
      </w:r>
      <w:r>
        <w:rPr>
          <w:rFonts w:ascii="Times New Roman" w:cs="Times New Roman" w:eastAsia="Times New Roman" w:hAnsi="Times New Roman"/>
          <w:sz w:val="20"/>
          <w:szCs w:val="20"/>
          <w:color w:val="auto"/>
        </w:rPr>
        <w:t xml:space="preserve"> be considered “material information” in certain circumstances:</w:t>
      </w:r>
    </w:p>
    <w:p>
      <w:pPr>
        <w:spacing w:after="0" w:line="264" w:lineRule="exact"/>
        <w:rPr>
          <w:sz w:val="20"/>
          <w:szCs w:val="20"/>
          <w:color w:val="auto"/>
        </w:rPr>
      </w:pPr>
    </w:p>
    <w:p>
      <w:pPr>
        <w:ind w:left="1200" w:hanging="240"/>
        <w:spacing w:after="0"/>
        <w:tabs>
          <w:tab w:leader="none" w:pos="12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senior executive management;</w:t>
      </w:r>
    </w:p>
    <w:p>
      <w:pPr>
        <w:spacing w:after="0" w:line="247" w:lineRule="exact"/>
        <w:rPr>
          <w:rFonts w:ascii="Times New Roman" w:cs="Times New Roman" w:eastAsia="Times New Roman" w:hAnsi="Times New Roman"/>
          <w:sz w:val="20"/>
          <w:szCs w:val="20"/>
          <w:color w:val="auto"/>
        </w:rPr>
      </w:pPr>
    </w:p>
    <w:p>
      <w:pPr>
        <w:ind w:left="1200" w:right="480" w:hanging="240"/>
        <w:spacing w:after="0" w:line="285" w:lineRule="auto"/>
        <w:tabs>
          <w:tab w:leader="none" w:pos="11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Unpublished financial or operational results or projections, including earnings information and changes to previously announced earnings guidance;</w:t>
      </w:r>
    </w:p>
    <w:p>
      <w:pPr>
        <w:spacing w:after="0" w:line="182" w:lineRule="exact"/>
        <w:rPr>
          <w:rFonts w:ascii="Times New Roman" w:cs="Times New Roman" w:eastAsia="Times New Roman" w:hAnsi="Times New Roman"/>
          <w:sz w:val="20"/>
          <w:szCs w:val="20"/>
          <w:color w:val="auto"/>
        </w:rPr>
      </w:pPr>
    </w:p>
    <w:p>
      <w:pPr>
        <w:ind w:left="1200" w:hanging="240"/>
        <w:spacing w:after="0"/>
        <w:tabs>
          <w:tab w:leader="none" w:pos="12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proposed mergers, acquisitions, dispositions or other transactions;</w:t>
      </w:r>
    </w:p>
    <w:p>
      <w:pPr>
        <w:spacing w:after="0" w:line="247" w:lineRule="exact"/>
        <w:rPr>
          <w:rFonts w:ascii="Times New Roman" w:cs="Times New Roman" w:eastAsia="Times New Roman" w:hAnsi="Times New Roman"/>
          <w:sz w:val="20"/>
          <w:szCs w:val="20"/>
          <w:color w:val="auto"/>
        </w:rPr>
      </w:pPr>
    </w:p>
    <w:p>
      <w:pPr>
        <w:ind w:left="1200" w:hanging="240"/>
        <w:spacing w:after="0"/>
        <w:tabs>
          <w:tab w:leader="none" w:pos="12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product-related events, including major clinical trial results, FDA approvals, launches and recalls;</w:t>
      </w:r>
    </w:p>
    <w:p>
      <w:pPr>
        <w:spacing w:after="0" w:line="260" w:lineRule="exact"/>
        <w:rPr>
          <w:rFonts w:ascii="Times New Roman" w:cs="Times New Roman" w:eastAsia="Times New Roman" w:hAnsi="Times New Roman"/>
          <w:sz w:val="20"/>
          <w:szCs w:val="20"/>
          <w:color w:val="auto"/>
        </w:rPr>
      </w:pPr>
    </w:p>
    <w:p>
      <w:pPr>
        <w:ind w:left="1200" w:right="2900" w:hanging="240"/>
        <w:spacing w:after="0" w:line="285" w:lineRule="auto"/>
        <w:tabs>
          <w:tab w:leader="none" w:pos="11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new contracts or changes in existing contractual relationships, including the gain or loss of a significant customer or supplier;</w:t>
      </w:r>
    </w:p>
    <w:p>
      <w:pPr>
        <w:spacing w:after="0" w:line="169" w:lineRule="exact"/>
        <w:rPr>
          <w:rFonts w:ascii="Times New Roman" w:cs="Times New Roman" w:eastAsia="Times New Roman" w:hAnsi="Times New Roman"/>
          <w:sz w:val="20"/>
          <w:szCs w:val="20"/>
          <w:color w:val="auto"/>
        </w:rPr>
      </w:pPr>
    </w:p>
    <w:p>
      <w:pPr>
        <w:ind w:left="1200" w:right="180" w:hanging="240"/>
        <w:spacing w:after="0" w:line="299" w:lineRule="auto"/>
        <w:tabs>
          <w:tab w:leader="none" w:pos="11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government investigations or significant litigation (including disputes with customers, suppliers or contractors), or the resolution of such matters; and</w:t>
      </w:r>
    </w:p>
    <w:p>
      <w:pPr>
        <w:spacing w:after="0" w:line="155" w:lineRule="exact"/>
        <w:rPr>
          <w:rFonts w:ascii="Times New Roman" w:cs="Times New Roman" w:eastAsia="Times New Roman" w:hAnsi="Times New Roman"/>
          <w:sz w:val="20"/>
          <w:szCs w:val="20"/>
          <w:color w:val="auto"/>
        </w:rPr>
      </w:pPr>
    </w:p>
    <w:p>
      <w:pPr>
        <w:ind w:left="1200" w:hanging="240"/>
        <w:spacing w:after="0"/>
        <w:tabs>
          <w:tab w:leader="none" w:pos="12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incidents; and</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00"/>
          </w:cols>
          <w:pgMar w:left="320" w:top="996" w:right="379" w:bottom="1440" w:gutter="0" w:footer="0" w:header="0"/>
        </w:sectPr>
      </w:pPr>
    </w:p>
    <w:bookmarkStart w:id="146" w:name="page147"/>
    <w:bookmarkEnd w:id="146"/>
    <w:p>
      <w:pPr>
        <w:ind w:left="960"/>
        <w:spacing w:after="0"/>
        <w:tabs>
          <w:tab w:leader="none" w:pos="1180" w:val="left"/>
        </w:tabs>
        <w:rPr>
          <w:sz w:val="20"/>
          <w:szCs w:val="20"/>
          <w:color w:val="auto"/>
        </w:rPr>
      </w:pPr>
      <w:r>
        <w:rPr>
          <w:rFonts w:ascii="Times New Roman" w:cs="Times New Roman" w:eastAsia="Times New Roman" w:hAnsi="Times New Roman"/>
          <w:sz w:val="20"/>
          <w:szCs w:val="20"/>
          <w:color w:val="auto"/>
        </w:rPr>
        <w:t>•</w:t>
        <w:tab/>
        <w:t>Other information that could result in substantial market share and/or revenue gains or losses.</w:t>
      </w:r>
    </w:p>
    <w:p>
      <w:pPr>
        <w:spacing w:after="0" w:line="24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20"/>
          <w:szCs w:val="20"/>
          <w:color w:val="auto"/>
        </w:rPr>
        <w:t>The above list is illustrative only; other types of information may be considered “material” depending on the circumstances. The materiality of any particular information is circumstantial and subject to reassessment on a regular basis. If a Covered Person is unsure whether certain nonpublic information is material, they should presume that it is material and consult with the General Counsel before disclosing such information or trading in the securities of a company to which such information relates.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When is Information Nonpublic?</w:t>
      </w:r>
    </w:p>
    <w:p>
      <w:pPr>
        <w:spacing w:after="0" w:line="24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0"/>
          <w:szCs w:val="20"/>
          <w:color w:val="auto"/>
        </w:rPr>
        <w:t>Information is “</w:t>
      </w:r>
      <w:r>
        <w:rPr>
          <w:rFonts w:ascii="Times New Roman" w:cs="Times New Roman" w:eastAsia="Times New Roman" w:hAnsi="Times New Roman"/>
          <w:sz w:val="20"/>
          <w:szCs w:val="20"/>
          <w:b w:val="1"/>
          <w:bCs w:val="1"/>
          <w:color w:val="auto"/>
        </w:rPr>
        <w:t>nonpublic</w:t>
      </w:r>
      <w:r>
        <w:rPr>
          <w:rFonts w:ascii="Times New Roman" w:cs="Times New Roman" w:eastAsia="Times New Roman" w:hAnsi="Times New Roman"/>
          <w:sz w:val="20"/>
          <w:szCs w:val="20"/>
          <w:color w:val="auto"/>
        </w:rPr>
        <w:t>” if it is not available to the general public. In order for information to be considered public, it must have been disclosed in Haemonetics’ public filings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widely disseminated in a manner making it generally available to investors, such as by a press release. In addition, even after a public announcement, a reasonable period of time must elapse in order for the market to react to the information. The circulation of rumors, even if accurate, does not constitute information that is adequately available to the general public.</w:t>
      </w:r>
    </w:p>
    <w:p>
      <w:pPr>
        <w:spacing w:after="0" w:line="188" w:lineRule="exact"/>
        <w:rPr>
          <w:sz w:val="20"/>
          <w:szCs w:val="20"/>
          <w:color w:val="auto"/>
        </w:rPr>
      </w:pPr>
    </w:p>
    <w:p>
      <w:pPr>
        <w:ind w:left="640" w:hanging="634"/>
        <w:spacing w:after="0"/>
        <w:tabs>
          <w:tab w:leader="none" w:pos="64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Consequences of Violations</w:t>
      </w:r>
    </w:p>
    <w:p>
      <w:pPr>
        <w:spacing w:after="0" w:line="2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purchase or sale of securities while aware of material nonpublic information, or the disclosure of material nonpublic information to others who then trade in Haemonetics securities, is prohibited by U.S. securities laws. Insider trading violations are pursued vigorously by the SEC, federal and state enforcement authorities. Punishment for insider trading violations is severe and could include significant fines and imprisonment. While the regulatory authorities concentrate their efforts on the individuals who trade, or who tip inside information to others who trade, U.S. securities laws also impose potential liability on companies and other “controlling persons” if they fail to take reasonable steps to prevent insider trading by company personnel. In addition, an individual’s failure to comply with this Policy may subject the individual to Haemonetics-imposed sanctions, including dismissal for cause, whether or not the employee’s failure to comply results in a violation of law.</w:t>
      </w:r>
    </w:p>
    <w:p>
      <w:pPr>
        <w:spacing w:after="0" w:line="204" w:lineRule="exact"/>
        <w:rPr>
          <w:sz w:val="20"/>
          <w:szCs w:val="20"/>
          <w:color w:val="auto"/>
        </w:rPr>
      </w:pPr>
    </w:p>
    <w:p>
      <w:pPr>
        <w:ind w:left="640" w:hanging="634"/>
        <w:spacing w:after="0"/>
        <w:tabs>
          <w:tab w:leader="none" w:pos="64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Questions</w:t>
      </w:r>
    </w:p>
    <w:p>
      <w:pPr>
        <w:spacing w:after="0" w:line="251"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20"/>
          <w:szCs w:val="20"/>
          <w:color w:val="auto"/>
        </w:rPr>
        <w:t>Because the securities laws are comprehensive, far-reaching and constantly evolving, this Policy does not attempt to deal with all of the considerations which may be applicable to securities transactions. Please contact Haemonetics’ General Counsel for additional guidance if you have questions about this Policy or its application to a proposed transaction.</w:t>
      </w:r>
    </w:p>
    <w:p>
      <w:pPr>
        <w:spacing w:after="0" w:line="193" w:lineRule="exact"/>
        <w:rPr>
          <w:sz w:val="20"/>
          <w:szCs w:val="20"/>
          <w:color w:val="auto"/>
        </w:rPr>
      </w:pPr>
    </w:p>
    <w:p>
      <w:pPr>
        <w:ind w:right="600"/>
        <w:spacing w:after="0" w:line="274" w:lineRule="auto"/>
        <w:rPr>
          <w:sz w:val="20"/>
          <w:szCs w:val="20"/>
          <w:color w:val="auto"/>
        </w:rPr>
      </w:pPr>
      <w:r>
        <w:rPr>
          <w:rFonts w:ascii="Times New Roman" w:cs="Times New Roman" w:eastAsia="Times New Roman" w:hAnsi="Times New Roman"/>
          <w:sz w:val="20"/>
          <w:szCs w:val="20"/>
          <w:color w:val="auto"/>
        </w:rPr>
        <w:t>This Policy is the Securities Trading Policy referenced in the Haemonetics Code of Conduct and supersedes any previous policy of Haemonetics concerning insider trading. In the event of any conflict or inconsistency between this Policy and any other materials previously distributed by Haemonetics, this Policy shall govern.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ADOPTED: June 5, 2020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AMENDED: February 27, 2023</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235"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Exhibit 21.1 - Subsidiaries of the Company</w:t>
            </w:r>
          </w:p>
        </w:tc>
        <w:tc>
          <w:tcPr>
            <w:tcW w:w="4880" w:type="dxa"/>
            <w:vAlign w:val="bottom"/>
          </w:tcPr>
          <w:p>
            <w:pPr>
              <w:spacing w:after="0"/>
              <w:rPr>
                <w:sz w:val="22"/>
                <w:szCs w:val="22"/>
                <w:color w:val="auto"/>
              </w:rPr>
            </w:pPr>
          </w:p>
        </w:tc>
      </w:tr>
      <w:tr>
        <w:trPr>
          <w:trHeight w:val="40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Subsidiary of Haemonetics Corporation</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Jurisdiction of Incorporation or Organization</w:t>
            </w:r>
          </w:p>
        </w:tc>
      </w:tr>
      <w:tr>
        <w:trPr>
          <w:trHeight w:val="240"/>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5D Information Management, Inc.</w:t>
            </w:r>
          </w:p>
        </w:tc>
        <w:tc>
          <w:tcPr>
            <w:tcW w:w="220" w:type="dxa"/>
            <w:vAlign w:val="bottom"/>
          </w:tcPr>
          <w:p>
            <w:pPr>
              <w:spacing w:after="0"/>
              <w:rPr>
                <w:sz w:val="20"/>
                <w:szCs w:val="20"/>
                <w:color w:val="auto"/>
              </w:rPr>
            </w:pPr>
          </w:p>
        </w:tc>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Advanced Cooling Therapy,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Arryx,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Nevada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Cardiva Medical,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Enicor GmbH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Germany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Global Med Technologies,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Colorado</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(Hong Kong)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Hong Kong</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Asia Incorporated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Asia UK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Australia PTY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Victoria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B.V.</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Netherlands</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Canada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British Columbia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CZ, spol. s.r.o.</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Czech Republic</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France S.a.r.l</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France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GmbH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Germany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Handelsgesellschaft 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Austria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Healthcare India Private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India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Hospitalar Ltda</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Brazil</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Italia s.r.l.</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Italy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Japan GK</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Japan</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Korea,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Seoul, Korea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Malaysia Sdn. Bhd.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Malaysia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Manufacturing,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(Shanghai) Management Co.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Shanghai,China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Mexico Manufacturing, S.de R.L. de C.V.</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Mexico</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New Zealand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New Zealand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S.A.</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Switzerland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Singapore Pte.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Singapore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Haemoscope Corporation</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Massachusetts</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OpSens B.V.</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Netherlands</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OpSens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Quebec</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OpSens Medical,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OpSens Solutions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Quebec</w:t>
            </w:r>
          </w:p>
        </w:tc>
      </w:tr>
    </w:tbl>
    <w:p>
      <w:pPr>
        <w:sectPr>
          <w:pgSz w:w="11900" w:h="16838" w:orient="portrait"/>
          <w:cols w:equalWidth="0" w:num="1">
            <w:col w:w="11000"/>
          </w:cols>
          <w:pgMar w:left="320" w:top="872" w:right="5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4" w:lineRule="exact"/>
        <w:rPr>
          <w:sz w:val="20"/>
          <w:szCs w:val="20"/>
          <w:color w:val="auto"/>
        </w:rPr>
      </w:pPr>
    </w:p>
    <w:p>
      <w:pPr>
        <w:ind w:right="3360" w:firstLine="3363"/>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88" w:lineRule="exact"/>
        <w:rPr>
          <w:sz w:val="20"/>
          <w:szCs w:val="20"/>
          <w:color w:val="auto"/>
        </w:rPr>
      </w:pPr>
    </w:p>
    <w:p>
      <w:pPr>
        <w:ind w:right="840" w:firstLine="6"/>
        <w:spacing w:after="0" w:line="249" w:lineRule="auto"/>
        <w:tabs>
          <w:tab w:leader="none" w:pos="25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333-273928), pertaining to the Amended and Restated 2019 Long-Term Incentive Compensation Plan of Haemonetics Corporation;</w:t>
      </w:r>
    </w:p>
    <w:p>
      <w:pPr>
        <w:spacing w:after="0" w:line="1"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333-232899), pertaining to the 2019 Long-Term Incentive Compensation Plan of Haemonetics Corporation;</w:t>
      </w:r>
    </w:p>
    <w:p>
      <w:pPr>
        <w:spacing w:after="0" w:line="4"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333-222877), pertaining to the 2007 Employee Stock Purchase Plan of Haemonetics Corporation;</w:t>
      </w:r>
    </w:p>
    <w:p>
      <w:pPr>
        <w:spacing w:after="0" w:line="5" w:lineRule="exact"/>
        <w:rPr>
          <w:rFonts w:ascii="Times New Roman" w:cs="Times New Roman" w:eastAsia="Times New Roman" w:hAnsi="Times New Roman"/>
          <w:sz w:val="18"/>
          <w:szCs w:val="18"/>
          <w:color w:val="auto"/>
        </w:rPr>
      </w:pPr>
    </w:p>
    <w:p>
      <w:pPr>
        <w:ind w:right="440" w:firstLine="6"/>
        <w:spacing w:after="0" w:line="245" w:lineRule="auto"/>
        <w:tabs>
          <w:tab w:leader="none" w:pos="25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333-200226), pertaining to the 2005 Long-Term Incentive Compensation Plan of Haemonetics Corporation, as amended by that certain Post-Effective Amendment No. 1 to the Registration Statement (No. 333-200226);</w:t>
      </w:r>
    </w:p>
    <w:p>
      <w:pPr>
        <w:spacing w:after="0" w:line="1"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333-181847), pertaining to the 2005 Long-Term Incentive Compensation Plan of Haemonetics Corporation;</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333-159434), pertaining to the 2005 Long-Term Incentive Compensation Plan of Haemonetics Corporation;</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333-149205), pertaining to the 2007 Employee Stock Purchase Plan of Haemonetics Corporation; and</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333-136839), pertaining to the 2005 Long-Term Incentive Compensation Plan of Haemonetics Corporation;</w:t>
      </w:r>
    </w:p>
    <w:p>
      <w:pPr>
        <w:spacing w:after="0" w:line="200" w:lineRule="exact"/>
        <w:rPr>
          <w:sz w:val="20"/>
          <w:szCs w:val="20"/>
          <w:color w:val="auto"/>
        </w:rPr>
      </w:pPr>
    </w:p>
    <w:p>
      <w:pPr>
        <w:spacing w:after="0" w:line="2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of our reports dated May 20, 2024, with respect to the consolidated financial statements of Haemonetics Corporation and the effectiveness of internal control over financial reporting of Haemonetics Corporation included in this Annual Report (Form 10-K) of Haemonetics Corporation for the fiscal year ended March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ectPr>
          <w:pgSz w:w="11900" w:h="16838" w:orient="portrait"/>
          <w:cols w:equalWidth="0" w:num="1">
            <w:col w:w="11240"/>
          </w:cols>
          <w:pgMar w:left="320" w:top="874"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11" w:lineRule="exact"/>
        <w:rPr>
          <w:sz w:val="20"/>
          <w:szCs w:val="20"/>
          <w:color w:val="auto"/>
        </w:rPr>
      </w:pPr>
    </w:p>
    <w:p>
      <w:pPr>
        <w:ind w:left="320" w:hanging="314"/>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Haemonetics Corporation;</w:t>
      </w:r>
    </w:p>
    <w:p>
      <w:pPr>
        <w:spacing w:after="0" w:line="111"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320" w:right="100" w:hanging="314"/>
        <w:spacing w:after="0" w:line="259"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4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20" w:hanging="318"/>
        <w:spacing w:after="0" w:line="304" w:lineRule="auto"/>
        <w:tabs>
          <w:tab w:leader="none" w:pos="99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260" w:hanging="318"/>
        <w:spacing w:after="0" w:line="259" w:lineRule="auto"/>
        <w:tabs>
          <w:tab w:leader="none" w:pos="94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right="540" w:hanging="314"/>
        <w:spacing w:after="0" w:line="274"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4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p>
      <w:pPr>
        <w:spacing w:after="0" w:line="1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35337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spacing w:after="0" w:line="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92"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D'Arecca, certify that:</w:t>
      </w:r>
    </w:p>
    <w:p>
      <w:pPr>
        <w:spacing w:after="0" w:line="111" w:lineRule="exact"/>
        <w:rPr>
          <w:sz w:val="20"/>
          <w:szCs w:val="20"/>
          <w:color w:val="auto"/>
        </w:rPr>
      </w:pPr>
    </w:p>
    <w:p>
      <w:pPr>
        <w:ind w:left="320" w:hanging="314"/>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Haemonetics Corporation;</w:t>
      </w:r>
    </w:p>
    <w:p>
      <w:pPr>
        <w:spacing w:after="0" w:line="111"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320" w:right="100" w:hanging="314"/>
        <w:spacing w:after="0" w:line="259" w:lineRule="auto"/>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4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20" w:hanging="318"/>
        <w:spacing w:after="0" w:line="304" w:lineRule="auto"/>
        <w:tabs>
          <w:tab w:leader="none" w:pos="995"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260" w:hanging="318"/>
        <w:spacing w:after="0" w:line="259" w:lineRule="auto"/>
        <w:tabs>
          <w:tab w:leader="none" w:pos="94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right="540" w:hanging="314"/>
        <w:spacing w:after="0" w:line="274" w:lineRule="auto"/>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4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p>
      <w:pPr>
        <w:spacing w:after="0" w:line="16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James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44507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4450715"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James D'Arecca, Executive Vice President, Chief Financial Officer</w:t>
      </w:r>
    </w:p>
    <w:p>
      <w:pPr>
        <w:spacing w:after="0" w:line="2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92"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of Haemonetics Corporation (the “Company”) on Form 10-K for the period ended March 30, 2024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p>
      <w:pPr>
        <w:spacing w:after="0" w:line="16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14605</wp:posOffset>
            </wp:positionV>
            <wp:extent cx="28187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2818765" cy="8255"/>
                    </a:xfrm>
                    <a:prstGeom prst="rect">
                      <a:avLst/>
                    </a:prstGeom>
                    <a:noFill/>
                  </pic:spPr>
                </pic:pic>
              </a:graphicData>
            </a:graphic>
          </wp:anchor>
        </w:drawing>
      </w:r>
    </w:p>
    <w:p>
      <w:pPr>
        <w:spacing w:after="0" w:line="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08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2"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of Haemonetics Corporation (the “Company”) on Form 10-K for the period ended March 30, 2024 as filed with the Securities and Exchange Commission on the date hereof (the “Report”), I, James D'Arecca, Chief Financial Officer and Executive Vice President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p>
      <w:pPr>
        <w:spacing w:after="0" w:line="1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James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14605</wp:posOffset>
            </wp:positionV>
            <wp:extent cx="3971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3971290" cy="8255"/>
                    </a:xfrm>
                    <a:prstGeom prst="rect">
                      <a:avLst/>
                    </a:prstGeom>
                    <a:noFill/>
                  </pic:spPr>
                </pic:pic>
              </a:graphicData>
            </a:graphic>
          </wp:anchor>
        </w:drawing>
      </w:r>
    </w:p>
    <w:p>
      <w:pPr>
        <w:spacing w:after="0" w:line="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James D'Arecca, Executive Vice President, Chief Financial Officer</w:t>
      </w:r>
    </w:p>
    <w:p>
      <w:pPr>
        <w:spacing w:after="0" w:line="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4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08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9"/>
          <w:szCs w:val="19"/>
          <w:b w:val="1"/>
          <w:bCs w:val="1"/>
          <w:color w:val="auto"/>
        </w:rPr>
        <w:t>Exhibit 97.1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HAEMONETICS CORPORATION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RECOVERY POLICY</w:t>
      </w:r>
    </w:p>
    <w:p>
      <w:pPr>
        <w:spacing w:after="0" w:line="206"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9"/>
          <w:szCs w:val="19"/>
          <w:color w:val="auto"/>
        </w:rPr>
        <w:t>Haemonetics Corporation, a Massachusetts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adopted a Compensation Recovery Policy (this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as described below.</w:t>
      </w:r>
    </w:p>
    <w:p>
      <w:pPr>
        <w:spacing w:after="0" w:line="15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1.</w:t>
        <w:tab/>
        <w:t>Overview</w:t>
      </w:r>
    </w:p>
    <w:p>
      <w:pPr>
        <w:spacing w:after="0" w:line="23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under the Securities Exchange Act of 1934, as amended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and the New York Stock Exchange. Capitalized terms used and not otherwise defined herein shall have the meanings given in Section 3 below.</w:t>
      </w:r>
    </w:p>
    <w:p>
      <w:pPr>
        <w:spacing w:after="0" w:line="1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2.</w:t>
        <w:tab/>
        <w:t>Compensation Recovery Requirement</w:t>
      </w:r>
    </w:p>
    <w:p>
      <w:pPr>
        <w:spacing w:after="0" w:line="236"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9"/>
          <w:szCs w:val="19"/>
          <w:color w:val="auto"/>
        </w:rPr>
        <w:t>In the event the Company is required to prepare a Financial Restatement, the Company shall recover reasonably promptly all Erroneously Awarded Compensation with respect to such Financial Restatement.</w:t>
      </w:r>
    </w:p>
    <w:p>
      <w:pPr>
        <w:spacing w:after="0" w:line="153" w:lineRule="exact"/>
        <w:rPr>
          <w:sz w:val="20"/>
          <w:szCs w:val="20"/>
          <w:color w:val="auto"/>
        </w:rPr>
      </w:pPr>
    </w:p>
    <w:p>
      <w:pPr>
        <w:ind w:left="340" w:hanging="334"/>
        <w:spacing w:after="0"/>
        <w:tabs>
          <w:tab w:leader="none" w:pos="340" w:val="left"/>
        </w:tabs>
        <w:numPr>
          <w:ilvl w:val="0"/>
          <w:numId w:val="1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w:t>
      </w:r>
    </w:p>
    <w:p>
      <w:pPr>
        <w:spacing w:after="0" w:line="218" w:lineRule="exact"/>
        <w:rPr>
          <w:rFonts w:ascii="Times New Roman" w:cs="Times New Roman" w:eastAsia="Times New Roman" w:hAnsi="Times New Roman"/>
          <w:sz w:val="19"/>
          <w:szCs w:val="19"/>
          <w:b w:val="1"/>
          <w:bCs w:val="1"/>
          <w:color w:val="auto"/>
        </w:rPr>
      </w:pPr>
    </w:p>
    <w:p>
      <w:pPr>
        <w:ind w:left="1120" w:hanging="478"/>
        <w:spacing w:after="0" w:line="271" w:lineRule="auto"/>
        <w:tabs>
          <w:tab w:leader="none" w:pos="1109"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Recovery Period</w:t>
      </w:r>
      <w:r>
        <w:rPr>
          <w:rFonts w:ascii="Times New Roman" w:cs="Times New Roman" w:eastAsia="Times New Roman" w:hAnsi="Times New Roman"/>
          <w:sz w:val="19"/>
          <w:szCs w:val="19"/>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65" w:lineRule="exact"/>
        <w:rPr>
          <w:rFonts w:ascii="Times New Roman" w:cs="Times New Roman" w:eastAsia="Times New Roman" w:hAnsi="Times New Roman"/>
          <w:sz w:val="19"/>
          <w:szCs w:val="19"/>
          <w:color w:val="auto"/>
        </w:rPr>
      </w:pPr>
    </w:p>
    <w:p>
      <w:pPr>
        <w:ind w:left="1120" w:right="320" w:hanging="478"/>
        <w:spacing w:after="0" w:line="289" w:lineRule="auto"/>
        <w:tabs>
          <w:tab w:leader="none" w:pos="112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Rules</w:t>
      </w:r>
      <w:r>
        <w:rPr>
          <w:rFonts w:ascii="Times New Roman" w:cs="Times New Roman" w:eastAsia="Times New Roman" w:hAnsi="Times New Roman"/>
          <w:sz w:val="19"/>
          <w:szCs w:val="19"/>
          <w:color w:val="auto"/>
        </w:rPr>
        <w:t>” means any rules or regulations adopted by the Exchange pursuant to Rule 10D-1 under the Exchange Act and any applicable rules or regulations adopted by the SEC pursuant to Section 10D of the Exchange Act.</w:t>
      </w:r>
    </w:p>
    <w:p>
      <w:pPr>
        <w:spacing w:after="0" w:line="149" w:lineRule="exact"/>
        <w:rPr>
          <w:rFonts w:ascii="Times New Roman" w:cs="Times New Roman" w:eastAsia="Times New Roman" w:hAnsi="Times New Roman"/>
          <w:sz w:val="19"/>
          <w:szCs w:val="19"/>
          <w:color w:val="auto"/>
        </w:rPr>
      </w:pPr>
    </w:p>
    <w:p>
      <w:pPr>
        <w:ind w:left="1100" w:hanging="458"/>
        <w:spacing w:after="0"/>
        <w:tabs>
          <w:tab w:leader="none" w:pos="110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means the Board of Directors of the Company.</w:t>
      </w:r>
    </w:p>
    <w:p>
      <w:pPr>
        <w:spacing w:after="0" w:line="232" w:lineRule="exact"/>
        <w:rPr>
          <w:rFonts w:ascii="Times New Roman" w:cs="Times New Roman" w:eastAsia="Times New Roman" w:hAnsi="Times New Roman"/>
          <w:sz w:val="19"/>
          <w:szCs w:val="19"/>
          <w:color w:val="auto"/>
        </w:rPr>
      </w:pPr>
    </w:p>
    <w:p>
      <w:pPr>
        <w:ind w:left="1120" w:right="120" w:hanging="478"/>
        <w:spacing w:after="0" w:line="289" w:lineRule="auto"/>
        <w:tabs>
          <w:tab w:leader="none" w:pos="112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means the Compensation Committee of the Board or, in the absence of such committee, a majority of independent directors serving on the Board.</w:t>
      </w:r>
    </w:p>
    <w:p>
      <w:pPr>
        <w:spacing w:after="0" w:line="149" w:lineRule="exact"/>
        <w:rPr>
          <w:rFonts w:ascii="Times New Roman" w:cs="Times New Roman" w:eastAsia="Times New Roman" w:hAnsi="Times New Roman"/>
          <w:sz w:val="19"/>
          <w:szCs w:val="19"/>
          <w:color w:val="auto"/>
        </w:rPr>
      </w:pPr>
    </w:p>
    <w:p>
      <w:pPr>
        <w:ind w:left="1120" w:right="20" w:hanging="478"/>
        <w:spacing w:after="0" w:line="261" w:lineRule="auto"/>
        <w:tabs>
          <w:tab w:leader="none" w:pos="1109"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Covered Person</w:t>
      </w:r>
      <w:r>
        <w:rPr>
          <w:rFonts w:ascii="Times New Roman" w:cs="Times New Roman" w:eastAsia="Times New Roman" w:hAnsi="Times New Roman"/>
          <w:sz w:val="19"/>
          <w:szCs w:val="19"/>
          <w:color w:val="auto"/>
        </w:rPr>
        <w:t>”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8" w:lineRule="exact"/>
        <w:rPr>
          <w:rFonts w:ascii="Times New Roman" w:cs="Times New Roman" w:eastAsia="Times New Roman" w:hAnsi="Times New Roman"/>
          <w:sz w:val="19"/>
          <w:szCs w:val="19"/>
          <w:color w:val="auto"/>
        </w:rPr>
      </w:pPr>
    </w:p>
    <w:p>
      <w:pPr>
        <w:ind w:left="1120" w:hanging="478"/>
        <w:spacing w:after="0"/>
        <w:tabs>
          <w:tab w:leader="none" w:pos="112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means October 2, 2023.</w:t>
      </w:r>
    </w:p>
    <w:p>
      <w:pPr>
        <w:spacing w:after="0" w:line="218" w:lineRule="exact"/>
        <w:rPr>
          <w:rFonts w:ascii="Times New Roman" w:cs="Times New Roman" w:eastAsia="Times New Roman" w:hAnsi="Times New Roman"/>
          <w:sz w:val="19"/>
          <w:szCs w:val="19"/>
          <w:color w:val="auto"/>
        </w:rPr>
      </w:pPr>
    </w:p>
    <w:p>
      <w:pPr>
        <w:jc w:val="both"/>
        <w:ind w:left="1120" w:hanging="478"/>
        <w:spacing w:after="0" w:line="283" w:lineRule="auto"/>
        <w:tabs>
          <w:tab w:leader="none" w:pos="112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Erroneously Awarded Compensation</w:t>
      </w:r>
      <w:r>
        <w:rPr>
          <w:rFonts w:ascii="Times New Roman" w:cs="Times New Roman" w:eastAsia="Times New Roman" w:hAnsi="Times New Roman"/>
          <w:sz w:val="19"/>
          <w:szCs w:val="19"/>
          <w:color w:val="auto"/>
        </w:rPr>
        <w:t>” means the amount of any Incentive-Based Compensation received by a Covered Person on or after the Effective Date and during the Applicable Recovery Period that exceeds the amount that otherwise would have been received by the Covered Person had</w:t>
      </w:r>
    </w:p>
    <w:p>
      <w:pPr>
        <w:sectPr>
          <w:pgSz w:w="11900" w:h="16838" w:orient="portrait"/>
          <w:cols w:equalWidth="0" w:num="1">
            <w:col w:w="11240"/>
          </w:cols>
          <w:pgMar w:left="320" w:top="1173" w:right="339" w:bottom="1440" w:gutter="0" w:footer="0" w:header="0"/>
        </w:sectPr>
      </w:pPr>
    </w:p>
    <w:bookmarkStart w:id="154" w:name="page155"/>
    <w:bookmarkEnd w:id="154"/>
    <w:p>
      <w:pPr>
        <w:ind w:left="478"/>
        <w:spacing w:after="0" w:line="261" w:lineRule="auto"/>
        <w:rPr>
          <w:sz w:val="20"/>
          <w:szCs w:val="20"/>
          <w:color w:val="auto"/>
        </w:rPr>
      </w:pPr>
      <w:r>
        <w:rPr>
          <w:rFonts w:ascii="Times New Roman" w:cs="Times New Roman" w:eastAsia="Times New Roman" w:hAnsi="Times New Roman"/>
          <w:sz w:val="19"/>
          <w:szCs w:val="19"/>
          <w:color w:val="auto"/>
        </w:rPr>
        <w:t>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76" w:lineRule="exact"/>
        <w:rPr>
          <w:sz w:val="20"/>
          <w:szCs w:val="20"/>
          <w:color w:val="auto"/>
        </w:rPr>
      </w:pPr>
    </w:p>
    <w:p>
      <w:pPr>
        <w:ind w:left="478" w:hanging="478"/>
        <w:spacing w:after="0"/>
        <w:tabs>
          <w:tab w:leader="none" w:pos="478"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w:t>
      </w:r>
      <w:r>
        <w:rPr>
          <w:rFonts w:ascii="Times New Roman" w:cs="Times New Roman" w:eastAsia="Times New Roman" w:hAnsi="Times New Roman"/>
          <w:sz w:val="19"/>
          <w:szCs w:val="19"/>
          <w:color w:val="auto"/>
        </w:rPr>
        <w:t>” means the New York Stock Exchange.</w:t>
      </w:r>
    </w:p>
    <w:p>
      <w:pPr>
        <w:spacing w:after="0" w:line="232" w:lineRule="exact"/>
        <w:rPr>
          <w:rFonts w:ascii="Times New Roman" w:cs="Times New Roman" w:eastAsia="Times New Roman" w:hAnsi="Times New Roman"/>
          <w:sz w:val="19"/>
          <w:szCs w:val="19"/>
          <w:color w:val="auto"/>
        </w:rPr>
      </w:pPr>
    </w:p>
    <w:p>
      <w:pPr>
        <w:ind w:left="478" w:right="40" w:hanging="478"/>
        <w:spacing w:after="0" w:line="261" w:lineRule="auto"/>
        <w:tabs>
          <w:tab w:leader="none" w:pos="47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w:t>
      </w:r>
      <w:r>
        <w:rPr>
          <w:rFonts w:ascii="Times New Roman" w:cs="Times New Roman" w:eastAsia="Times New Roman" w:hAnsi="Times New Roman"/>
          <w:sz w:val="19"/>
          <w:szCs w:val="19"/>
          <w:b w:val="1"/>
          <w:bCs w:val="1"/>
          <w:color w:val="auto"/>
        </w:rPr>
        <w:t>Executive Officer</w:t>
      </w:r>
      <w:r>
        <w:rPr>
          <w:rFonts w:ascii="Times New Roman" w:cs="Times New Roman" w:eastAsia="Times New Roman" w:hAnsi="Times New Roman"/>
          <w:sz w:val="19"/>
          <w:szCs w:val="19"/>
          <w:color w:val="auto"/>
        </w:rPr>
        <w:t>” means any person who served the Company in any of the following roles at any time during the performance period applicable to Incentive-Based Compensation such person received during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78" w:lineRule="exact"/>
        <w:rPr>
          <w:rFonts w:ascii="Times New Roman" w:cs="Times New Roman" w:eastAsia="Times New Roman" w:hAnsi="Times New Roman"/>
          <w:sz w:val="19"/>
          <w:szCs w:val="19"/>
          <w:color w:val="auto"/>
        </w:rPr>
      </w:pPr>
    </w:p>
    <w:p>
      <w:pPr>
        <w:ind w:left="478" w:hanging="478"/>
        <w:spacing w:after="0" w:line="275" w:lineRule="auto"/>
        <w:tabs>
          <w:tab w:leader="none" w:pos="47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Reporting Measures</w:t>
      </w:r>
      <w:r>
        <w:rPr>
          <w:rFonts w:ascii="Times New Roman" w:cs="Times New Roman" w:eastAsia="Times New Roman" w:hAnsi="Times New Roman"/>
          <w:sz w:val="19"/>
          <w:szCs w:val="19"/>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63" w:lineRule="exact"/>
        <w:rPr>
          <w:rFonts w:ascii="Times New Roman" w:cs="Times New Roman" w:eastAsia="Times New Roman" w:hAnsi="Times New Roman"/>
          <w:sz w:val="19"/>
          <w:szCs w:val="19"/>
          <w:color w:val="auto"/>
        </w:rPr>
      </w:pPr>
    </w:p>
    <w:p>
      <w:pPr>
        <w:ind w:left="478" w:right="240" w:hanging="478"/>
        <w:spacing w:after="0" w:line="289" w:lineRule="auto"/>
        <w:tabs>
          <w:tab w:leader="none" w:pos="478"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Incentive-Based Compensation</w:t>
      </w:r>
      <w:r>
        <w:rPr>
          <w:rFonts w:ascii="Times New Roman" w:cs="Times New Roman" w:eastAsia="Times New Roman" w:hAnsi="Times New Roman"/>
          <w:sz w:val="19"/>
          <w:szCs w:val="19"/>
          <w:color w:val="auto"/>
        </w:rPr>
        <w:t>” means any compensation provided, directly or indirectly, by the Company or any of its subsidiaries that is granted, earned, or vested based, in whole or in part, upon the attainment of a Financial Reporting Measure.</w:t>
      </w:r>
    </w:p>
    <w:p>
      <w:pPr>
        <w:spacing w:after="0" w:line="149" w:lineRule="exact"/>
        <w:rPr>
          <w:rFonts w:ascii="Times New Roman" w:cs="Times New Roman" w:eastAsia="Times New Roman" w:hAnsi="Times New Roman"/>
          <w:sz w:val="19"/>
          <w:szCs w:val="19"/>
          <w:color w:val="auto"/>
        </w:rPr>
      </w:pPr>
    </w:p>
    <w:p>
      <w:pPr>
        <w:ind w:left="478" w:right="240" w:hanging="478"/>
        <w:spacing w:after="0" w:line="265" w:lineRule="auto"/>
        <w:tabs>
          <w:tab w:leader="none" w:pos="47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b w:val="1"/>
          <w:bCs w:val="1"/>
          <w:color w:val="auto"/>
        </w:rPr>
        <w:t>Financial Restatement</w:t>
      </w:r>
      <w:r>
        <w:rPr>
          <w:rFonts w:ascii="Times New Roman" w:cs="Times New Roman" w:eastAsia="Times New Roman" w:hAnsi="Times New Roman"/>
          <w:sz w:val="19"/>
          <w:szCs w:val="19"/>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1" w:lineRule="exact"/>
        <w:rPr>
          <w:rFonts w:ascii="Times New Roman" w:cs="Times New Roman" w:eastAsia="Times New Roman" w:hAnsi="Times New Roman"/>
          <w:sz w:val="19"/>
          <w:szCs w:val="19"/>
          <w:color w:val="auto"/>
        </w:rPr>
      </w:pPr>
    </w:p>
    <w:p>
      <w:pPr>
        <w:ind w:left="478" w:right="120" w:hanging="478"/>
        <w:spacing w:after="0" w:line="271" w:lineRule="auto"/>
        <w:tabs>
          <w:tab w:leader="none" w:pos="466"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Received</w:t>
      </w:r>
      <w:r>
        <w:rPr>
          <w:rFonts w:ascii="Times New Roman" w:cs="Times New Roman" w:eastAsia="Times New Roman" w:hAnsi="Times New Roman"/>
          <w:sz w:val="19"/>
          <w:szCs w:val="19"/>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52" w:lineRule="exact"/>
        <w:rPr>
          <w:rFonts w:ascii="Times New Roman" w:cs="Times New Roman" w:eastAsia="Times New Roman" w:hAnsi="Times New Roman"/>
          <w:sz w:val="19"/>
          <w:szCs w:val="19"/>
          <w:color w:val="auto"/>
        </w:rPr>
      </w:pPr>
    </w:p>
    <w:p>
      <w:pPr>
        <w:ind w:left="478" w:right="180" w:hanging="478"/>
        <w:spacing w:after="0" w:line="271" w:lineRule="auto"/>
        <w:tabs>
          <w:tab w:leader="none" w:pos="478"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Restatement Date</w:t>
      </w:r>
      <w:r>
        <w:rPr>
          <w:rFonts w:ascii="Times New Roman" w:cs="Times New Roman" w:eastAsia="Times New Roman" w:hAnsi="Times New Roman"/>
          <w:sz w:val="19"/>
          <w:szCs w:val="19"/>
          <w:color w:val="auto"/>
        </w:rPr>
        <w:t>” means, with respect to a Financial Restatement, the earlier to occur of: (i) the date the Board or the Audit Committee of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578"/>
          </w:cols>
          <w:pgMar w:left="962" w:top="1164" w:right="359" w:bottom="1440" w:gutter="0" w:footer="0" w:header="0"/>
        </w:sectPr>
      </w:pPr>
    </w:p>
    <w:bookmarkStart w:id="155" w:name="page156"/>
    <w:bookmarkEnd w:id="155"/>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4.</w:t>
        <w:tab/>
        <w:t>Exception to Compensation Recovery Requirement</w:t>
      </w:r>
    </w:p>
    <w:p>
      <w:pPr>
        <w:spacing w:after="0" w:line="23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5.</w:t>
        <w:tab/>
        <w:t>Tax Considerations</w:t>
      </w:r>
    </w:p>
    <w:p>
      <w:pPr>
        <w:spacing w:after="0" w:line="22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9"/>
          <w:szCs w:val="19"/>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4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6.</w:t>
        <w:tab/>
        <w:t>Method of Compensation Recovery</w:t>
      </w:r>
    </w:p>
    <w:p>
      <w:pPr>
        <w:spacing w:after="0" w:line="236"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9"/>
          <w:szCs w:val="19"/>
          <w:color w:val="auto"/>
        </w:rPr>
        <w:t>The Committee shall determine, in its sole discretion, the method for recovering Erroneously Awarded Compensation hereunder, which may include, without limitation, any one or more of the following:</w:t>
      </w:r>
    </w:p>
    <w:p>
      <w:pPr>
        <w:spacing w:after="0" w:line="157" w:lineRule="exact"/>
        <w:rPr>
          <w:sz w:val="20"/>
          <w:szCs w:val="20"/>
          <w:color w:val="auto"/>
        </w:rPr>
      </w:pPr>
    </w:p>
    <w:p>
      <w:pPr>
        <w:ind w:left="1100" w:hanging="458"/>
        <w:spacing w:after="0"/>
        <w:tabs>
          <w:tab w:leader="none" w:pos="110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reimbursement of cash Incentive-Based Compensation previously paid;</w:t>
      </w:r>
    </w:p>
    <w:p>
      <w:pPr>
        <w:spacing w:after="0" w:line="232" w:lineRule="exact"/>
        <w:rPr>
          <w:rFonts w:ascii="Times New Roman" w:cs="Times New Roman" w:eastAsia="Times New Roman" w:hAnsi="Times New Roman"/>
          <w:sz w:val="19"/>
          <w:szCs w:val="19"/>
          <w:color w:val="auto"/>
        </w:rPr>
      </w:pPr>
    </w:p>
    <w:p>
      <w:pPr>
        <w:ind w:left="1120" w:right="200" w:hanging="478"/>
        <w:spacing w:after="0" w:line="285" w:lineRule="auto"/>
        <w:tabs>
          <w:tab w:leader="none" w:pos="112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seeking recovery of any gain realized on the vesting, exercise, settlement, sale, transfer or other disposition of any equity-based awards;</w:t>
      </w:r>
    </w:p>
    <w:p>
      <w:pPr>
        <w:spacing w:after="0" w:line="156" w:lineRule="exact"/>
        <w:rPr>
          <w:rFonts w:ascii="Times New Roman" w:cs="Times New Roman" w:eastAsia="Times New Roman" w:hAnsi="Times New Roman"/>
          <w:sz w:val="19"/>
          <w:szCs w:val="19"/>
          <w:color w:val="auto"/>
        </w:rPr>
      </w:pPr>
    </w:p>
    <w:p>
      <w:pPr>
        <w:ind w:left="1100" w:hanging="458"/>
        <w:spacing w:after="0"/>
        <w:tabs>
          <w:tab w:leader="none" w:pos="110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cancelling or rescinding some or all outstanding vested or unvested equity-based awards;</w:t>
      </w:r>
    </w:p>
    <w:p>
      <w:pPr>
        <w:spacing w:after="0" w:line="218" w:lineRule="exact"/>
        <w:rPr>
          <w:rFonts w:ascii="Times New Roman" w:cs="Times New Roman" w:eastAsia="Times New Roman" w:hAnsi="Times New Roman"/>
          <w:sz w:val="19"/>
          <w:szCs w:val="19"/>
          <w:color w:val="auto"/>
        </w:rPr>
      </w:pPr>
    </w:p>
    <w:p>
      <w:pPr>
        <w:ind w:left="1120" w:hanging="478"/>
        <w:spacing w:after="0"/>
        <w:tabs>
          <w:tab w:leader="none" w:pos="112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adjusting or withholding from unpaid compensation or other set-off;</w:t>
      </w:r>
    </w:p>
    <w:p>
      <w:pPr>
        <w:spacing w:after="0" w:line="232" w:lineRule="exact"/>
        <w:rPr>
          <w:rFonts w:ascii="Times New Roman" w:cs="Times New Roman" w:eastAsia="Times New Roman" w:hAnsi="Times New Roman"/>
          <w:sz w:val="19"/>
          <w:szCs w:val="19"/>
          <w:color w:val="auto"/>
        </w:rPr>
      </w:pPr>
    </w:p>
    <w:p>
      <w:pPr>
        <w:ind w:left="1100" w:hanging="458"/>
        <w:spacing w:after="0"/>
        <w:tabs>
          <w:tab w:leader="none" w:pos="110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cancelling or offsetting against planned future grants of equity-based awards; and/or</w:t>
      </w:r>
    </w:p>
    <w:p>
      <w:pPr>
        <w:spacing w:after="0" w:line="232" w:lineRule="exact"/>
        <w:rPr>
          <w:rFonts w:ascii="Times New Roman" w:cs="Times New Roman" w:eastAsia="Times New Roman" w:hAnsi="Times New Roman"/>
          <w:sz w:val="19"/>
          <w:szCs w:val="19"/>
          <w:color w:val="auto"/>
        </w:rPr>
      </w:pPr>
    </w:p>
    <w:p>
      <w:pPr>
        <w:ind w:left="1120" w:hanging="478"/>
        <w:spacing w:after="0"/>
        <w:tabs>
          <w:tab w:leader="none" w:pos="112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method permitted by applicable law or contract.</w:t>
      </w:r>
    </w:p>
    <w:p>
      <w:pPr>
        <w:spacing w:after="0" w:line="21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 In addition, to the extent the Covered Person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7.</w:t>
        <w:tab/>
        <w:t>Policy Interpretation</w:t>
      </w:r>
    </w:p>
    <w:p>
      <w:pPr>
        <w:spacing w:after="0" w:line="22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This Policy shall be interpreted in a manner that is consistent with the Applicable Rules and any other applicable law, and shall not limit any other compensation recovery or recoupment policy maintained by the Company and that is in effect as of the Effective Date or that may be established thereafter, including, but not limited to, the Company’s Clawback Policy as set forth in the Principles of Corporate Governance, or other policy in effect from time to time, and any successor policy, whether approved before or after the Effective Date.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159" w:right="359" w:bottom="1440" w:gutter="0" w:footer="0" w:header="0"/>
        </w:sectPr>
      </w:pPr>
    </w:p>
    <w:bookmarkStart w:id="156" w:name="page157"/>
    <w:bookmarkEnd w:id="156"/>
    <w:p>
      <w:pPr>
        <w:ind w:right="340"/>
        <w:spacing w:after="0" w:line="300" w:lineRule="auto"/>
        <w:rPr>
          <w:sz w:val="20"/>
          <w:szCs w:val="20"/>
          <w:color w:val="auto"/>
        </w:rPr>
      </w:pPr>
      <w:r>
        <w:rPr>
          <w:rFonts w:ascii="Times New Roman" w:cs="Times New Roman" w:eastAsia="Times New Roman" w:hAnsi="Times New Roman"/>
          <w:sz w:val="19"/>
          <w:szCs w:val="19"/>
          <w:color w:val="auto"/>
        </w:rPr>
        <w:t>those specified above, nothing in this Policy shall be deemed to limit or restrict the right or obligation of the Company to recover Incentive-Based Compensation to the fullest extent required by the Applicable Rules.</w:t>
      </w:r>
    </w:p>
    <w:p>
      <w:pPr>
        <w:spacing w:after="0" w:line="1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8.</w:t>
        <w:tab/>
        <w:t>Policy Administration</w:t>
      </w:r>
    </w:p>
    <w:p>
      <w:pPr>
        <w:spacing w:after="0" w:line="22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b w:val="1"/>
          <w:bCs w:val="1"/>
          <w:color w:val="auto"/>
        </w:rPr>
        <w:t>9.</w:t>
        <w:tab/>
        <w:t>Compensation Recovery Repayments not Subject to Indemnification</w:t>
      </w:r>
    </w:p>
    <w:p>
      <w:pPr>
        <w:spacing w:after="0" w:line="23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 To the extent any such agreement or organizational document purports to provide otherwise, the Covered Person hereby irrevocably agrees to forego such indemnification.</w:t>
      </w:r>
    </w:p>
    <w:p>
      <w:pPr>
        <w:spacing w:after="0" w:line="1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10.</w:t>
        <w:tab/>
        <w:t>Acknowledgement</w:t>
      </w:r>
    </w:p>
    <w:p>
      <w:pPr>
        <w:spacing w:after="0" w:line="23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 xml:space="preserve">Each Executive Officer shall sign and return to the Company the Acknowledgement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pursuant to which such Executive Officer agrees to be bound by, and to comply with, the terms and conditions of this Policy. For the avoidance of doubt, each Executive Officer will be fully bound by, and must comply with, the Policy, whether or not such Executive Officer has executed and returned such acknowledgement form to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ADOPTED: October 31, 2023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00"/>
          </w:cols>
          <w:pgMar w:left="320" w:top="1164" w:right="37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HAEMONETICS CORPORATION</w:t>
      </w: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ACKNOWLEDGEMENT FORM</w:t>
      </w:r>
    </w:p>
    <w:p>
      <w:pPr>
        <w:spacing w:after="0" w:line="249"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9"/>
          <w:szCs w:val="19"/>
          <w:color w:val="auto"/>
        </w:rPr>
        <w:t>By signing below, the undersigned acknowledges and confirms that the undersigned has received and reviewed a copy of the Haemonetics Corporation Compensation Recovery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and the Haemonetics Principles of Corporate Governance (the “</w:t>
      </w:r>
      <w:r>
        <w:rPr>
          <w:rFonts w:ascii="Times New Roman" w:cs="Times New Roman" w:eastAsia="Times New Roman" w:hAnsi="Times New Roman"/>
          <w:sz w:val="19"/>
          <w:szCs w:val="19"/>
          <w:b w:val="1"/>
          <w:bCs w:val="1"/>
          <w:color w:val="auto"/>
        </w:rPr>
        <w:t>Principles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Corporate Governance</w:t>
      </w:r>
      <w:r>
        <w:rPr>
          <w:rFonts w:ascii="Times New Roman" w:cs="Times New Roman" w:eastAsia="Times New Roman" w:hAnsi="Times New Roman"/>
          <w:sz w:val="19"/>
          <w:szCs w:val="19"/>
          <w:color w:val="auto"/>
        </w:rPr>
        <w:t>”). Capitalized terms used but not otherwise defined in this Acknowledgement Form (this “</w:t>
      </w:r>
      <w:r>
        <w:rPr>
          <w:rFonts w:ascii="Times New Roman" w:cs="Times New Roman" w:eastAsia="Times New Roman" w:hAnsi="Times New Roman"/>
          <w:sz w:val="19"/>
          <w:szCs w:val="19"/>
          <w:b w:val="1"/>
          <w:bCs w:val="1"/>
          <w:color w:val="auto"/>
        </w:rPr>
        <w:t>Acknowledgement Form</w:t>
      </w:r>
      <w:r>
        <w:rPr>
          <w:rFonts w:ascii="Times New Roman" w:cs="Times New Roman" w:eastAsia="Times New Roman" w:hAnsi="Times New Roman"/>
          <w:sz w:val="19"/>
          <w:szCs w:val="19"/>
          <w:color w:val="auto"/>
        </w:rPr>
        <w:t>”) shall have the meanings ascribed to such terms in the Policy.</w:t>
      </w:r>
    </w:p>
    <w:p>
      <w:pPr>
        <w:spacing w:after="0" w:line="186"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9"/>
          <w:szCs w:val="19"/>
          <w:color w:val="auto"/>
        </w:rPr>
        <w:t>By signing this Acknowledgement Form, the undersigned acknowledges and agrees that the undersigned is and will continue to be subject to the Policy and the Principles of Corporate Governance, and that the Policy and, with respect to the recoupment of compensation, the Principles of Corporate Governance will apply both during and after the undersigned’s employment with the Company. Further, by signing below, the undersigned agrees to abide by the terms of the Policy and the Principles of Corporate Governance, including, without limitation, by returning any Erroneously Awarded Compensation (as defined in the Policy) to the Company to the extent required by, and in a manner permitted by, the Policy.</w:t>
      </w:r>
    </w:p>
    <w:p>
      <w:pPr>
        <w:spacing w:after="0" w:line="200" w:lineRule="exact"/>
        <w:rPr>
          <w:sz w:val="20"/>
          <w:szCs w:val="20"/>
          <w:color w:val="auto"/>
        </w:rPr>
      </w:pPr>
    </w:p>
    <w:p>
      <w:pPr>
        <w:spacing w:after="0" w:line="31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52705</wp:posOffset>
            </wp:positionV>
            <wp:extent cx="15144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8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color w:val="auto"/>
        </w:rPr>
        <w:t>Print</w:t>
      </w:r>
    </w:p>
    <w:p>
      <w:pPr>
        <w:spacing w:after="0" w:line="4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43815</wp:posOffset>
            </wp:positionV>
            <wp:extent cx="15144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6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52705</wp:posOffset>
            </wp:positionV>
            <wp:extent cx="15144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sectPr>
      <w:pgSz w:w="11900" w:h="16838" w:orient="portrait"/>
      <w:cols w:equalWidth="0" w:num="1">
        <w:col w:w="11120"/>
      </w:cols>
      <w:pgMar w:left="440" w:top="11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lvl w:ilvl="1">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upperLetter"/>
      <w:start w:val="35"/>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lvl w:ilvl="1">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1)"/>
      <w:numFmt w:val="decimal"/>
      <w:start w:val="1"/>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1)"/>
      <w:numFmt w:val="decimal"/>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decimal"/>
      <w:start w:val="805"/>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1."/>
      <w:numFmt w:val="decimal"/>
      <w:start w:val="848"/>
    </w:lvl>
  </w:abstractNum>
  <w:abstractNum w:abstractNumId="25">
    <w:nsid w:val="25A70BF7"/>
    <w:multiLevelType w:val="hybridMultilevel"/>
    <w:lvl w:ilvl="0">
      <w:lvlJc w:val="left"/>
      <w:lvlText w:val="(%1)"/>
      <w:numFmt w:val="lowerRoman"/>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1)"/>
      <w:numFmt w:val="decimal"/>
      <w:start w:val="1"/>
    </w:lvl>
  </w:abstractNum>
  <w:abstractNum w:abstractNumId="33">
    <w:nsid w:val="15014ACB"/>
    <w:multiLevelType w:val="hybridMultilevel"/>
    <w:lvl w:ilvl="0">
      <w:lvlJc w:val="left"/>
      <w:lvlText w:val="(%1)"/>
      <w:numFmt w:val="decimal"/>
      <w:start w:val="1"/>
    </w:lvl>
  </w:abstractNum>
  <w:abstractNum w:abstractNumId="34">
    <w:nsid w:val="5F5E7FD0"/>
    <w:multiLevelType w:val="hybridMultilevel"/>
    <w:lvl w:ilvl="0">
      <w:lvlJc w:val="left"/>
      <w:lvlText w:val="(%1)"/>
      <w:numFmt w:val="decimal"/>
      <w:start w:val="1"/>
    </w:lvl>
  </w:abstractNum>
  <w:abstractNum w:abstractNumId="35">
    <w:nsid w:val="98A3148"/>
    <w:multiLevelType w:val="hybridMultilevel"/>
    <w:lvl w:ilvl="0">
      <w:lvlJc w:val="left"/>
      <w:lvlText w:val="%1)"/>
      <w:numFmt w:val="upperLetter"/>
      <w:start w:val="1"/>
    </w:lvl>
  </w:abstractNum>
  <w:abstractNum w:abstractNumId="36">
    <w:nsid w:val="799D0247"/>
    <w:multiLevelType w:val="hybridMultilevel"/>
    <w:lvl w:ilvl="0">
      <w:lvlJc w:val="left"/>
      <w:lvlText w:val="%1)"/>
      <w:numFmt w:val="upperLetter"/>
      <w:start w:val="2"/>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1."/>
      <w:numFmt w:val="decimal"/>
      <w:start w:val="2"/>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1."/>
      <w:numFmt w:val="decimal"/>
      <w:start w:val="3"/>
    </w:lvl>
  </w:abstractNum>
  <w:abstractNum w:abstractNumId="44">
    <w:nsid w:val="7BD3EE7B"/>
    <w:multiLevelType w:val="hybridMultilevel"/>
    <w:lvl w:ilvl="0">
      <w:lvlJc w:val="left"/>
      <w:lvlText w:val="%1."/>
      <w:numFmt w:val="decimal"/>
      <w:start w:val="4"/>
    </w:lvl>
  </w:abstractNum>
  <w:abstractNum w:abstractNumId="45">
    <w:nsid w:val="51D9C564"/>
    <w:multiLevelType w:val="hybridMultilevel"/>
    <w:lvl w:ilvl="0">
      <w:lvlJc w:val="left"/>
      <w:lvlText w:val="%1."/>
      <w:numFmt w:val="decimal"/>
      <w:start w:val="5"/>
    </w:lvl>
  </w:abstractNum>
  <w:abstractNum w:abstractNumId="46">
    <w:nsid w:val="613EFDC5"/>
    <w:multiLevelType w:val="hybridMultilevel"/>
    <w:lvl w:ilvl="0">
      <w:lvlJc w:val="left"/>
      <w:lvlText w:val="%1."/>
      <w:numFmt w:val="decimal"/>
      <w:start w:val="6"/>
    </w:lvl>
  </w:abstractNum>
  <w:abstractNum w:abstractNumId="47">
    <w:nsid w:val="BF72B14"/>
    <w:multiLevelType w:val="hybridMultilevel"/>
    <w:lvl w:ilvl="0">
      <w:lvlJc w:val="left"/>
      <w:lvlText w:val="%1."/>
      <w:numFmt w:val="decimal"/>
      <w:start w:val="7"/>
    </w:lvl>
  </w:abstractNum>
  <w:abstractNum w:abstractNumId="48">
    <w:nsid w:val="11447B73"/>
    <w:multiLevelType w:val="hybridMultilevel"/>
    <w:lvl w:ilvl="0">
      <w:lvlJc w:val="left"/>
      <w:lvlText w:val="%1."/>
      <w:numFmt w:val="decimal"/>
      <w:start w:val="8"/>
    </w:lvl>
  </w:abstractNum>
  <w:abstractNum w:abstractNumId="49">
    <w:nsid w:val="42963E5A"/>
    <w:multiLevelType w:val="hybridMultilevel"/>
    <w:lvl w:ilvl="0">
      <w:lvlJc w:val="left"/>
      <w:lvlText w:val="%1."/>
      <w:numFmt w:val="decimal"/>
      <w:start w:val="9"/>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1"/>
      <w:numFmt w:val="upperLetter"/>
      <w:start w:val="35"/>
    </w:lvl>
  </w:abstractNum>
  <w:abstractNum w:abstractNumId="55">
    <w:nsid w:val="4962813B"/>
    <w:multiLevelType w:val="hybridMultilevel"/>
    <w:lvl w:ilvl="0">
      <w:lvlJc w:val="left"/>
      <w:lvlText w:val="%1."/>
      <w:numFmt w:val="decimal"/>
      <w:start w:val="10"/>
    </w:lvl>
  </w:abstractNum>
  <w:abstractNum w:abstractNumId="56">
    <w:nsid w:val="60B6DF70"/>
    <w:multiLevelType w:val="hybridMultilevel"/>
    <w:lvl w:ilvl="0">
      <w:lvlJc w:val="left"/>
      <w:lvlText w:val="%1."/>
      <w:numFmt w:val="decimal"/>
      <w:start w:val="11"/>
    </w:lvl>
  </w:abstractNum>
  <w:abstractNum w:abstractNumId="57">
    <w:nsid w:val="6A5EE64"/>
    <w:multiLevelType w:val="hybridMultilevel"/>
    <w:lvl w:ilvl="0">
      <w:lvlJc w:val="left"/>
      <w:lvlText w:val="%1."/>
      <w:numFmt w:val="decimal"/>
      <w:start w:val="12"/>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decimal"/>
      <w:start w:val="14"/>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1."/>
      <w:numFmt w:val="decimal"/>
      <w:start w:val="16"/>
    </w:lvl>
  </w:abstractNum>
  <w:abstractNum w:abstractNumId="63">
    <w:nsid w:val="7FB7E0AA"/>
    <w:multiLevelType w:val="hybridMultilevel"/>
    <w:lvl w:ilvl="0">
      <w:lvlJc w:val="left"/>
      <w:lvlText w:val="•"/>
      <w:numFmt w:val="bullet"/>
      <w:start w:val="1"/>
    </w:lvl>
    <w:lvl w:ilvl="1">
      <w:lvlJc w:val="left"/>
      <w:lvlText w:val="◦"/>
      <w:numFmt w:val="bullet"/>
      <w:start w:val="1"/>
    </w:lvl>
  </w:abstractNum>
  <w:abstractNum w:abstractNumId="64">
    <w:nsid w:val="6EB5BD4"/>
    <w:multiLevelType w:val="hybridMultilevel"/>
    <w:lvl w:ilvl="0">
      <w:lvlJc w:val="left"/>
      <w:lvlText w:val="%1."/>
      <w:numFmt w:val="decimal"/>
      <w:start w:val="18"/>
    </w:lvl>
  </w:abstractNum>
  <w:abstractNum w:abstractNumId="65">
    <w:nsid w:val="6F6DD9AC"/>
    <w:multiLevelType w:val="hybridMultilevel"/>
    <w:lvl w:ilvl="0">
      <w:lvlJc w:val="left"/>
      <w:lvlText w:val="%1."/>
      <w:numFmt w:val="decimal"/>
      <w:start w:val="25"/>
    </w:lvl>
  </w:abstractNum>
  <w:abstractNum w:abstractNumId="66">
    <w:nsid w:val="94211F2"/>
    <w:multiLevelType w:val="hybridMultilevel"/>
    <w:lvl w:ilvl="0">
      <w:lvlJc w:val="left"/>
      <w:lvlText w:val="%1."/>
      <w:numFmt w:val="decimal"/>
      <w:start w:val="26"/>
    </w:lvl>
  </w:abstractNum>
  <w:abstractNum w:abstractNumId="67">
    <w:nsid w:val="885E1B"/>
    <w:multiLevelType w:val="hybridMultilevel"/>
    <w:lvl w:ilvl="0">
      <w:lvlJc w:val="left"/>
      <w:lvlText w:val="%1."/>
      <w:numFmt w:val="decimal"/>
      <w:start w:val="28"/>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decimal"/>
      <w:start w:val="36"/>
    </w:lvl>
  </w:abstractNum>
  <w:abstractNum w:abstractNumId="71">
    <w:nsid w:val="14E17E33"/>
    <w:multiLevelType w:val="hybridMultilevel"/>
    <w:lvl w:ilvl="0">
      <w:lvlJc w:val="left"/>
      <w:lvlText w:val="%1:"/>
      <w:numFmt w:val="upperLetter"/>
      <w:start w:val="20"/>
    </w:lvl>
  </w:abstractNum>
  <w:abstractNum w:abstractNumId="72">
    <w:nsid w:val="3222E7CD"/>
    <w:multiLevelType w:val="hybridMultilevel"/>
    <w:lvl w:ilvl="0">
      <w:lvlJc w:val="left"/>
      <w:lvlText w:val="%1:"/>
      <w:numFmt w:val="upperLetter"/>
      <w:start w:val="6"/>
    </w:lvl>
  </w:abstractNum>
  <w:abstractNum w:abstractNumId="73">
    <w:nsid w:val="74DE0EE3"/>
    <w:multiLevelType w:val="hybridMultilevel"/>
    <w:lvl w:ilvl="0">
      <w:lvlJc w:val="left"/>
      <w:lvlText w:val="(%1)"/>
      <w:numFmt w:val="decimal"/>
      <w:start w:val="10"/>
    </w:lvl>
  </w:abstractNum>
  <w:abstractNum w:abstractNumId="74">
    <w:nsid w:val="68EBC550"/>
    <w:multiLevelType w:val="hybridMultilevel"/>
    <w:lvl w:ilvl="0">
      <w:lvlJc w:val="left"/>
      <w:lvlText w:val="%1."/>
      <w:numFmt w:val="decimal"/>
      <w:start w:val="1"/>
    </w:lvl>
    <w:lvl w:ilvl="1">
      <w:lvlJc w:val="left"/>
      <w:lvlText w:val="«"/>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o"/>
      <w:numFmt w:val="bullet"/>
      <w:start w:val="1"/>
    </w:lvl>
  </w:abstractNum>
  <w:abstractNum w:abstractNumId="77">
    <w:nsid w:val="4A2AC315"/>
    <w:multiLevelType w:val="hybridMultilevel"/>
    <w:lvl w:ilvl="0">
      <w:lvlJc w:val="left"/>
      <w:lvlText w:val="(%1)"/>
      <w:numFmt w:val="decimal"/>
      <w:start w:val="6"/>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decimal"/>
      <w:start w:val="5"/>
    </w:lvl>
  </w:abstractNum>
  <w:abstractNum w:abstractNumId="82">
    <w:nsid w:val="60EF0119"/>
    <w:multiLevelType w:val="hybridMultilevel"/>
    <w:lvl w:ilvl="0">
      <w:lvlJc w:val="left"/>
      <w:lvlText w:val="%1."/>
      <w:numFmt w:val="decimal"/>
      <w:start w:val="6"/>
    </w:lvl>
  </w:abstractNum>
  <w:abstractNum w:abstractNumId="83">
    <w:nsid w:val="26F324BA"/>
    <w:multiLevelType w:val="hybridMultilevel"/>
    <w:lvl w:ilvl="0">
      <w:lvlJc w:val="left"/>
      <w:lvlText w:val="%1."/>
      <w:numFmt w:val="decimal"/>
      <w:start w:val="1"/>
    </w:lvl>
  </w:abstractNum>
  <w:abstractNum w:abstractNumId="84">
    <w:nsid w:val="7F01579B"/>
    <w:multiLevelType w:val="hybridMultilevel"/>
    <w:lvl w:ilvl="0">
      <w:lvlJc w:val="left"/>
      <w:lvlText w:val="%1."/>
      <w:numFmt w:val="decimal"/>
      <w:start w:val="2"/>
    </w:lvl>
  </w:abstractNum>
  <w:abstractNum w:abstractNumId="85">
    <w:nsid w:val="49DA307D"/>
    <w:multiLevelType w:val="hybridMultilevel"/>
    <w:lvl w:ilvl="0">
      <w:lvlJc w:val="left"/>
      <w:lvlText w:val="%1."/>
      <w:numFmt w:val="decimal"/>
      <w:start w:val="3"/>
    </w:lvl>
    <w:lvl w:ilvl="1">
      <w:lvlJc w:val="left"/>
      <w:lvlText w:val="(%2)"/>
      <w:numFmt w:val="lowerLetter"/>
      <w:start w:val="1"/>
    </w:lvl>
  </w:abstractNum>
  <w:abstractNum w:abstractNumId="86">
    <w:nsid w:val="7055A5F5"/>
    <w:multiLevelType w:val="hybridMultilevel"/>
    <w:lvl w:ilvl="0">
      <w:lvlJc w:val="left"/>
      <w:lvlText w:val="%1"/>
      <w:numFmt w:val="lowerLetter"/>
      <w:start w:val="1"/>
    </w:lvl>
    <w:lvl w:ilvl="1">
      <w:lvlJc w:val="left"/>
      <w:lvlText w:val="(%2)"/>
      <w:numFmt w:val="lowerRoman"/>
      <w:start w:val="1"/>
    </w:lvl>
  </w:abstractNum>
  <w:abstractNum w:abstractNumId="87">
    <w:nsid w:val="5FB8370B"/>
    <w:multiLevelType w:val="hybridMultilevel"/>
    <w:lvl w:ilvl="0">
      <w:lvlJc w:val="left"/>
      <w:lvlText w:val="(%1)"/>
      <w:numFmt w:val="lowerLetter"/>
      <w:start w:val="3"/>
    </w:lvl>
    <w:lvl w:ilvl="1">
      <w:lvlJc w:val="left"/>
      <w:lvlText w:val="%2"/>
      <w:numFmt w:val="lowerRoman"/>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1."/>
      <w:numFmt w:val="decimal"/>
      <w:start w:val="4"/>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lowerLetter"/>
      <w:start w:val="3"/>
    </w:lvl>
  </w:abstractNum>
  <w:abstractNum w:abstractNumId="92">
    <w:nsid w:val="7672BD23"/>
    <w:multiLevelType w:val="hybridMultilevel"/>
    <w:lvl w:ilvl="0">
      <w:lvlJc w:val="left"/>
      <w:lvlText w:val="(%1)"/>
      <w:numFmt w:val="lowerLetter"/>
      <w:start w:val="5"/>
    </w:lvl>
  </w:abstractNum>
  <w:abstractNum w:abstractNumId="93">
    <w:nsid w:val="6FC75AF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1."/>
      <w:numFmt w:val="decimal"/>
      <w:start w:val="6"/>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1."/>
      <w:numFmt w:val="decimal"/>
      <w:start w:val="7"/>
    </w:lvl>
  </w:abstractNum>
  <w:abstractNum w:abstractNumId="98">
    <w:nsid w:val="7DE67713"/>
    <w:multiLevelType w:val="hybridMultilevel"/>
    <w:lvl w:ilvl="0">
      <w:lvlJc w:val="left"/>
      <w:lvlText w:val="%1."/>
      <w:numFmt w:val="decimal"/>
      <w:start w:val="8"/>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decimal"/>
      <w:start w:val="1"/>
    </w:lvl>
    <w:lvl w:ilvl="1">
      <w:lvlJc w:val="left"/>
      <w:lvlText w:val="%2)"/>
      <w:numFmt w:val="lowerLetter"/>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3"/>
    </w:lvl>
    <w:lvl w:ilvl="1">
      <w:lvlJc w:val="left"/>
      <w:lvlText w:val="%2."/>
      <w:numFmt w:val="lowerLetter"/>
      <w:start w:val="1"/>
    </w:lvl>
  </w:abstractNum>
  <w:abstractNum w:abstractNumId="103">
    <w:nsid w:val="71C91298"/>
    <w:multiLevelType w:val="hybridMultilevel"/>
    <w:lvl w:ilvl="0">
      <w:lvlJc w:val="left"/>
      <w:lvlText w:val="%1."/>
      <w:numFmt w:val="lowerLetter"/>
      <w:start w:val="8"/>
    </w:lvl>
  </w:abstractNum>
  <w:abstractNum w:abstractNumId="104">
    <w:nsid w:val="9DAF6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61"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25" Type="http://schemas.openxmlformats.org/officeDocument/2006/relationships/hyperlink" Target="https://www.sec.gov/Archives/edgar/data/313143/000031314323000051/exhibit21-arrangementagree.htm" TargetMode="External"/><Relationship Id="rId126" Type="http://schemas.openxmlformats.org/officeDocument/2006/relationships/hyperlink" Target="https://www.sec.gov/Archives/edgar/data/313143/000031314319000035/exhibit31-restatedarticles.htm" TargetMode="External"/><Relationship Id="rId127" Type="http://schemas.openxmlformats.org/officeDocument/2006/relationships/hyperlink" Target="https://www.sec.gov/Archives/edgar/data/313143/000031314320000052/by-lawsasamended62920.htm" TargetMode="External"/><Relationship Id="rId128" Type="http://schemas.openxmlformats.org/officeDocument/2006/relationships/hyperlink" Target="https://www.sec.gov/Archives/edgar/data/313143/000031314320000028/fy2020exh4b.htm" TargetMode="External"/><Relationship Id="rId129" Type="http://schemas.openxmlformats.org/officeDocument/2006/relationships/hyperlink" Target="https://www.sec.gov/Archives/edgar/data/313143/000110465921032760/tm218226d4_ex4-1.htm" TargetMode="External"/><Relationship Id="rId130" Type="http://schemas.openxmlformats.org/officeDocument/2006/relationships/hyperlink" Target="https://www.sec.gov/Archives/edgar/data/313143/000031314314000086/a2005long-termincentivepla.htm" TargetMode="External"/><Relationship Id="rId131" Type="http://schemas.openxmlformats.org/officeDocument/2006/relationships/hyperlink" Target="https://www.sec.gov/Archives/edgar/data/313143/000031314323000037/a8kex101-ar2019ltiplan8723.htm" TargetMode="External"/><Relationship Id="rId132" Type="http://schemas.openxmlformats.org/officeDocument/2006/relationships/hyperlink" Target="https://www.sec.gov/Archives/edgar/data/313143/000095012310054652/b80592exv10ws.htm" TargetMode="External"/><Relationship Id="rId133" Type="http://schemas.openxmlformats.org/officeDocument/2006/relationships/hyperlink" Target="https://www.sec.gov/Archives/edgar/data/313143/000031314318000052/haeq1jun2019ex102.htm" TargetMode="External"/><Relationship Id="rId134" Type="http://schemas.openxmlformats.org/officeDocument/2006/relationships/hyperlink" Target="https://www.sec.gov/Archives/edgar/data/313143/000031314319000053/haeq2sep2020ex104.htm" TargetMode="External"/><Relationship Id="rId135" Type="http://schemas.openxmlformats.org/officeDocument/2006/relationships/hyperlink" Target="https://www.sec.gov/Archives/edgar/data/313143/000031314323000041/haefy24q1junex103.htm" TargetMode="External"/><Relationship Id="rId136" Type="http://schemas.openxmlformats.org/officeDocument/2006/relationships/hyperlink" Target="https://www.sec.gov/Archives/edgar/data/313143/000031314319000053/haeq2sep2020ex102.htm" TargetMode="External"/><Relationship Id="rId137" Type="http://schemas.openxmlformats.org/officeDocument/2006/relationships/hyperlink" Target="https://www.sec.gov/Archives/edgar/data/313143/000031314319000053/haeq2sep2020ex103.htm" TargetMode="External"/><Relationship Id="rId138" Type="http://schemas.openxmlformats.org/officeDocument/2006/relationships/hyperlink" Target="https://www.sec.gov/Archives/edgar/data/313143/000031314323000041/haefy24q1junex102.htm" TargetMode="External"/><Relationship Id="rId139" Type="http://schemas.openxmlformats.org/officeDocument/2006/relationships/hyperlink" Target="https://www.sec.gov/Archives/edgar/data/313143/000031314319000053/haeq2sep2020ex105.htm" TargetMode="External"/><Relationship Id="rId140" Type="http://schemas.openxmlformats.org/officeDocument/2006/relationships/hyperlink" Target="https://www.sec.gov/Archives/edgar/data/313143/000031314323000041/haefy24q1junex104.htm" TargetMode="External"/><Relationship Id="rId141" Type="http://schemas.openxmlformats.org/officeDocument/2006/relationships/hyperlink" Target="https://www.sec.gov/Archives/edgar/data/313143/000031314316000143/haeq1jun2017ex102.htm" TargetMode="External"/><Relationship Id="rId142" Type="http://schemas.openxmlformats.org/officeDocument/2006/relationships/hyperlink" Target="https://www.sec.gov/Archives/edgar/data/313143/000031314316000123/exhibit101haemonetics-simo.htm" TargetMode="External"/><Relationship Id="rId145" Type="http://schemas.openxmlformats.org/officeDocument/2006/relationships/hyperlink" Target="https://www.sec.gov/Archives/edgar/data/313143/000031314317000044/haeq2sep2018ex104.htm" TargetMode="External"/><Relationship Id="rId146" Type="http://schemas.openxmlformats.org/officeDocument/2006/relationships/hyperlink" Target="https://www.sec.gov/Archives/edgar/data/313143/000031314317000044/haeq2sep2018ex105.htm" TargetMode="External"/><Relationship Id="rId147" Type="http://schemas.openxmlformats.org/officeDocument/2006/relationships/hyperlink" Target="https://www.sec.gov/Archives/edgar/data/313143/000031314317000044/haeq2sep2018ex102.htm" TargetMode="External"/><Relationship Id="rId148" Type="http://schemas.openxmlformats.org/officeDocument/2006/relationships/hyperlink" Target="https://www.sec.gov/Archives/edgar/data/313143/000031314317000044/haeq2sep2018ex103.htm" TargetMode="External"/><Relationship Id="rId149" Type="http://schemas.openxmlformats.org/officeDocument/2006/relationships/hyperlink" Target="https://www.sec.gov/Archives/edgar/data/313143/000031314323000041/haefy24q1junex101.htm" TargetMode="External"/><Relationship Id="rId150" Type="http://schemas.openxmlformats.org/officeDocument/2006/relationships/hyperlink" Target="https://www.sec.gov/Archives/edgar/data/313143/000031314318000058/haeq2sep2019ex101.htm" TargetMode="External"/><Relationship Id="rId151" Type="http://schemas.openxmlformats.org/officeDocument/2006/relationships/hyperlink" Target="https://www.sec.gov/Archives/edgar/data/313143/000031314324000007/ex104-haefy24q310xq.htm" TargetMode="External"/><Relationship Id="rId152" Type="http://schemas.openxmlformats.org/officeDocument/2006/relationships/hyperlink" Target="https://www.sec.gov/Archives/edgar/data/313143/000031314320000065/ex101toform10-qq1offis.htm" TargetMode="External"/><Relationship Id="rId153" Type="http://schemas.openxmlformats.org/officeDocument/2006/relationships/hyperlink" Target="https://www.sec.gov/Archives/edgar/data/313143/000031314321000010/ex101-firstamendmenttoclin.htm" TargetMode="External"/><Relationship Id="rId154" Type="http://schemas.openxmlformats.org/officeDocument/2006/relationships/hyperlink" Target="https://www.sec.gov/Archives/edgar/data/313143/000031314313000085/a10jleasebbva_ensatec2x21x.htm" TargetMode="External"/><Relationship Id="rId155" Type="http://schemas.openxmlformats.org/officeDocument/2006/relationships/hyperlink" Target="https://www.sec.gov/Archives/edgar/data/313143/000031314313000085/a10kbbvaensatec11730tijuan.htm" TargetMode="External"/><Relationship Id="rId156" Type="http://schemas.openxmlformats.org/officeDocument/2006/relationships/hyperlink" Target="https://www.sec.gov/Archives/edgar/data/313143/000031314313000085/a10lextleasefeb212000ensat.htm" TargetMode="External"/><Relationship Id="rId157" Type="http://schemas.openxmlformats.org/officeDocument/2006/relationships/hyperlink" Target="https://www.sec.gov/Archives/edgar/data/313143/000031314313000085/a10mbbvaletteragreeaug1420.htm" TargetMode="External"/><Relationship Id="rId158" Type="http://schemas.openxmlformats.org/officeDocument/2006/relationships/hyperlink" Target="https://www.sec.gov/Archives/edgar/data/313143/000031314313000085/a10n11730tijuianaletterfeb.htm" TargetMode="External"/><Relationship Id="rId159" Type="http://schemas.openxmlformats.org/officeDocument/2006/relationships/hyperlink" Target="https://www.sec.gov/Archives/edgar/data/313143/000031314318000020/fy2018exh10r.htm" TargetMode="External"/><Relationship Id="rId160" Type="http://schemas.openxmlformats.org/officeDocument/2006/relationships/hyperlink" Target="https://www.sec.gov/Archives/edgar/data/313143/000031314324000007/ex103-haefy24q310xq.htm" TargetMode="External"/><Relationship Id="rId162" Type="http://schemas.openxmlformats.org/officeDocument/2006/relationships/hyperlink" Target="https://www.sec.gov/Archives/edgar/data/313143/000031314313000085/a10wcolungaleaseagreedec32.htm" TargetMode="External"/><Relationship Id="rId163" Type="http://schemas.openxmlformats.org/officeDocument/2006/relationships/hyperlink" Target="https://www.sec.gov/Archives/edgar/data/313143/000031314313000085/a10xcolungaassignleasedec2.htm" TargetMode="External"/><Relationship Id="rId164" Type="http://schemas.openxmlformats.org/officeDocument/2006/relationships/hyperlink" Target="https://www.sec.gov/Archives/edgar/data/313143/000031314318000020/fy2018exh10u.htm" TargetMode="External"/><Relationship Id="rId165" Type="http://schemas.openxmlformats.org/officeDocument/2006/relationships/hyperlink" Target="https://www.sec.gov/Archives/edgar/data/313143/000031314322000052/haeq1june2022ex101.htm" TargetMode="External"/><Relationship Id="rId166" Type="http://schemas.openxmlformats.org/officeDocument/2006/relationships/hyperlink" Target="https://www.sec.gov/Archives/edgar/data/313143/000031314314000097/haeq1june2015exhibit10dpen.htm" TargetMode="External"/><Relationship Id="rId167" Type="http://schemas.openxmlformats.org/officeDocument/2006/relationships/hyperlink" Target="https://www.sec.gov/Archives/edgar/data/0001520325/000119312521001047/d833938dex1023.htm" TargetMode="External"/><Relationship Id="rId168" Type="http://schemas.openxmlformats.org/officeDocument/2006/relationships/hyperlink" Target="https://www.sec.gov/Archives/edgar/data/1520325/000119312521001047/d833938dex1023.htm" TargetMode="External"/><Relationship Id="rId169" Type="http://schemas.openxmlformats.org/officeDocument/2006/relationships/hyperlink" Target="https://www.sec.gov/Archives/edgar/data/313143/000031314322000061/haefy23q2ex102.htm" TargetMode="External"/><Relationship Id="rId170" Type="http://schemas.openxmlformats.org/officeDocument/2006/relationships/hyperlink" Target="https://www.sec.gov/Archives/edgar/data/313143/000095010324006128/dp210533_ex1001.htm" TargetMode="External"/><Relationship Id="rId171" Type="http://schemas.openxmlformats.org/officeDocument/2006/relationships/hyperlink" Target="https://www.sec.gov/Archives/edgar/data/313143/000110465921032760/tm218226d4_ex10-1.htm" TargetMode="External"/><Relationship Id="rId172" Type="http://schemas.openxmlformats.org/officeDocument/2006/relationships/hyperlink" Target="https://www.sec.gov/Archives/edgar/data/313143/000110465921037152/tm219747d1_ex10-1.htm" TargetMode="External"/><Relationship Id="rId173" Type="http://schemas.openxmlformats.org/officeDocument/2006/relationships/hyperlink" Target="https://www.sec.gov/Archives/edgar/data/313143/000031314323000051/exhibit101-formofvotingsu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2024-05-20T05:30:55Z</dcterms:created>
  <dcterms:modified xsi:type="dcterms:W3CDTF">2024-05-20T05:30:55Z</dcterms:modified>
</cp:coreProperties>
</file>