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120" w:after="12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2"/>
        </w:rPr>
        <w:t xml:space="preserve">Date of Report (Date of earliest event reported): </w:t>
      </w:r>
      <w:r>
        <w:rPr>
          <w:rFonts w:ascii="Times New Roman;serif" w:hAnsi="Times New Roman;serif"/>
          <w:b/>
          <w:color w:val="000000"/>
          <w:sz w:val="22"/>
        </w:rPr>
        <w:t>July 24, 2026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HAEMONETICS CORPORATION </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6847" w:type="dxa"/>
        <w:jc w:val="center"/>
        <w:tblInd w:w="0" w:type="dxa"/>
        <w:tblLayout w:type="fixed"/>
        <w:tblCellMar>
          <w:top w:w="28" w:type="dxa"/>
          <w:left w:w="28" w:type="dxa"/>
          <w:bottom w:w="28" w:type="dxa"/>
          <w:right w:w="28" w:type="dxa"/>
        </w:tblCellMar>
      </w:tblPr>
      <w:tblGrid>
        <w:gridCol w:w="814"/>
        <w:gridCol w:w="717"/>
        <w:gridCol w:w="719"/>
        <w:gridCol w:w="109"/>
        <w:gridCol w:w="109"/>
        <w:gridCol w:w="109"/>
        <w:gridCol w:w="762"/>
        <w:gridCol w:w="762"/>
        <w:gridCol w:w="770"/>
        <w:gridCol w:w="109"/>
        <w:gridCol w:w="109"/>
        <w:gridCol w:w="109"/>
        <w:gridCol w:w="481"/>
        <w:gridCol w:w="481"/>
        <w:gridCol w:w="687"/>
      </w:tblGrid>
      <w:tr>
        <w:trPr/>
        <w:tc>
          <w:tcPr>
            <w:tcW w:w="814"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Massachusetts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001-14041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04-2882273</w:t>
            </w:r>
          </w:p>
        </w:tc>
      </w:tr>
      <w:tr>
        <w:trPr/>
        <w:tc>
          <w:tcPr>
            <w:tcW w:w="2250" w:type="dxa"/>
            <w:gridSpan w:val="3"/>
            <w:tcBorders/>
            <w:tcMar>
              <w:top w:w="0" w:type="dxa"/>
              <w:left w:w="0" w:type="dxa"/>
              <w:bottom w:w="0" w:type="dxa"/>
              <w:right w:w="0" w:type="dxa"/>
            </w:tcMar>
            <w:vAlign w:val="center"/>
          </w:tcPr>
          <w:p>
            <w:pPr>
              <w:pStyle w:val="TableContents"/>
              <w:bidi w:val="0"/>
              <w:spacing w:lineRule="auto" w:line="288" w:before="4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p>
            <w:pPr>
              <w:pStyle w:val="TableContents"/>
              <w:bidi w:val="0"/>
              <w:spacing w:lineRule="auto" w:line="288" w:before="0" w:after="40"/>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4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88" w:before="0" w:after="4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125 Summer Street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Boston, MA 02110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including zip code)</w:t>
      </w:r>
    </w:p>
    <w:p>
      <w:pPr>
        <w:pStyle w:val="TextBody"/>
        <w:bidi w:val="0"/>
        <w:spacing w:lineRule="auto" w:line="288" w:before="120" w:after="24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 xml:space="preserve">781-848-7100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bl>
      <w:tblPr>
        <w:tblW w:w="10205" w:type="dxa"/>
        <w:jc w:val="center"/>
        <w:tblInd w:w="0" w:type="dxa"/>
        <w:tblLayout w:type="fixed"/>
        <w:tblCellMar>
          <w:top w:w="28" w:type="dxa"/>
          <w:left w:w="28" w:type="dxa"/>
          <w:bottom w:w="28" w:type="dxa"/>
          <w:right w:w="28" w:type="dxa"/>
        </w:tblCellMar>
      </w:tblPr>
      <w:tblGrid>
        <w:gridCol w:w="1681"/>
        <w:gridCol w:w="1478"/>
        <w:gridCol w:w="1478"/>
        <w:gridCol w:w="1976"/>
        <w:gridCol w:w="1478"/>
        <w:gridCol w:w="2114"/>
      </w:tblGrid>
      <w:tr>
        <w:trPr/>
        <w:tc>
          <w:tcPr>
            <w:tcW w:w="1681"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976"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2114"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Check the appropriate box below if the Form 8-K filing is intended to simultaneously satisfy the filing obligation of the registrant under any of the following provisions (see General Instruction A.2. below):</w:t>
            </w:r>
          </w:p>
        </w:tc>
      </w:tr>
      <w:tr>
        <w:trPr/>
        <w:tc>
          <w:tcPr>
            <w:tcW w:w="4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5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463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5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463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5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463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5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tbl>
      <w:tblPr>
        <w:tblW w:w="10109" w:type="dxa"/>
        <w:jc w:val="center"/>
        <w:tblInd w:w="0" w:type="dxa"/>
        <w:tblLayout w:type="fixed"/>
        <w:tblCellMar>
          <w:top w:w="28" w:type="dxa"/>
          <w:left w:w="28" w:type="dxa"/>
          <w:bottom w:w="28" w:type="dxa"/>
          <w:right w:w="28" w:type="dxa"/>
        </w:tblCellMar>
      </w:tblPr>
      <w:tblGrid>
        <w:gridCol w:w="1420"/>
        <w:gridCol w:w="1255"/>
        <w:gridCol w:w="1255"/>
        <w:gridCol w:w="620"/>
        <w:gridCol w:w="620"/>
        <w:gridCol w:w="620"/>
        <w:gridCol w:w="1258"/>
        <w:gridCol w:w="1258"/>
        <w:gridCol w:w="1803"/>
      </w:tblGrid>
      <w:tr>
        <w:trPr/>
        <w:tc>
          <w:tcPr>
            <w:tcW w:w="1420"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r>
      <w:tr>
        <w:trPr/>
        <w:tc>
          <w:tcPr>
            <w:tcW w:w="1010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Securities registered pursuant to Section 12(b) of the Act:</w:t>
            </w:r>
          </w:p>
        </w:tc>
      </w:tr>
      <w:tr>
        <w:trPr/>
        <w:tc>
          <w:tcPr>
            <w:tcW w:w="1010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Title of each class</w:t>
            </w:r>
          </w:p>
        </w:tc>
        <w:tc>
          <w:tcPr>
            <w:tcW w:w="186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Trading Symbol(s)</w:t>
            </w:r>
          </w:p>
        </w:tc>
        <w:tc>
          <w:tcPr>
            <w:tcW w:w="431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Name of each exchange on which registered</w:t>
            </w:r>
          </w:p>
        </w:tc>
      </w:tr>
      <w:tr>
        <w:trPr/>
        <w:tc>
          <w:tcPr>
            <w:tcW w:w="3930"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Common stock, $.01 par value per share</w:t>
            </w:r>
          </w:p>
        </w:tc>
        <w:tc>
          <w:tcPr>
            <w:tcW w:w="1860"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HAE</w:t>
            </w:r>
          </w:p>
        </w:tc>
        <w:tc>
          <w:tcPr>
            <w:tcW w:w="4319"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New York Stock Exchange</w:t>
            </w:r>
          </w:p>
        </w:tc>
      </w:tr>
    </w:tbl>
    <w:tbl>
      <w:tblPr>
        <w:tblW w:w="10205" w:type="dxa"/>
        <w:jc w:val="center"/>
        <w:tblInd w:w="0" w:type="dxa"/>
        <w:tblLayout w:type="fixed"/>
        <w:tblCellMar>
          <w:top w:w="28" w:type="dxa"/>
          <w:left w:w="28" w:type="dxa"/>
          <w:bottom w:w="28" w:type="dxa"/>
          <w:right w:w="28" w:type="dxa"/>
        </w:tblCellMar>
      </w:tblPr>
      <w:tblGrid>
        <w:gridCol w:w="3264"/>
        <w:gridCol w:w="2870"/>
        <w:gridCol w:w="4071"/>
      </w:tblGrid>
      <w:tr>
        <w:trPr/>
        <w:tc>
          <w:tcPr>
            <w:tcW w:w="3264"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4071"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Indicate by check mark whether the registrant is an emerging growth company as defined in Rule 405 of the Securities Act of 1933 (§230.405 of this chapter) or Rule 12b-2 of the Securities Exchange Act of 1934 (§240.12b-2 of this chapter).</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40" w:after="40"/>
              <w:jc w:val="left"/>
              <w:rPr>
                <w:rFonts w:ascii="Times New Roman;serif" w:hAnsi="Times New Roman;serif"/>
                <w:b w:val="false"/>
                <w:color w:val="000000"/>
                <w:sz w:val="22"/>
              </w:rPr>
            </w:pPr>
            <w:r>
              <w:rPr>
                <w:rFonts w:ascii="Times New Roman;serif" w:hAnsi="Times New Roman;serif"/>
                <w:b w:val="false"/>
                <w:color w:val="000000"/>
                <w:sz w:val="22"/>
              </w:rPr>
              <w:t>Emerging Growth Company</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40" w:after="40"/>
              <w:jc w:val="left"/>
              <w:rPr/>
            </w:pPr>
            <w:r>
              <w:rPr>
                <w:rFonts w:ascii="Times New Roman;serif" w:hAnsi="Times New Roman;serif"/>
                <w:b w:val="false"/>
                <w:color w:val="000000"/>
                <w:sz w:val="22"/>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On July 24, 2026, the Board of Directors of Haemonetics Corporation (the “Company”) elected Martin Madaus as a director of the Company, effective immediately. Dr. Madaus currently serves as Senior Operating Executive at The Carlyle Group, where since 2019 he has advised on healthcare investments and portfolio company performance.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Dr. Madaus, who will stand for election by shareholders at the Company’s 2027 annual meeting of shareholders, is expected to be appointed to serve on the Audit Committee and the Governance and Compliance Committee of the Board of Directors. As a non-employee director of the Company, Dr. Madaus will receive compensation as described in the “Directors’ Compensation” section of the Company’s definitive proxy statement for the 2026 annual meeting of shareholders, with an annual equity award having an approximate value of $200,000. Dr. Madaus will also enter into the Company’s standard form of indemnification agreement, the form of which was previously filed as Exhibit 10.1 to the Company’s Quarterly Report on Form 10-Q for the quarterly period ended September 29, 2018.</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 copy of the Company’s press release announcing the election of Dr. Madaus is filed as Exhibit 99.1 to this Current Report on Form 8-K.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described in Item 5.07 below, on July 24, 2026, the shareholders of the Company approved an amendment and restatement of the Haemonetics Corporation Amended and Restated 2019 Long-Term Incentive Compensation Plan (the “Amended Plan”), which authorizes 4,680,000 additional shares for issuance under the Amended Plan, extends the term of the Amended Plan through 2036 and makes certain other technical, immaterial and conforming changes.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 description of the material terms and conditions of the Amended Plan is provided in Item 4 of the Company’s definitive proxy statement for the 2026 annual meeting of shareholders, which was filed with the Securities and Exchange Commission on June 9, 2026 and is incorporated herein by reference.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foregoing description of the Amended Plan is qualified in its entirety by reference to a full and complete copy of the Amended Plan, which is filed as Exhibit 10.1 to this Current Report on Form 8-K and is incorporated herein by reference.</w:t>
      </w:r>
    </w:p>
    <w:p>
      <w:pPr>
        <w:pStyle w:val="TextBody"/>
        <w:bidi w:val="0"/>
        <w:spacing w:before="0" w:after="0"/>
        <w:jc w:val="left"/>
        <w:rPr/>
      </w:pPr>
      <w:r>
        <w:rPr/>
      </w:r>
    </w:p>
    <w:p>
      <w:pPr>
        <w:pStyle w:val="TextBody"/>
        <w:bidi w:val="0"/>
        <w:spacing w:lineRule="auto" w:line="256" w:before="0" w:after="0"/>
        <w:jc w:val="left"/>
        <w:rPr/>
      </w:pPr>
      <w:r>
        <w:rPr>
          <w:rFonts w:ascii="Times New Roman;serif" w:hAnsi="Times New Roman;serif"/>
          <w:b w:val="false"/>
          <w:color w:val="000000"/>
          <w:sz w:val="22"/>
        </w:rPr>
        <w:t>As described in Item 5.07 below, on July 24, 2026, the shareholders of the Company also approved an amendment and restatement of the Haemonetics Corporation Amended and Restated 2007 Employee Stock Purchase Plan (as amended, the “ESPP”), which extends the term of the ESPP through 2036 and makes certain other technical, immaterial and conforming changes.</w:t>
      </w:r>
      <w:r>
        <w:rPr>
          <w:color w:val="000000"/>
        </w:rPr>
        <w:t xml:space="preserve"> </w:t>
      </w:r>
      <w:r>
        <w:rPr>
          <w:rFonts w:ascii="Times New Roman;serif" w:hAnsi="Times New Roman;serif"/>
          <w:b w:val="false"/>
          <w:color w:val="000000"/>
          <w:sz w:val="22"/>
        </w:rPr>
        <w:t>A description of the material terms and conditions of the ESPP is provided in Item 5 of the Company’s definitive proxy statement for the 2026 annual meeting of shareholders, which was filed with the Securities and Exchange Commission on June 9, 2026 and is incorporated herein by reference.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foregoing description of the ESPP is qualified in its entirety by reference to a full and complete copy of the ESPP, which is filed as Exhibit 10.2 to this Current Report on Form 8-K and is incorporated herein by reference.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Item 5.07 Submission of Matters to a Vote of Security Holders.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2026 annual meeting of shareholders of Haemonetics Corporation (the “Company”) was held on Friday, July 24, 2026. Of the 45,445,983 shares outstanding and entitled to vote at the meeting, 42,051,106 shares were represented at the meeting, constituting a quorum of 92.53%.</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results of the votes for each proposal considered at the meeting are set forth below: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1. The shareholders elected each of Christopher A. Simon, Robert E. Abernathy, Diane M. Bryant, Michael J.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Coyle, Lloyd E. Johnson, Mark W. Kroll, Claire Pomeroy and Ellen M. Zane as directors for one-year terms expiring in 2027 based upon the following votes:</w:t>
      </w:r>
    </w:p>
    <w:p>
      <w:pPr>
        <w:pStyle w:val="TextBody"/>
        <w:bidi w:val="0"/>
        <w:spacing w:before="0" w:after="0"/>
        <w:jc w:val="left"/>
        <w:rPr/>
      </w:pPr>
      <w:r>
        <w:rPr/>
      </w:r>
    </w:p>
    <w:tbl>
      <w:tblPr>
        <w:tblW w:w="7341" w:type="dxa"/>
        <w:jc w:val="left"/>
        <w:tblInd w:w="0" w:type="dxa"/>
        <w:tblLayout w:type="fixed"/>
        <w:tblCellMar>
          <w:top w:w="28" w:type="dxa"/>
          <w:left w:w="28" w:type="dxa"/>
          <w:bottom w:w="28" w:type="dxa"/>
          <w:right w:w="28" w:type="dxa"/>
        </w:tblCellMar>
      </w:tblPr>
      <w:tblGrid>
        <w:gridCol w:w="781"/>
        <w:gridCol w:w="685"/>
        <w:gridCol w:w="693"/>
        <w:gridCol w:w="109"/>
        <w:gridCol w:w="109"/>
        <w:gridCol w:w="109"/>
        <w:gridCol w:w="394"/>
        <w:gridCol w:w="394"/>
        <w:gridCol w:w="398"/>
        <w:gridCol w:w="109"/>
        <w:gridCol w:w="109"/>
        <w:gridCol w:w="109"/>
        <w:gridCol w:w="354"/>
        <w:gridCol w:w="354"/>
        <w:gridCol w:w="358"/>
        <w:gridCol w:w="109"/>
        <w:gridCol w:w="109"/>
        <w:gridCol w:w="109"/>
        <w:gridCol w:w="570"/>
        <w:gridCol w:w="570"/>
        <w:gridCol w:w="809"/>
      </w:tblGrid>
      <w:tr>
        <w:trPr/>
        <w:tc>
          <w:tcPr>
            <w:tcW w:w="781"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u w:val="single"/>
              </w:rPr>
            </w:pPr>
            <w:r>
              <w:rPr>
                <w:rFonts w:ascii="Times New Roman;serif" w:hAnsi="Times New Roman;serif"/>
                <w:b/>
                <w:color w:val="000000"/>
                <w:sz w:val="22"/>
                <w:u w:val="single"/>
              </w:rPr>
              <w:t>Nominees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u w:val="single"/>
              </w:rPr>
            </w:pPr>
            <w:r>
              <w:rPr>
                <w:rFonts w:ascii="Times New Roman;serif" w:hAnsi="Times New Roman;serif"/>
                <w:b/>
                <w:color w:val="000000"/>
                <w:sz w:val="22"/>
                <w:u w:val="single"/>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u w:val="single"/>
              </w:rPr>
            </w:pPr>
            <w:r>
              <w:rPr>
                <w:rFonts w:ascii="Times New Roman;serif" w:hAnsi="Times New Roman;serif"/>
                <w:b/>
                <w:color w:val="000000"/>
                <w:sz w:val="22"/>
                <w:u w:val="single"/>
              </w:rPr>
              <w:t>Withhold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u w:val="single"/>
              </w:rPr>
            </w:pPr>
            <w:r>
              <w:rPr>
                <w:rFonts w:ascii="Times New Roman;serif" w:hAnsi="Times New Roman;serif"/>
                <w:b/>
                <w:color w:val="000000"/>
                <w:sz w:val="22"/>
                <w:u w:val="single"/>
              </w:rPr>
              <w:t>Broker Non-Votes</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Christopher A. Simon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39,671,163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164,476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2,215,467</w:t>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Robert E. Abernathy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39,223,620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612,019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2,215,467</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Diane M. Bryant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39,702,050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133,589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2,215,467</w:t>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Michael J. Coyle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39,633,794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201,845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2,215,467</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Lloyd E. Johnson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39,241,021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594,618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2,215,467</w:t>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Mark W. Kroll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39,232,256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603,383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2,215,467</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Claire Pomeroy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39,624,390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211,249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2,215,467</w:t>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Ellen M. Zane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38,813,643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1,021,996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2,215,467</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2. The shareholders approved, on an advisory basis, the compensation of the Company’s named executive officers based upon the following votes:</w:t>
      </w:r>
    </w:p>
    <w:p>
      <w:pPr>
        <w:pStyle w:val="TextBody"/>
        <w:bidi w:val="0"/>
        <w:spacing w:before="0" w:after="0"/>
        <w:jc w:val="left"/>
        <w:rPr/>
      </w:pPr>
      <w:r>
        <w:rPr/>
      </w:r>
    </w:p>
    <w:tbl>
      <w:tblPr>
        <w:tblW w:w="5873" w:type="dxa"/>
        <w:jc w:val="left"/>
        <w:tblInd w:w="0" w:type="dxa"/>
        <w:tblLayout w:type="fixed"/>
        <w:tblCellMar>
          <w:top w:w="28" w:type="dxa"/>
          <w:left w:w="28" w:type="dxa"/>
          <w:bottom w:w="28" w:type="dxa"/>
          <w:right w:w="28" w:type="dxa"/>
        </w:tblCellMar>
      </w:tblPr>
      <w:tblGrid>
        <w:gridCol w:w="434"/>
        <w:gridCol w:w="382"/>
        <w:gridCol w:w="385"/>
        <w:gridCol w:w="109"/>
        <w:gridCol w:w="109"/>
        <w:gridCol w:w="109"/>
        <w:gridCol w:w="294"/>
        <w:gridCol w:w="294"/>
        <w:gridCol w:w="298"/>
        <w:gridCol w:w="109"/>
        <w:gridCol w:w="109"/>
        <w:gridCol w:w="109"/>
        <w:gridCol w:w="285"/>
        <w:gridCol w:w="285"/>
        <w:gridCol w:w="286"/>
        <w:gridCol w:w="109"/>
        <w:gridCol w:w="109"/>
        <w:gridCol w:w="109"/>
        <w:gridCol w:w="570"/>
        <w:gridCol w:w="570"/>
        <w:gridCol w:w="809"/>
      </w:tblGrid>
      <w:tr>
        <w:trPr/>
        <w:tc>
          <w:tcPr>
            <w:tcW w:w="434"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u w:val="single"/>
              </w:rPr>
            </w:pPr>
            <w:r>
              <w:rPr>
                <w:rFonts w:ascii="Times New Roman;serif" w:hAnsi="Times New Roman;serif"/>
                <w:b/>
                <w:color w:val="000000"/>
                <w:sz w:val="22"/>
                <w:u w:val="single"/>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u w:val="single"/>
              </w:rPr>
            </w:pPr>
            <w:r>
              <w:rPr>
                <w:rFonts w:ascii="Times New Roman;serif" w:hAnsi="Times New Roman;serif"/>
                <w:b/>
                <w:color w:val="000000"/>
                <w:sz w:val="22"/>
                <w:u w:val="single"/>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u w:val="single"/>
              </w:rPr>
            </w:pPr>
            <w:r>
              <w:rPr>
                <w:rFonts w:ascii="Times New Roman;serif" w:hAnsi="Times New Roman;serif"/>
                <w:b/>
                <w:color w:val="000000"/>
                <w:sz w:val="22"/>
                <w:u w:val="single"/>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u w:val="single"/>
              </w:rPr>
            </w:pPr>
            <w:r>
              <w:rPr>
                <w:rFonts w:ascii="Times New Roman;serif" w:hAnsi="Times New Roman;serif"/>
                <w:b/>
                <w:color w:val="000000"/>
                <w:sz w:val="22"/>
                <w:u w:val="single"/>
              </w:rPr>
              <w:t>Broker Non-Votes</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39,212,253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572,620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50,766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2,215,467</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3. The shareholders ratified the appointment of Ernst &amp; Young LLP as the Company’s independent registered public accounting firm for the fiscal year ending April 3, 2027 based upon the following votes:</w:t>
      </w:r>
    </w:p>
    <w:p>
      <w:pPr>
        <w:pStyle w:val="TextBody"/>
        <w:bidi w:val="0"/>
        <w:spacing w:before="0" w:after="0"/>
        <w:jc w:val="left"/>
        <w:rPr/>
      </w:pPr>
      <w:r>
        <w:rPr/>
      </w:r>
    </w:p>
    <w:tbl>
      <w:tblPr>
        <w:tblW w:w="4296" w:type="dxa"/>
        <w:jc w:val="left"/>
        <w:tblInd w:w="0" w:type="dxa"/>
        <w:tblLayout w:type="fixed"/>
        <w:tblCellMar>
          <w:top w:w="28" w:type="dxa"/>
          <w:left w:w="28" w:type="dxa"/>
          <w:bottom w:w="28" w:type="dxa"/>
          <w:right w:w="28" w:type="dxa"/>
        </w:tblCellMar>
      </w:tblPr>
      <w:tblGrid>
        <w:gridCol w:w="434"/>
        <w:gridCol w:w="382"/>
        <w:gridCol w:w="385"/>
        <w:gridCol w:w="109"/>
        <w:gridCol w:w="109"/>
        <w:gridCol w:w="109"/>
        <w:gridCol w:w="294"/>
        <w:gridCol w:w="294"/>
        <w:gridCol w:w="298"/>
        <w:gridCol w:w="109"/>
        <w:gridCol w:w="109"/>
        <w:gridCol w:w="109"/>
        <w:gridCol w:w="285"/>
        <w:gridCol w:w="285"/>
        <w:gridCol w:w="286"/>
        <w:gridCol w:w="109"/>
        <w:gridCol w:w="109"/>
        <w:gridCol w:w="109"/>
        <w:gridCol w:w="109"/>
        <w:gridCol w:w="109"/>
        <w:gridCol w:w="154"/>
      </w:tblGrid>
      <w:tr>
        <w:trPr/>
        <w:tc>
          <w:tcPr>
            <w:tcW w:w="434"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u w:val="single"/>
              </w:rPr>
            </w:pPr>
            <w:r>
              <w:rPr>
                <w:rFonts w:ascii="Times New Roman;serif" w:hAnsi="Times New Roman;serif"/>
                <w:b/>
                <w:color w:val="000000"/>
                <w:sz w:val="22"/>
                <w:u w:val="single"/>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u w:val="single"/>
              </w:rPr>
            </w:pPr>
            <w:r>
              <w:rPr>
                <w:rFonts w:ascii="Times New Roman;serif" w:hAnsi="Times New Roman;serif"/>
                <w:b/>
                <w:color w:val="000000"/>
                <w:sz w:val="22"/>
                <w:u w:val="single"/>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u w:val="single"/>
              </w:rPr>
            </w:pPr>
            <w:r>
              <w:rPr>
                <w:rFonts w:ascii="Times New Roman;serif" w:hAnsi="Times New Roman;serif"/>
                <w:b/>
                <w:color w:val="000000"/>
                <w:sz w:val="22"/>
                <w:u w:val="single"/>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41,321,226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716,413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13,467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56" w:before="0" w:after="0"/>
        <w:jc w:val="left"/>
        <w:rPr>
          <w:rFonts w:ascii="Times New Roman;serif" w:hAnsi="Times New Roman;serif"/>
          <w:b w:val="false"/>
          <w:color w:val="000000"/>
          <w:sz w:val="22"/>
        </w:rPr>
      </w:pPr>
      <w:r>
        <w:rPr>
          <w:rFonts w:ascii="Times New Roman;serif" w:hAnsi="Times New Roman;serif"/>
          <w:b w:val="false"/>
          <w:color w:val="000000"/>
          <w:sz w:val="22"/>
        </w:rPr>
        <w:t>4. The shareholders approved a proposal to adopt an amendment and restatement of the Haemonetics Corporation Amended and Restated 2019 Long-Term Incentive Compensation Plan based upon the following votes:</w:t>
      </w:r>
    </w:p>
    <w:p>
      <w:pPr>
        <w:pStyle w:val="TextBody"/>
        <w:bidi w:val="0"/>
        <w:spacing w:before="0" w:after="0"/>
        <w:jc w:val="left"/>
        <w:rPr/>
      </w:pPr>
      <w:r>
        <w:rPr/>
      </w:r>
    </w:p>
    <w:tbl>
      <w:tblPr>
        <w:tblW w:w="6053" w:type="dxa"/>
        <w:jc w:val="left"/>
        <w:tblInd w:w="0" w:type="dxa"/>
        <w:tblLayout w:type="fixed"/>
        <w:tblCellMar>
          <w:top w:w="28" w:type="dxa"/>
          <w:left w:w="28" w:type="dxa"/>
          <w:bottom w:w="28" w:type="dxa"/>
          <w:right w:w="28" w:type="dxa"/>
        </w:tblCellMar>
      </w:tblPr>
      <w:tblGrid>
        <w:gridCol w:w="434"/>
        <w:gridCol w:w="382"/>
        <w:gridCol w:w="385"/>
        <w:gridCol w:w="109"/>
        <w:gridCol w:w="109"/>
        <w:gridCol w:w="109"/>
        <w:gridCol w:w="354"/>
        <w:gridCol w:w="354"/>
        <w:gridCol w:w="358"/>
        <w:gridCol w:w="109"/>
        <w:gridCol w:w="109"/>
        <w:gridCol w:w="109"/>
        <w:gridCol w:w="285"/>
        <w:gridCol w:w="285"/>
        <w:gridCol w:w="286"/>
        <w:gridCol w:w="109"/>
        <w:gridCol w:w="109"/>
        <w:gridCol w:w="109"/>
        <w:gridCol w:w="570"/>
        <w:gridCol w:w="570"/>
        <w:gridCol w:w="809"/>
      </w:tblGrid>
      <w:tr>
        <w:trPr/>
        <w:tc>
          <w:tcPr>
            <w:tcW w:w="434"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u w:val="single"/>
              </w:rPr>
            </w:pPr>
            <w:r>
              <w:rPr>
                <w:rFonts w:ascii="Times New Roman;serif" w:hAnsi="Times New Roman;serif"/>
                <w:b/>
                <w:color w:val="000000"/>
                <w:sz w:val="22"/>
                <w:u w:val="single"/>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u w:val="single"/>
              </w:rPr>
            </w:pPr>
            <w:r>
              <w:rPr>
                <w:rFonts w:ascii="Times New Roman;serif" w:hAnsi="Times New Roman;serif"/>
                <w:b/>
                <w:color w:val="000000"/>
                <w:sz w:val="22"/>
                <w:u w:val="single"/>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u w:val="single"/>
              </w:rPr>
            </w:pPr>
            <w:r>
              <w:rPr>
                <w:rFonts w:ascii="Times New Roman;serif" w:hAnsi="Times New Roman;serif"/>
                <w:b/>
                <w:color w:val="000000"/>
                <w:sz w:val="22"/>
                <w:u w:val="single"/>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u w:val="single"/>
              </w:rPr>
            </w:pPr>
            <w:r>
              <w:rPr>
                <w:rFonts w:ascii="Times New Roman;serif" w:hAnsi="Times New Roman;serif"/>
                <w:b/>
                <w:color w:val="000000"/>
                <w:sz w:val="22"/>
                <w:u w:val="single"/>
              </w:rPr>
              <w:t>Broker Non-Votes</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37,730,923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2,055,726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48,989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2,215,468</w:t>
            </w:r>
          </w:p>
        </w:tc>
      </w:tr>
    </w:tbl>
    <w:p>
      <w:pPr>
        <w:pStyle w:val="TextBody"/>
        <w:bidi w:val="0"/>
        <w:spacing w:before="0" w:after="0"/>
        <w:jc w:val="left"/>
        <w:rPr/>
      </w:pPr>
      <w:r>
        <w:rPr/>
      </w:r>
    </w:p>
    <w:p>
      <w:pPr>
        <w:pStyle w:val="TextBody"/>
        <w:bidi w:val="0"/>
        <w:spacing w:lineRule="auto" w:line="256" w:before="0" w:after="0"/>
        <w:jc w:val="left"/>
        <w:rPr>
          <w:rFonts w:ascii="Times New Roman;serif" w:hAnsi="Times New Roman;serif"/>
          <w:b w:val="false"/>
          <w:color w:val="000000"/>
          <w:sz w:val="22"/>
        </w:rPr>
      </w:pPr>
      <w:r>
        <w:rPr>
          <w:rFonts w:ascii="Times New Roman;serif" w:hAnsi="Times New Roman;serif"/>
          <w:b w:val="false"/>
          <w:color w:val="000000"/>
          <w:sz w:val="22"/>
        </w:rPr>
        <w:t>5. The shareholders approved a proposal to adopt an amendment and restatement of the Haemonetics Corporation Amended and Restated 2007 Employee Stock Purchase Plan based upon the following votes:</w:t>
      </w:r>
    </w:p>
    <w:p>
      <w:pPr>
        <w:pStyle w:val="TextBody"/>
        <w:bidi w:val="0"/>
        <w:spacing w:before="0" w:after="0"/>
        <w:jc w:val="left"/>
        <w:rPr/>
      </w:pPr>
      <w:r>
        <w:rPr/>
      </w:r>
    </w:p>
    <w:tbl>
      <w:tblPr>
        <w:tblW w:w="5843" w:type="dxa"/>
        <w:jc w:val="left"/>
        <w:tblInd w:w="0" w:type="dxa"/>
        <w:tblLayout w:type="fixed"/>
        <w:tblCellMar>
          <w:top w:w="28" w:type="dxa"/>
          <w:left w:w="28" w:type="dxa"/>
          <w:bottom w:w="28" w:type="dxa"/>
          <w:right w:w="28" w:type="dxa"/>
        </w:tblCellMar>
      </w:tblPr>
      <w:tblGrid>
        <w:gridCol w:w="434"/>
        <w:gridCol w:w="382"/>
        <w:gridCol w:w="385"/>
        <w:gridCol w:w="109"/>
        <w:gridCol w:w="109"/>
        <w:gridCol w:w="109"/>
        <w:gridCol w:w="285"/>
        <w:gridCol w:w="285"/>
        <w:gridCol w:w="286"/>
        <w:gridCol w:w="109"/>
        <w:gridCol w:w="109"/>
        <w:gridCol w:w="109"/>
        <w:gridCol w:w="285"/>
        <w:gridCol w:w="285"/>
        <w:gridCol w:w="286"/>
        <w:gridCol w:w="109"/>
        <w:gridCol w:w="109"/>
        <w:gridCol w:w="109"/>
        <w:gridCol w:w="570"/>
        <w:gridCol w:w="570"/>
        <w:gridCol w:w="809"/>
      </w:tblGrid>
      <w:tr>
        <w:trPr/>
        <w:tc>
          <w:tcPr>
            <w:tcW w:w="434"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u w:val="single"/>
              </w:rPr>
            </w:pPr>
            <w:r>
              <w:rPr>
                <w:rFonts w:ascii="Times New Roman;serif" w:hAnsi="Times New Roman;serif"/>
                <w:b/>
                <w:color w:val="000000"/>
                <w:sz w:val="22"/>
                <w:u w:val="single"/>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u w:val="single"/>
              </w:rPr>
            </w:pPr>
            <w:r>
              <w:rPr>
                <w:rFonts w:ascii="Times New Roman;serif" w:hAnsi="Times New Roman;serif"/>
                <w:b/>
                <w:color w:val="000000"/>
                <w:sz w:val="22"/>
                <w:u w:val="single"/>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u w:val="single"/>
              </w:rPr>
            </w:pPr>
            <w:r>
              <w:rPr>
                <w:rFonts w:ascii="Times New Roman;serif" w:hAnsi="Times New Roman;serif"/>
                <w:b/>
                <w:color w:val="000000"/>
                <w:sz w:val="22"/>
                <w:u w:val="single"/>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u w:val="single"/>
              </w:rPr>
            </w:pPr>
            <w:r>
              <w:rPr>
                <w:rFonts w:ascii="Times New Roman;serif" w:hAnsi="Times New Roman;serif"/>
                <w:b/>
                <w:color w:val="000000"/>
                <w:sz w:val="22"/>
                <w:u w:val="single"/>
              </w:rPr>
              <w:t>Broker Non-Votes</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39,766,894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27,909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40,835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2,215,468</w:t>
            </w:r>
          </w:p>
        </w:tc>
      </w:tr>
    </w:tbl>
    <w:p>
      <w:pPr>
        <w:pStyle w:val="TextBody"/>
        <w:bidi w:val="0"/>
        <w:spacing w:before="0" w:after="0"/>
        <w:jc w:val="left"/>
        <w:rPr/>
      </w:pPr>
      <w:r>
        <w:rPr/>
      </w:r>
    </w:p>
    <w:p>
      <w:pPr>
        <w:pStyle w:val="TextBody"/>
        <w:bidi w:val="0"/>
        <w:spacing w:lineRule="auto" w:line="256" w:before="0" w:after="0"/>
        <w:jc w:val="left"/>
        <w:rPr>
          <w:rFonts w:ascii="Times New Roman;serif" w:hAnsi="Times New Roman;serif"/>
          <w:b/>
          <w:color w:val="000000"/>
          <w:sz w:val="22"/>
        </w:rPr>
      </w:pPr>
      <w:r>
        <w:rPr>
          <w:rFonts w:ascii="Times New Roman;serif" w:hAnsi="Times New Roman;serif"/>
          <w:b/>
          <w:color w:val="000000"/>
          <w:sz w:val="22"/>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55"/>
        <w:gridCol w:w="487"/>
        <w:gridCol w:w="489"/>
        <w:gridCol w:w="109"/>
        <w:gridCol w:w="109"/>
        <w:gridCol w:w="109"/>
        <w:gridCol w:w="2434"/>
        <w:gridCol w:w="2434"/>
        <w:gridCol w:w="3479"/>
      </w:tblGrid>
      <w:tr>
        <w:trPr/>
        <w:tc>
          <w:tcPr>
            <w:tcW w:w="55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4" w:type="dxa"/>
            <w:tcBorders/>
            <w:vAlign w:val="center"/>
          </w:tcPr>
          <w:p>
            <w:pPr>
              <w:pStyle w:val="TableContents"/>
              <w:bidi w:val="0"/>
              <w:spacing w:before="0" w:after="283"/>
              <w:jc w:val="left"/>
              <w:rPr>
                <w:sz w:val="4"/>
                <w:szCs w:val="4"/>
              </w:rPr>
            </w:pPr>
            <w:r>
              <w:rPr>
                <w:sz w:val="4"/>
                <w:szCs w:val="4"/>
              </w:rPr>
            </w:r>
          </w:p>
        </w:tc>
        <w:tc>
          <w:tcPr>
            <w:tcW w:w="2434" w:type="dxa"/>
            <w:tcBorders/>
            <w:vAlign w:val="center"/>
          </w:tcPr>
          <w:p>
            <w:pPr>
              <w:pStyle w:val="TableContents"/>
              <w:bidi w:val="0"/>
              <w:spacing w:before="0" w:after="283"/>
              <w:jc w:val="left"/>
              <w:rPr>
                <w:sz w:val="4"/>
                <w:szCs w:val="4"/>
              </w:rPr>
            </w:pPr>
            <w:r>
              <w:rPr>
                <w:sz w:val="4"/>
                <w:szCs w:val="4"/>
              </w:rPr>
            </w:r>
          </w:p>
        </w:tc>
        <w:tc>
          <w:tcPr>
            <w:tcW w:w="3479"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Description</w:t>
            </w:r>
          </w:p>
        </w:tc>
      </w:tr>
      <w:tr>
        <w:trPr/>
        <w:tc>
          <w:tcPr>
            <w:tcW w:w="15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a101-amendedandrestated201.htm">
              <w:r>
                <w:rPr>
                  <w:rStyle w:val="InternetLink"/>
                  <w:rFonts w:ascii="Times New Roman;serif" w:hAnsi="Times New Roman;serif"/>
                  <w:b w:val="false"/>
                  <w:color w:val="0000FF"/>
                  <w:sz w:val="22"/>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Haemonetics Corporation Amended and Restated 2019 Long-Term Incentive Compensation Plan</w:t>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02amendedandrestatedespp.htm">
              <w:r>
                <w:rPr>
                  <w:rStyle w:val="InternetLink"/>
                  <w:rFonts w:ascii="Times New Roman;serif" w:hAnsi="Times New Roman;serif"/>
                  <w:b w:val="false"/>
                  <w:color w:val="0000FF"/>
                  <w:sz w:val="22"/>
                  <w:u w:val="single"/>
                </w:rPr>
                <w:t>10.2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Haemonetics Corporation Amended and Restated 2007 Employee Stock Purchase Plan</w:t>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991-pressreleasemartinmad.htm">
              <w:r>
                <w:rPr>
                  <w:rStyle w:val="InternetLink"/>
                  <w:rFonts w:ascii="Times New Roman;serif" w:hAnsi="Times New Roman;serif"/>
                  <w:b w:val="false"/>
                  <w:color w:val="0000FF"/>
                  <w:sz w:val="22"/>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Press release dated July 28, 2026</w:t>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Cover Page Interactive Data File (embedded within the Inline XBRL document)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SIGNATURES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as amended, the registrant has duly caused this report to be signed on its behalf by the undersigned hereunto duly authorized.</w:t>
      </w:r>
    </w:p>
    <w:tbl>
      <w:tblPr>
        <w:tblW w:w="7233" w:type="dxa"/>
        <w:jc w:val="left"/>
        <w:tblInd w:w="0" w:type="dxa"/>
        <w:tblLayout w:type="fixed"/>
        <w:tblCellMar>
          <w:top w:w="28" w:type="dxa"/>
          <w:left w:w="28" w:type="dxa"/>
          <w:bottom w:w="28" w:type="dxa"/>
          <w:right w:w="28" w:type="dxa"/>
        </w:tblCellMar>
      </w:tblPr>
      <w:tblGrid>
        <w:gridCol w:w="510"/>
        <w:gridCol w:w="447"/>
        <w:gridCol w:w="452"/>
        <w:gridCol w:w="109"/>
        <w:gridCol w:w="109"/>
        <w:gridCol w:w="109"/>
        <w:gridCol w:w="603"/>
        <w:gridCol w:w="603"/>
        <w:gridCol w:w="603"/>
        <w:gridCol w:w="1064"/>
        <w:gridCol w:w="1064"/>
        <w:gridCol w:w="1079"/>
        <w:gridCol w:w="141"/>
        <w:gridCol w:w="141"/>
        <w:gridCol w:w="199"/>
      </w:tblGrid>
      <w:tr>
        <w:trPr/>
        <w:tc>
          <w:tcPr>
            <w:tcW w:w="510"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HAEMONETICS CORPORATION</w:t>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July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32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/s/ Christopher A. Simon </w:t>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32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Christopher A. Simon</w:t>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368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President and Chief Executive Officer</w:t>
            </w:r>
          </w:p>
        </w:tc>
      </w:tr>
      <w:tr>
        <w:trPr/>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180"/>
        <w:jc w:val="right"/>
        <w:rPr>
          <w:rFonts w:ascii="Times New Roman;serif" w:hAnsi="Times New Roman;serif"/>
          <w:b/>
          <w:color w:val="000000"/>
          <w:sz w:val="22"/>
        </w:rPr>
      </w:pPr>
      <w:r>
        <w:rPr>
          <w:rFonts w:ascii="Times New Roman;serif" w:hAnsi="Times New Roman;serif"/>
          <w:b/>
          <w:color w:val="000000"/>
          <w:sz w:val="22"/>
        </w:rPr>
        <w:t>Exhibit 10.1</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HAEMONETICS CORPORATION</w:t>
      </w:r>
    </w:p>
    <w:p>
      <w:pPr>
        <w:pStyle w:val="TextBody"/>
        <w:bidi w:val="0"/>
        <w:spacing w:lineRule="auto" w:line="288" w:before="0" w:after="24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 xml:space="preserve">AMENDED AND RESTATED 2019 LONG-TERM INCENTIVE COMPENSATION PLAN </w:t>
      </w:r>
    </w:p>
    <w:p>
      <w:pPr>
        <w:pStyle w:val="TextBody"/>
        <w:bidi w:val="0"/>
        <w:spacing w:lineRule="auto" w:line="288" w:before="0" w:after="240"/>
        <w:ind w:left="0" w:right="0" w:firstLine="720"/>
        <w:jc w:val="left"/>
        <w:rPr/>
      </w:pPr>
      <w:r>
        <w:rPr>
          <w:rFonts w:ascii="Times New Roman;serif" w:hAnsi="Times New Roman;serif"/>
          <w:b w:val="false"/>
          <w:color w:val="000000"/>
          <w:sz w:val="22"/>
        </w:rPr>
        <w:t>Effective as of the Effective Date (as defined below), the Haemonetics Corporation 2019 Long-Term Incentive Compensation Plan, as previously amended and restated, is hereby amended and restated (as further amended and restated, the “</w:t>
      </w:r>
      <w:r>
        <w:rPr>
          <w:rFonts w:ascii="Times New Roman;serif" w:hAnsi="Times New Roman;serif"/>
          <w:b w:val="false"/>
          <w:color w:val="000000"/>
          <w:sz w:val="22"/>
          <w:u w:val="single"/>
        </w:rPr>
        <w:t>Plan</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rFonts w:ascii="Times New Roman;serif" w:hAnsi="Times New Roman;serif"/>
          <w:b w:val="false"/>
          <w:color w:val="000000"/>
          <w:sz w:val="22"/>
        </w:rPr>
        <w:t>The purpose of the Plan is to provide employees of Haemonetics Corporation, a Massachusetts corporation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and its subsidiaries, certain consultants and advisors who perform services for the Company and its subsidiaries, and non-employee members of the Board of Directors of the Company and its subsidiaries, with the opportunity to receive grants of incentive stock options, non-qualified stock options, stock appreciation rights, restricted stock, restricted stock units, other stock-based awards, and/or cash awards.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Company believes that the Plan will encourage the participants to contribute to the success and/or growth of the Company, thereby benefiting the Company’s stockholders, and will align the economic interests of the participants with those of the stockholders.</w:t>
      </w:r>
    </w:p>
    <w:p>
      <w:pPr>
        <w:pStyle w:val="TextBody"/>
        <w:bidi w:val="0"/>
        <w:spacing w:lineRule="auto" w:line="288" w:before="0" w:after="240"/>
        <w:jc w:val="left"/>
        <w:rPr/>
      </w:pPr>
      <w:r>
        <w:rPr>
          <w:rFonts w:ascii="Times New Roman;serif" w:hAnsi="Times New Roman;serif"/>
          <w:b/>
          <w:color w:val="000000"/>
          <w:sz w:val="22"/>
        </w:rPr>
        <w:t>Section 1.</w:t>
      </w:r>
      <w:r>
        <w:rPr>
          <w:rFonts w:ascii="Times New Roman;serif" w:hAnsi="Times New Roman;serif"/>
          <w:b/>
          <w:color w:val="000000"/>
          <w:sz w:val="22"/>
        </w:rPr>
        <w:t>Definitions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Capitalized terms used in the Plan and not defined elsewhere in the Plan shall have the meaning set forth in this Section below:</w:t>
      </w:r>
    </w:p>
    <w:p>
      <w:pPr>
        <w:pStyle w:val="TextBody"/>
        <w:bidi w:val="0"/>
        <w:spacing w:lineRule="auto" w:line="288" w:before="0" w:after="240"/>
        <w:ind w:left="0" w:right="0" w:firstLine="1440"/>
        <w:jc w:val="left"/>
        <w:rPr/>
      </w:pPr>
      <w:r>
        <w:rPr>
          <w:rFonts w:ascii="Times New Roman;serif" w:hAnsi="Times New Roman;serif"/>
          <w:b w:val="false"/>
          <w:color w:val="000000"/>
          <w:sz w:val="22"/>
        </w:rPr>
        <w:t>(a)</w:t>
      </w:r>
      <w:r>
        <w:rPr>
          <w:color w:val="000000"/>
        </w:rPr>
        <w:t>“</w:t>
      </w:r>
      <w:r>
        <w:rPr>
          <w:rFonts w:ascii="Times New Roman;serif" w:hAnsi="Times New Roman;serif"/>
          <w:b w:val="false"/>
          <w:color w:val="000000"/>
          <w:sz w:val="22"/>
          <w:u w:val="single"/>
        </w:rPr>
        <w:t>Award</w:t>
      </w:r>
      <w:r>
        <w:rPr>
          <w:color w:val="000000"/>
        </w:rPr>
        <w:t xml:space="preserve">” </w:t>
      </w:r>
      <w:r>
        <w:rPr>
          <w:rFonts w:ascii="Times New Roman;serif" w:hAnsi="Times New Roman;serif"/>
          <w:b w:val="false"/>
          <w:color w:val="000000"/>
          <w:sz w:val="22"/>
        </w:rPr>
        <w:t>shall mean an Option, SAR, Restricted Stock, Restricted Stock Unit, Other Stock-Based Award, or Cash Award granted under the Plan.</w:t>
      </w:r>
    </w:p>
    <w:p>
      <w:pPr>
        <w:pStyle w:val="TextBody"/>
        <w:bidi w:val="0"/>
        <w:spacing w:lineRule="auto" w:line="288" w:before="0" w:after="240"/>
        <w:ind w:left="0" w:right="0" w:firstLine="1440"/>
        <w:jc w:val="left"/>
        <w:rPr/>
      </w:pPr>
      <w:r>
        <w:rPr>
          <w:rFonts w:ascii="Times New Roman;serif" w:hAnsi="Times New Roman;serif"/>
          <w:b w:val="false"/>
          <w:color w:val="000000"/>
          <w:sz w:val="22"/>
        </w:rPr>
        <w:t>(b)</w:t>
      </w:r>
      <w:r>
        <w:rPr>
          <w:color w:val="000000"/>
        </w:rPr>
        <w:t>“</w:t>
      </w:r>
      <w:r>
        <w:rPr>
          <w:rFonts w:ascii="Times New Roman;serif" w:hAnsi="Times New Roman;serif"/>
          <w:b w:val="false"/>
          <w:color w:val="000000"/>
          <w:sz w:val="22"/>
          <w:u w:val="single"/>
        </w:rPr>
        <w:t>Award Agreement</w:t>
      </w:r>
      <w:r>
        <w:rPr>
          <w:color w:val="000000"/>
        </w:rPr>
        <w:t xml:space="preserve">” </w:t>
      </w:r>
      <w:r>
        <w:rPr>
          <w:rFonts w:ascii="Times New Roman;serif" w:hAnsi="Times New Roman;serif"/>
          <w:b w:val="false"/>
          <w:color w:val="000000"/>
          <w:sz w:val="22"/>
        </w:rPr>
        <w:t>shall mean the written agreement that sets forth the terms and conditions of an Award, including all amendments thereto.</w:t>
      </w:r>
    </w:p>
    <w:p>
      <w:pPr>
        <w:pStyle w:val="TextBody"/>
        <w:bidi w:val="0"/>
        <w:spacing w:lineRule="auto" w:line="288" w:before="0" w:after="240"/>
        <w:ind w:left="0" w:right="0" w:firstLine="1440"/>
        <w:jc w:val="left"/>
        <w:rPr/>
      </w:pPr>
      <w:r>
        <w:rPr>
          <w:rFonts w:ascii="Times New Roman;serif" w:hAnsi="Times New Roman;serif"/>
          <w:b w:val="false"/>
          <w:color w:val="000000"/>
          <w:sz w:val="22"/>
        </w:rPr>
        <w:t>(c)</w:t>
      </w:r>
      <w:r>
        <w:rPr>
          <w:color w:val="000000"/>
        </w:rPr>
        <w:t>“</w:t>
      </w:r>
      <w:r>
        <w:rPr>
          <w:rFonts w:ascii="Times New Roman;serif" w:hAnsi="Times New Roman;serif"/>
          <w:b w:val="false"/>
          <w:color w:val="000000"/>
          <w:sz w:val="22"/>
          <w:u w:val="single"/>
        </w:rPr>
        <w:t>Board</w:t>
      </w:r>
      <w:r>
        <w:rPr>
          <w:color w:val="000000"/>
        </w:rPr>
        <w:t xml:space="preserve">” </w:t>
      </w:r>
      <w:r>
        <w:rPr>
          <w:rFonts w:ascii="Times New Roman;serif" w:hAnsi="Times New Roman;serif"/>
          <w:b w:val="false"/>
          <w:color w:val="000000"/>
          <w:sz w:val="22"/>
        </w:rPr>
        <w:t>shall mean the Board of Directors of the Company.</w:t>
      </w:r>
    </w:p>
    <w:p>
      <w:pPr>
        <w:pStyle w:val="TextBody"/>
        <w:bidi w:val="0"/>
        <w:spacing w:lineRule="auto" w:line="288" w:before="0" w:after="240"/>
        <w:ind w:left="0" w:right="0" w:firstLine="1440"/>
        <w:jc w:val="left"/>
        <w:rPr/>
      </w:pPr>
      <w:r>
        <w:rPr>
          <w:rFonts w:ascii="Times New Roman;serif" w:hAnsi="Times New Roman;serif"/>
          <w:b w:val="false"/>
          <w:color w:val="000000"/>
          <w:sz w:val="22"/>
        </w:rPr>
        <w:t>(d)</w:t>
      </w:r>
      <w:r>
        <w:rPr>
          <w:color w:val="000000"/>
        </w:rPr>
        <w:t>“</w:t>
      </w:r>
      <w:r>
        <w:rPr>
          <w:rFonts w:ascii="Times New Roman;serif" w:hAnsi="Times New Roman;serif"/>
          <w:b w:val="false"/>
          <w:color w:val="000000"/>
          <w:sz w:val="22"/>
          <w:u w:val="single"/>
        </w:rPr>
        <w:t>Cash Award</w:t>
      </w:r>
      <w:r>
        <w:rPr>
          <w:color w:val="000000"/>
        </w:rPr>
        <w:t xml:space="preserve">” </w:t>
      </w:r>
      <w:r>
        <w:rPr>
          <w:rFonts w:ascii="Times New Roman;serif" w:hAnsi="Times New Roman;serif"/>
          <w:b w:val="false"/>
          <w:color w:val="000000"/>
          <w:sz w:val="22"/>
        </w:rPr>
        <w:t>shall mean a cash incentive payment awarded under this Plan as described under Section 11.</w:t>
      </w:r>
    </w:p>
    <w:p>
      <w:pPr>
        <w:pStyle w:val="TextBody"/>
        <w:bidi w:val="0"/>
        <w:spacing w:lineRule="auto" w:line="288" w:before="0" w:after="240"/>
        <w:ind w:left="0" w:right="0" w:firstLine="1440"/>
        <w:jc w:val="left"/>
        <w:rPr/>
      </w:pPr>
      <w:r>
        <w:rPr>
          <w:rFonts w:ascii="Times New Roman;serif" w:hAnsi="Times New Roman;serif"/>
          <w:b w:val="false"/>
          <w:color w:val="000000"/>
          <w:sz w:val="22"/>
        </w:rPr>
        <w:t>(e)</w:t>
      </w:r>
      <w:r>
        <w:rPr>
          <w:color w:val="000000"/>
        </w:rPr>
        <w:t>“</w:t>
      </w:r>
      <w:r>
        <w:rPr>
          <w:rFonts w:ascii="Times New Roman;serif" w:hAnsi="Times New Roman;serif"/>
          <w:b w:val="false"/>
          <w:color w:val="000000"/>
          <w:sz w:val="22"/>
          <w:u w:val="single"/>
        </w:rPr>
        <w:t>Cause</w:t>
      </w:r>
      <w:r>
        <w:rPr>
          <w:color w:val="000000"/>
        </w:rPr>
        <w:t xml:space="preserve">” </w:t>
      </w:r>
      <w:r>
        <w:rPr>
          <w:rFonts w:ascii="Times New Roman;serif" w:hAnsi="Times New Roman;serif"/>
          <w:b w:val="false"/>
          <w:color w:val="000000"/>
          <w:sz w:val="22"/>
        </w:rPr>
        <w:t>shall have the meaning given to that term in any written employment agreement, change-of-control agreement, offer letter or severance agreement between the Employer and the Participant, or if no such agreement exists or if such term is not defined therein, and unless otherwise defined in the Award Agreement, Cause shall mean that the Participant:</w:t>
      </w:r>
    </w:p>
    <w:p>
      <w:pPr>
        <w:pStyle w:val="TextBody"/>
        <w:bidi w:val="0"/>
        <w:spacing w:lineRule="auto" w:line="288" w:before="0" w:after="240"/>
        <w:ind w:left="0" w:right="0" w:firstLine="2160"/>
        <w:jc w:val="left"/>
        <w:rPr/>
      </w:pPr>
      <w:r>
        <w:rPr>
          <w:rFonts w:ascii="Times New Roman;serif" w:hAnsi="Times New Roman;serif"/>
          <w:b w:val="false"/>
          <w:color w:val="000000"/>
          <w:sz w:val="22"/>
        </w:rPr>
        <w:t>(i)</w:t>
      </w:r>
      <w:r>
        <w:rPr>
          <w:rFonts w:ascii="Times New Roman;serif" w:hAnsi="Times New Roman;serif"/>
          <w:b w:val="false"/>
          <w:color w:val="000000"/>
          <w:sz w:val="22"/>
        </w:rPr>
        <w:t>has materially breached his or her employment or service contract with the Employer, which breach has not been remedied by the Participant after written notice has been provided to the Participant of such breach;</w:t>
      </w:r>
    </w:p>
    <w:p>
      <w:pPr>
        <w:pStyle w:val="TextBody"/>
        <w:bidi w:val="0"/>
        <w:spacing w:lineRule="auto" w:line="288" w:before="0" w:after="240"/>
        <w:ind w:left="0" w:right="0" w:firstLine="2160"/>
        <w:jc w:val="left"/>
        <w:rPr/>
      </w:pPr>
      <w:r>
        <w:rPr>
          <w:rFonts w:ascii="Times New Roman;serif" w:hAnsi="Times New Roman;serif"/>
          <w:b w:val="false"/>
          <w:color w:val="000000"/>
          <w:sz w:val="22"/>
        </w:rPr>
        <w:t>(ii)</w:t>
      </w:r>
      <w:r>
        <w:rPr>
          <w:rFonts w:ascii="Times New Roman;serif" w:hAnsi="Times New Roman;serif"/>
          <w:b w:val="false"/>
          <w:color w:val="000000"/>
          <w:sz w:val="22"/>
        </w:rPr>
        <w:t>has engaged in disloyalty to the Employer, including without limitation, fraud, embezzlement, theft, commission of a felony or proven dishonesty, any of which results in economic loss, damage, or injury to the Employer;</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2160"/>
        <w:jc w:val="left"/>
        <w:rPr/>
      </w:pPr>
      <w:r>
        <w:rPr>
          <w:rFonts w:ascii="Times New Roman;serif" w:hAnsi="Times New Roman;serif"/>
          <w:b w:val="false"/>
          <w:color w:val="000000"/>
          <w:sz w:val="22"/>
        </w:rPr>
        <w:t>(iii)</w:t>
      </w:r>
      <w:r>
        <w:rPr>
          <w:rFonts w:ascii="Times New Roman;serif" w:hAnsi="Times New Roman;serif"/>
          <w:b w:val="false"/>
          <w:color w:val="000000"/>
          <w:sz w:val="22"/>
        </w:rPr>
        <w:t>has disclosed trade secrets or confidential information of the Employer to persons not entitled to receive such information;</w:t>
      </w:r>
    </w:p>
    <w:p>
      <w:pPr>
        <w:pStyle w:val="TextBody"/>
        <w:bidi w:val="0"/>
        <w:spacing w:lineRule="auto" w:line="288" w:before="0" w:after="240"/>
        <w:ind w:left="0" w:right="0" w:firstLine="2160"/>
        <w:jc w:val="left"/>
        <w:rPr/>
      </w:pPr>
      <w:r>
        <w:rPr>
          <w:rFonts w:ascii="Times New Roman;serif" w:hAnsi="Times New Roman;serif"/>
          <w:b w:val="false"/>
          <w:color w:val="000000"/>
          <w:sz w:val="22"/>
        </w:rPr>
        <w:t>(iv)</w:t>
      </w:r>
      <w:r>
        <w:rPr>
          <w:rFonts w:ascii="Times New Roman;serif" w:hAnsi="Times New Roman;serif"/>
          <w:b w:val="false"/>
          <w:color w:val="000000"/>
          <w:sz w:val="22"/>
        </w:rPr>
        <w:t>has breached any written non-competition, non-solicitation or other restrictive covenant agreement between the Participant and the Employer; or</w:t>
      </w:r>
    </w:p>
    <w:p>
      <w:pPr>
        <w:pStyle w:val="TextBody"/>
        <w:bidi w:val="0"/>
        <w:spacing w:lineRule="auto" w:line="288" w:before="0" w:after="240"/>
        <w:ind w:left="0" w:right="0" w:firstLine="2160"/>
        <w:jc w:val="left"/>
        <w:rPr/>
      </w:pPr>
      <w:r>
        <w:rPr>
          <w:rFonts w:ascii="Times New Roman;serif" w:hAnsi="Times New Roman;serif"/>
          <w:b w:val="false"/>
          <w:color w:val="000000"/>
          <w:sz w:val="22"/>
        </w:rPr>
        <w:t>(v)</w:t>
      </w:r>
      <w:r>
        <w:rPr>
          <w:rFonts w:ascii="Times New Roman;serif" w:hAnsi="Times New Roman;serif"/>
          <w:b w:val="false"/>
          <w:color w:val="000000"/>
          <w:sz w:val="22"/>
        </w:rPr>
        <w:t>has engaged in gross misconduct or a willful and material violation of the Company’s policies and procedures that is injurious to the Company.</w:t>
        <w:br/>
        <w:br/>
        <w:t>For the avoidance of doubt, the occurrence of any of the actions set forth in clauses (i) through (v) immediately above shall be determined by the Committee in good faith.</w:t>
      </w:r>
    </w:p>
    <w:p>
      <w:pPr>
        <w:pStyle w:val="TextBody"/>
        <w:bidi w:val="0"/>
        <w:spacing w:lineRule="auto" w:line="288" w:before="0" w:after="240"/>
        <w:ind w:left="0" w:right="0" w:firstLine="1440"/>
        <w:jc w:val="left"/>
        <w:rPr/>
      </w:pPr>
      <w:r>
        <w:rPr>
          <w:rFonts w:ascii="Times New Roman;serif" w:hAnsi="Times New Roman;serif"/>
          <w:b w:val="false"/>
          <w:color w:val="000000"/>
          <w:sz w:val="22"/>
        </w:rPr>
        <w:t>(f)</w:t>
      </w:r>
      <w:r>
        <w:rPr>
          <w:color w:val="000000"/>
        </w:rPr>
        <w:t>“</w:t>
      </w:r>
      <w:r>
        <w:rPr>
          <w:rFonts w:ascii="Times New Roman;serif" w:hAnsi="Times New Roman;serif"/>
          <w:b w:val="false"/>
          <w:color w:val="000000"/>
          <w:sz w:val="22"/>
          <w:u w:val="single"/>
        </w:rPr>
        <w:t>CEO</w:t>
      </w:r>
      <w:r>
        <w:rPr>
          <w:color w:val="000000"/>
        </w:rPr>
        <w:t xml:space="preserve">” </w:t>
      </w:r>
      <w:r>
        <w:rPr>
          <w:rFonts w:ascii="Times New Roman;serif" w:hAnsi="Times New Roman;serif"/>
          <w:b w:val="false"/>
          <w:color w:val="000000"/>
          <w:sz w:val="22"/>
        </w:rPr>
        <w:t>shall mean the Chief Executive Officer of the Company.</w:t>
      </w:r>
    </w:p>
    <w:p>
      <w:pPr>
        <w:pStyle w:val="TextBody"/>
        <w:bidi w:val="0"/>
        <w:spacing w:lineRule="auto" w:line="288" w:before="0" w:after="240"/>
        <w:ind w:left="0" w:right="0" w:firstLine="1440"/>
        <w:jc w:val="left"/>
        <w:rPr/>
      </w:pPr>
      <w:r>
        <w:rPr>
          <w:rFonts w:ascii="Times New Roman;serif" w:hAnsi="Times New Roman;serif"/>
          <w:b w:val="false"/>
          <w:color w:val="000000"/>
          <w:sz w:val="22"/>
        </w:rPr>
        <w:t>(g)</w:t>
      </w:r>
      <w:r>
        <w:rPr>
          <w:rFonts w:ascii="Times New Roman;serif" w:hAnsi="Times New Roman;serif"/>
          <w:b w:val="false"/>
          <w:color w:val="000000"/>
          <w:sz w:val="22"/>
        </w:rPr>
        <w:t>Unless otherwise set forth in an Award Agreement, a “</w:t>
      </w:r>
      <w:r>
        <w:rPr>
          <w:rFonts w:ascii="Times New Roman;serif" w:hAnsi="Times New Roman;serif"/>
          <w:b w:val="false"/>
          <w:color w:val="000000"/>
          <w:sz w:val="22"/>
          <w:u w:val="single"/>
        </w:rPr>
        <w:t>Change of Control</w:t>
      </w:r>
      <w:r>
        <w:rPr>
          <w:color w:val="000000"/>
        </w:rPr>
        <w:t xml:space="preserve">” </w:t>
      </w:r>
      <w:r>
        <w:rPr>
          <w:rFonts w:ascii="Times New Roman;serif" w:hAnsi="Times New Roman;serif"/>
          <w:b w:val="false"/>
          <w:color w:val="000000"/>
          <w:sz w:val="22"/>
        </w:rPr>
        <w:t>shall be deemed to have occurred if:</w:t>
      </w:r>
    </w:p>
    <w:p>
      <w:pPr>
        <w:pStyle w:val="TextBody"/>
        <w:bidi w:val="0"/>
        <w:spacing w:lineRule="auto" w:line="288" w:before="0" w:after="240"/>
        <w:ind w:left="0" w:right="0" w:firstLine="2160"/>
        <w:jc w:val="left"/>
        <w:rPr/>
      </w:pPr>
      <w:r>
        <w:rPr>
          <w:rFonts w:ascii="Times New Roman;serif" w:hAnsi="Times New Roman;serif"/>
          <w:b w:val="false"/>
          <w:color w:val="000000"/>
          <w:sz w:val="22"/>
        </w:rPr>
        <w:t>(i)</w:t>
      </w:r>
      <w:r>
        <w:rPr>
          <w:rFonts w:ascii="Times New Roman;serif" w:hAnsi="Times New Roman;serif"/>
          <w:b w:val="false"/>
          <w:color w:val="000000"/>
          <w:sz w:val="22"/>
        </w:rPr>
        <w:t>a person, or any two or more persons acting as a group, and all affiliates of such person or persons, who prior to such time owned less than fifty percent (50%) of the Company’s then outstanding shares of Company Stock, shall acquire such additional shares of Company Stock in one or more transactions, or series of transactions, such that following such transaction or transactions such person or group and affiliates beneficially own fifty percent (50%) or more of the Company Stock outstanding;</w:t>
      </w:r>
    </w:p>
    <w:p>
      <w:pPr>
        <w:pStyle w:val="TextBody"/>
        <w:bidi w:val="0"/>
        <w:spacing w:lineRule="auto" w:line="288" w:before="0" w:after="240"/>
        <w:ind w:left="0" w:right="0" w:firstLine="2160"/>
        <w:jc w:val="left"/>
        <w:rPr/>
      </w:pPr>
      <w:r>
        <w:rPr>
          <w:rFonts w:ascii="Times New Roman;serif" w:hAnsi="Times New Roman;serif"/>
          <w:b w:val="false"/>
          <w:color w:val="000000"/>
          <w:sz w:val="22"/>
        </w:rPr>
        <w:t>(ii)</w:t>
      </w:r>
      <w:r>
        <w:rPr>
          <w:rFonts w:ascii="Times New Roman;serif" w:hAnsi="Times New Roman;serif"/>
          <w:b w:val="false"/>
          <w:color w:val="000000"/>
          <w:sz w:val="22"/>
        </w:rPr>
        <w:t>closing of the sale of all or substantially all of the assets of the Company on a consolidated basis to an unrelated person or entity;</w:t>
      </w:r>
    </w:p>
    <w:p>
      <w:pPr>
        <w:pStyle w:val="TextBody"/>
        <w:bidi w:val="0"/>
        <w:spacing w:lineRule="auto" w:line="288" w:before="0" w:after="240"/>
        <w:ind w:left="0" w:right="0" w:firstLine="2160"/>
        <w:jc w:val="left"/>
        <w:rPr/>
      </w:pPr>
      <w:r>
        <w:rPr>
          <w:rFonts w:ascii="Times New Roman;serif" w:hAnsi="Times New Roman;serif"/>
          <w:b w:val="false"/>
          <w:color w:val="000000"/>
          <w:sz w:val="22"/>
        </w:rPr>
        <w:t>(iii)</w:t>
      </w:r>
      <w:r>
        <w:rPr>
          <w:rFonts w:ascii="Times New Roman;serif" w:hAnsi="Times New Roman;serif"/>
          <w:b w:val="false"/>
          <w:color w:val="000000"/>
          <w:sz w:val="22"/>
        </w:rPr>
        <w:t>individuals who constitute the Incumbent Board cease for any reason to constitute at least a majority of the Company’s Board (for this purpose, “</w:t>
      </w:r>
      <w:r>
        <w:rPr>
          <w:rFonts w:ascii="Times New Roman;serif" w:hAnsi="Times New Roman;serif"/>
          <w:b w:val="false"/>
          <w:color w:val="000000"/>
          <w:sz w:val="22"/>
          <w:u w:val="single"/>
        </w:rPr>
        <w:t>Incumbent Board</w:t>
      </w:r>
      <w:r>
        <w:rPr>
          <w:color w:val="000000"/>
        </w:rPr>
        <w:t xml:space="preserve">” </w:t>
      </w:r>
      <w:r>
        <w:rPr>
          <w:rFonts w:ascii="Times New Roman;serif" w:hAnsi="Times New Roman;serif"/>
          <w:b w:val="false"/>
          <w:color w:val="000000"/>
          <w:sz w:val="22"/>
        </w:rPr>
        <w:t>means at any time those persons who are then members of the Company’s Board of Directors and who are either (y) members of the Company’s Board of Directors on the Effective Date, or (z) have been elected, or have been nominated for election by the Company’s stockholders, by the affirmative vote of at least two-thirds of the directors comprising the Incumbent Board at the time of such election or nomination (either by a specific vote or by approval of the proxy statement of the Company in which such person is named as a nominee for director without objection to such nomination); or</w:t>
      </w:r>
    </w:p>
    <w:p>
      <w:pPr>
        <w:pStyle w:val="TextBody"/>
        <w:bidi w:val="0"/>
        <w:spacing w:lineRule="auto" w:line="288" w:before="0" w:after="240"/>
        <w:ind w:left="0" w:right="0" w:firstLine="2160"/>
        <w:jc w:val="left"/>
        <w:rPr/>
      </w:pPr>
      <w:r>
        <w:rPr>
          <w:rFonts w:ascii="Times New Roman;serif" w:hAnsi="Times New Roman;serif"/>
          <w:b w:val="false"/>
          <w:color w:val="000000"/>
          <w:sz w:val="22"/>
        </w:rPr>
        <w:t>(iv)</w:t>
      </w:r>
      <w:r>
        <w:rPr>
          <w:rFonts w:ascii="Times New Roman;serif" w:hAnsi="Times New Roman;serif"/>
          <w:b w:val="false"/>
          <w:color w:val="000000"/>
          <w:sz w:val="22"/>
        </w:rPr>
        <w:t>the consummation of any merger, reorganization, consolidation or share exchange unless the persons who were the beneficial owners of the Company’s outstanding shares of Company Stock immediately before the consummation of such transaction beneficially own more than 50% of the outstanding shares of the common stock of the successor or survivor entity in such transaction immediately following the consummation of such transaction. For purposes of this definition, the percentage of the beneficially owned shares of the successor or survivor entity described above shall be determined exclusively by reference to the shares of the successor or survivor entity which result from the beneficial ownership of Company Stock by the persons described above immediately before the consummation of such transaction.</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Notwithstanding the foregoing, solely with respect to an Award the Committee determines is subject to the provisions of section 409A of the Code (and not exempted therefrom), and a Change of Control is a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60655"/>
                <wp:effectExtent l="0" t="0" r="0" b="0"/>
                <wp:wrapNone/>
                <wp:docPr id="6" name="Frame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- 2 -</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distribution event for purposes of an Award, the foregoing definition of Change of Control shall be interpreted, administered, limited and construed in a manner necessary to ensure that the occurrence of any such event shall result in a Change of Control only if such event qualifies as a “change in control event,” within the meaning of Treasury Regulation Section 1.409A-3(i)(5).</w:t>
      </w:r>
    </w:p>
    <w:p>
      <w:pPr>
        <w:pStyle w:val="TextBody"/>
        <w:bidi w:val="0"/>
        <w:spacing w:lineRule="auto" w:line="288" w:before="0" w:after="240"/>
        <w:ind w:left="0" w:right="0" w:firstLine="1440"/>
        <w:jc w:val="left"/>
        <w:rPr/>
      </w:pPr>
      <w:r>
        <w:rPr>
          <w:rFonts w:ascii="Times New Roman;serif" w:hAnsi="Times New Roman;serif"/>
          <w:b w:val="false"/>
          <w:color w:val="000000"/>
          <w:sz w:val="22"/>
        </w:rPr>
        <w:t>(h)</w:t>
      </w:r>
      <w:r>
        <w:rPr>
          <w:color w:val="000000"/>
        </w:rPr>
        <w:t>“</w:t>
      </w:r>
      <w:r>
        <w:rPr>
          <w:rFonts w:ascii="Times New Roman;serif" w:hAnsi="Times New Roman;serif"/>
          <w:b w:val="false"/>
          <w:color w:val="000000"/>
          <w:sz w:val="22"/>
          <w:u w:val="single"/>
        </w:rPr>
        <w:t>Code</w:t>
      </w:r>
      <w:r>
        <w:rPr>
          <w:color w:val="000000"/>
        </w:rPr>
        <w:t xml:space="preserve">” </w:t>
      </w:r>
      <w:r>
        <w:rPr>
          <w:rFonts w:ascii="Times New Roman;serif" w:hAnsi="Times New Roman;serif"/>
          <w:b w:val="false"/>
          <w:color w:val="000000"/>
          <w:sz w:val="22"/>
        </w:rPr>
        <w:t>shall mean the Internal Revenue Code of 1986, as amended, and the regulations promulgated thereunder.</w:t>
      </w:r>
    </w:p>
    <w:p>
      <w:pPr>
        <w:pStyle w:val="TextBody"/>
        <w:bidi w:val="0"/>
        <w:spacing w:lineRule="auto" w:line="288" w:before="0" w:after="240"/>
        <w:ind w:left="0" w:right="0" w:firstLine="1440"/>
        <w:jc w:val="left"/>
        <w:rPr/>
      </w:pPr>
      <w:r>
        <w:rPr>
          <w:rFonts w:ascii="Times New Roman;serif" w:hAnsi="Times New Roman;serif"/>
          <w:b w:val="false"/>
          <w:color w:val="000000"/>
          <w:sz w:val="22"/>
        </w:rPr>
        <w:t>(i)</w:t>
      </w:r>
      <w:r>
        <w:rPr>
          <w:color w:val="000000"/>
        </w:rPr>
        <w:t>“</w:t>
      </w:r>
      <w:r>
        <w:rPr>
          <w:rFonts w:ascii="Times New Roman;serif" w:hAnsi="Times New Roman;serif"/>
          <w:b w:val="false"/>
          <w:color w:val="000000"/>
          <w:sz w:val="22"/>
          <w:u w:val="single"/>
        </w:rPr>
        <w:t>Committee</w:t>
      </w:r>
      <w:r>
        <w:rPr>
          <w:color w:val="000000"/>
        </w:rPr>
        <w:t xml:space="preserve">” </w:t>
      </w:r>
      <w:r>
        <w:rPr>
          <w:rFonts w:ascii="Times New Roman;serif" w:hAnsi="Times New Roman;serif"/>
          <w:b w:val="false"/>
          <w:color w:val="000000"/>
          <w:sz w:val="22"/>
        </w:rPr>
        <w:t>shall mean the Compensation Committee of the Board or another committee appointed by the Board to administer the Plan. The Committee shall also consist of directors who are “non-employee directors” as defined under Rule 16b-3 promulgated under the Exchange Act and “independent directors,” as determined in accordance with the independence standards established by the stock exchange on which the Company Stock is at the time primarily traded.</w:t>
      </w:r>
    </w:p>
    <w:p>
      <w:pPr>
        <w:pStyle w:val="TextBody"/>
        <w:bidi w:val="0"/>
        <w:spacing w:lineRule="auto" w:line="288" w:before="0" w:after="240"/>
        <w:ind w:left="0" w:right="0" w:firstLine="1440"/>
        <w:jc w:val="left"/>
        <w:rPr/>
      </w:pPr>
      <w:r>
        <w:rPr>
          <w:rFonts w:ascii="Times New Roman;serif" w:hAnsi="Times New Roman;serif"/>
          <w:b w:val="false"/>
          <w:color w:val="000000"/>
          <w:sz w:val="22"/>
        </w:rPr>
        <w:t>(j)</w:t>
      </w:r>
      <w:r>
        <w:rPr>
          <w:color w:val="000000"/>
        </w:rPr>
        <w:t>“</w:t>
      </w:r>
      <w:r>
        <w:rPr>
          <w:rFonts w:ascii="Times New Roman;serif" w:hAnsi="Times New Roman;serif"/>
          <w:b w:val="false"/>
          <w:color w:val="000000"/>
          <w:sz w:val="22"/>
          <w:u w:val="single"/>
        </w:rPr>
        <w:t>Company Stock</w:t>
      </w:r>
      <w:r>
        <w:rPr>
          <w:color w:val="000000"/>
        </w:rPr>
        <w:t xml:space="preserve">” </w:t>
      </w:r>
      <w:r>
        <w:rPr>
          <w:rFonts w:ascii="Times New Roman;serif" w:hAnsi="Times New Roman;serif"/>
          <w:b w:val="false"/>
          <w:color w:val="000000"/>
          <w:sz w:val="22"/>
        </w:rPr>
        <w:t>shall mean common stock of the Company.</w:t>
      </w:r>
    </w:p>
    <w:p>
      <w:pPr>
        <w:pStyle w:val="TextBody"/>
        <w:bidi w:val="0"/>
        <w:spacing w:lineRule="auto" w:line="288" w:before="0" w:after="240"/>
        <w:ind w:left="0" w:right="0" w:firstLine="1440"/>
        <w:jc w:val="left"/>
        <w:rPr/>
      </w:pPr>
      <w:r>
        <w:rPr>
          <w:rFonts w:ascii="Times New Roman;serif" w:hAnsi="Times New Roman;serif"/>
          <w:b w:val="false"/>
          <w:color w:val="000000"/>
          <w:sz w:val="22"/>
        </w:rPr>
        <w:t>(k)</w:t>
      </w:r>
      <w:r>
        <w:rPr>
          <w:color w:val="000000"/>
        </w:rPr>
        <w:t>“</w:t>
      </w:r>
      <w:r>
        <w:rPr>
          <w:rFonts w:ascii="Times New Roman;serif" w:hAnsi="Times New Roman;serif"/>
          <w:b w:val="false"/>
          <w:color w:val="000000"/>
          <w:sz w:val="22"/>
          <w:u w:val="single"/>
        </w:rPr>
        <w:t>Disability</w:t>
      </w:r>
      <w:r>
        <w:rPr>
          <w:color w:val="000000"/>
        </w:rPr>
        <w:t xml:space="preserve">” </w:t>
      </w:r>
      <w:r>
        <w:rPr>
          <w:rFonts w:ascii="Times New Roman;serif" w:hAnsi="Times New Roman;serif"/>
          <w:b w:val="false"/>
          <w:color w:val="000000"/>
          <w:sz w:val="22"/>
        </w:rPr>
        <w:t>or “</w:t>
      </w:r>
      <w:r>
        <w:rPr>
          <w:rFonts w:ascii="Times New Roman;serif" w:hAnsi="Times New Roman;serif"/>
          <w:b w:val="false"/>
          <w:color w:val="000000"/>
          <w:sz w:val="22"/>
          <w:u w:val="single"/>
        </w:rPr>
        <w:t>Disabled</w:t>
      </w:r>
      <w:r>
        <w:rPr>
          <w:color w:val="000000"/>
        </w:rPr>
        <w:t xml:space="preserve">” </w:t>
      </w:r>
      <w:r>
        <w:rPr>
          <w:rFonts w:ascii="Times New Roman;serif" w:hAnsi="Times New Roman;serif"/>
          <w:b w:val="false"/>
          <w:color w:val="000000"/>
          <w:sz w:val="22"/>
        </w:rPr>
        <w:t>shall mean, unless otherwise defined in an employment agreement between the Participant and the Company, a condition whereby the Participant (i) is unable to engage in any substantial gainful activity by reason of any medically determinable physical or mental impairment which can be expected to result in death or can be expected to last for a continuous period of not less than 12 months; or (ii) is determined to be totally disabled by the Social Security Administration, provided that each qualifies as a disability within the meaning of Code Section 409A.</w:t>
      </w:r>
    </w:p>
    <w:p>
      <w:pPr>
        <w:pStyle w:val="TextBody"/>
        <w:bidi w:val="0"/>
        <w:spacing w:lineRule="auto" w:line="288" w:before="0" w:after="240"/>
        <w:ind w:left="0" w:right="0" w:firstLine="1440"/>
        <w:jc w:val="left"/>
        <w:rPr/>
      </w:pPr>
      <w:r>
        <w:rPr>
          <w:rFonts w:ascii="Times New Roman;serif" w:hAnsi="Times New Roman;serif"/>
          <w:b w:val="false"/>
          <w:color w:val="000000"/>
          <w:sz w:val="22"/>
        </w:rPr>
        <w:t>(l)</w:t>
      </w:r>
      <w:r>
        <w:rPr>
          <w:color w:val="000000"/>
        </w:rPr>
        <w:t>“</w:t>
      </w:r>
      <w:r>
        <w:rPr>
          <w:rFonts w:ascii="Times New Roman;serif" w:hAnsi="Times New Roman;serif"/>
          <w:b w:val="false"/>
          <w:color w:val="000000"/>
          <w:sz w:val="22"/>
          <w:u w:val="single"/>
        </w:rPr>
        <w:t>Dividend Equivalent</w:t>
      </w:r>
      <w:r>
        <w:rPr>
          <w:color w:val="000000"/>
        </w:rPr>
        <w:t xml:space="preserve">” </w:t>
      </w:r>
      <w:r>
        <w:rPr>
          <w:rFonts w:ascii="Times New Roman;serif" w:hAnsi="Times New Roman;serif"/>
          <w:b w:val="false"/>
          <w:color w:val="000000"/>
          <w:sz w:val="22"/>
        </w:rPr>
        <w:t>shall mean an amount determined by multiplying the number of shares of Company Stock subject to a Restricted Stock Unit or Other Stock-Based Award by the per-share cash dividend paid by the Company on its outstanding Company Stock, or the per-share Fair Market Value of any dividend paid on its outstanding Company Stock in consideration other than cash. If interest is credited on accumulated divided equivalents, the term “Dividend Equivalent” shall include the accrued interest.</w:t>
      </w:r>
    </w:p>
    <w:p>
      <w:pPr>
        <w:pStyle w:val="TextBody"/>
        <w:bidi w:val="0"/>
        <w:spacing w:lineRule="auto" w:line="288" w:before="0" w:after="240"/>
        <w:ind w:left="0" w:right="0" w:firstLine="1440"/>
        <w:jc w:val="left"/>
        <w:rPr/>
      </w:pPr>
      <w:r>
        <w:rPr>
          <w:rFonts w:ascii="Times New Roman;serif" w:hAnsi="Times New Roman;serif"/>
          <w:b w:val="false"/>
          <w:color w:val="000000"/>
          <w:sz w:val="22"/>
        </w:rPr>
        <w:t>(m)</w:t>
      </w:r>
      <w:r>
        <w:rPr>
          <w:color w:val="000000"/>
        </w:rPr>
        <w:t>“</w:t>
      </w:r>
      <w:r>
        <w:rPr>
          <w:rFonts w:ascii="Times New Roman;serif" w:hAnsi="Times New Roman;serif"/>
          <w:b w:val="false"/>
          <w:color w:val="000000"/>
          <w:sz w:val="22"/>
          <w:u w:val="single"/>
        </w:rPr>
        <w:t>Effective Date</w:t>
      </w:r>
      <w:r>
        <w:rPr>
          <w:color w:val="000000"/>
        </w:rPr>
        <w:t xml:space="preserve">” </w:t>
      </w:r>
      <w:r>
        <w:rPr>
          <w:rFonts w:ascii="Times New Roman;serif" w:hAnsi="Times New Roman;serif"/>
          <w:b w:val="false"/>
          <w:color w:val="000000"/>
          <w:sz w:val="22"/>
        </w:rPr>
        <w:t>shall mean the date on which the Plan is approved by the Company’s stockholders.</w:t>
      </w:r>
    </w:p>
    <w:p>
      <w:pPr>
        <w:pStyle w:val="TextBody"/>
        <w:bidi w:val="0"/>
        <w:spacing w:lineRule="auto" w:line="288" w:before="0" w:after="240"/>
        <w:ind w:left="0" w:right="0" w:firstLine="1440"/>
        <w:jc w:val="left"/>
        <w:rPr/>
      </w:pPr>
      <w:r>
        <w:rPr>
          <w:rFonts w:ascii="Times New Roman;serif" w:hAnsi="Times New Roman;serif"/>
          <w:b w:val="false"/>
          <w:color w:val="000000"/>
          <w:sz w:val="22"/>
        </w:rPr>
        <w:t>(n)</w:t>
      </w:r>
      <w:r>
        <w:rPr>
          <w:color w:val="000000"/>
        </w:rPr>
        <w:t>“</w:t>
      </w:r>
      <w:r>
        <w:rPr>
          <w:rFonts w:ascii="Times New Roman;serif" w:hAnsi="Times New Roman;serif"/>
          <w:b w:val="false"/>
          <w:color w:val="000000"/>
          <w:sz w:val="22"/>
          <w:u w:val="single"/>
        </w:rPr>
        <w:t>Employee</w:t>
      </w:r>
      <w:r>
        <w:rPr>
          <w:color w:val="000000"/>
        </w:rPr>
        <w:t xml:space="preserve">” </w:t>
      </w:r>
      <w:r>
        <w:rPr>
          <w:rFonts w:ascii="Times New Roman;serif" w:hAnsi="Times New Roman;serif"/>
          <w:b w:val="false"/>
          <w:color w:val="000000"/>
          <w:sz w:val="22"/>
        </w:rPr>
        <w:t>shall mean an employee of the Employer (including an officer or director who is also an employee) but excluding any person who is classified by the Employer as a “contractor” or “consultant,” no matter how characterized by the Internal Revenue Service, other governmental agency or a court. Any change of characterization of an individual by the Internal Revenue Service or any court or government agency shall have no effect upon the classification of an individual as an Employee for purposes of this Plan unless the Committee determines otherwise.</w:t>
      </w:r>
    </w:p>
    <w:p>
      <w:pPr>
        <w:pStyle w:val="TextBody"/>
        <w:bidi w:val="0"/>
        <w:spacing w:lineRule="auto" w:line="288" w:before="0" w:after="240"/>
        <w:ind w:left="0" w:right="0" w:firstLine="1440"/>
        <w:jc w:val="left"/>
        <w:rPr/>
      </w:pPr>
      <w:r>
        <w:rPr>
          <w:rFonts w:ascii="Times New Roman;serif" w:hAnsi="Times New Roman;serif"/>
          <w:b w:val="false"/>
          <w:color w:val="000000"/>
          <w:sz w:val="22"/>
        </w:rPr>
        <w:t>(o)</w:t>
      </w:r>
      <w:r>
        <w:rPr>
          <w:color w:val="000000"/>
        </w:rPr>
        <w:t>“</w:t>
      </w:r>
      <w:r>
        <w:rPr>
          <w:rFonts w:ascii="Times New Roman;serif" w:hAnsi="Times New Roman;serif"/>
          <w:b w:val="false"/>
          <w:color w:val="000000"/>
          <w:sz w:val="22"/>
          <w:u w:val="single"/>
        </w:rPr>
        <w:t>Employed by, or providing service to, the Employer</w:t>
      </w:r>
      <w:r>
        <w:rPr>
          <w:color w:val="000000"/>
        </w:rPr>
        <w:t xml:space="preserve">” </w:t>
      </w:r>
      <w:r>
        <w:rPr>
          <w:rFonts w:ascii="Times New Roman;serif" w:hAnsi="Times New Roman;serif"/>
          <w:b w:val="false"/>
          <w:color w:val="000000"/>
          <w:sz w:val="22"/>
        </w:rPr>
        <w:t xml:space="preserve">shall mean employment or service as an Employee, Key Advisor, member of the Board or a member of a board of directors of a subsidiary of the Company (so that, for purposes of exercising Options and SARs and satisfying conditions with respect to Restricted Stock, Restricted Stock Units, Other Stock-Based Awards, and Cash Awards, a Participant shall not be considered to have terminated employment or service until the Participant ceases to be an Employee, Key Advisor, member of the Board, or member of the board of a subsidiary of the Company), unless the Committee determines otherwise. If a Participant’s relationship is with a subsidiary of the Company and that entity ceases to be a subsidiary of the Company, the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60655"/>
                <wp:effectExtent l="0" t="0" r="0" b="0"/>
                <wp:wrapNone/>
                <wp:docPr id="7" name="Frame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- 3 -</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Participant will be deemed to cease employment or service when the entity ceases to be a subsidiary of the Company, unless the Participant transfers employment or service to an Employer.</w:t>
      </w:r>
    </w:p>
    <w:p>
      <w:pPr>
        <w:pStyle w:val="TextBody"/>
        <w:bidi w:val="0"/>
        <w:spacing w:lineRule="auto" w:line="288" w:before="0" w:after="240"/>
        <w:ind w:left="0" w:right="0" w:firstLine="1440"/>
        <w:jc w:val="left"/>
        <w:rPr/>
      </w:pPr>
      <w:r>
        <w:rPr>
          <w:rFonts w:ascii="Times New Roman;serif" w:hAnsi="Times New Roman;serif"/>
          <w:b w:val="false"/>
          <w:color w:val="000000"/>
          <w:sz w:val="22"/>
        </w:rPr>
        <w:t>(p)</w:t>
      </w:r>
      <w:r>
        <w:rPr>
          <w:color w:val="000000"/>
        </w:rPr>
        <w:t>“</w:t>
      </w:r>
      <w:r>
        <w:rPr>
          <w:rFonts w:ascii="Times New Roman;serif" w:hAnsi="Times New Roman;serif"/>
          <w:b w:val="false"/>
          <w:color w:val="000000"/>
          <w:sz w:val="22"/>
          <w:u w:val="single"/>
        </w:rPr>
        <w:t>Employer</w:t>
      </w:r>
      <w:r>
        <w:rPr>
          <w:color w:val="000000"/>
        </w:rPr>
        <w:t xml:space="preserve">” </w:t>
      </w:r>
      <w:r>
        <w:rPr>
          <w:rFonts w:ascii="Times New Roman;serif" w:hAnsi="Times New Roman;serif"/>
          <w:b w:val="false"/>
          <w:color w:val="000000"/>
          <w:sz w:val="22"/>
        </w:rPr>
        <w:t>shall mean the Company and its subsidiaries.</w:t>
      </w:r>
    </w:p>
    <w:p>
      <w:pPr>
        <w:pStyle w:val="TextBody"/>
        <w:bidi w:val="0"/>
        <w:spacing w:lineRule="auto" w:line="288" w:before="0" w:after="240"/>
        <w:ind w:left="0" w:right="0" w:firstLine="1440"/>
        <w:jc w:val="left"/>
        <w:rPr/>
      </w:pPr>
      <w:r>
        <w:rPr>
          <w:rFonts w:ascii="Times New Roman;serif" w:hAnsi="Times New Roman;serif"/>
          <w:b w:val="false"/>
          <w:color w:val="000000"/>
          <w:sz w:val="22"/>
        </w:rPr>
        <w:t>(q)</w:t>
      </w:r>
      <w:r>
        <w:rPr>
          <w:color w:val="000000"/>
        </w:rPr>
        <w:t>“</w:t>
      </w:r>
      <w:r>
        <w:rPr>
          <w:rFonts w:ascii="Times New Roman;serif" w:hAnsi="Times New Roman;serif"/>
          <w:b w:val="false"/>
          <w:color w:val="000000"/>
          <w:sz w:val="22"/>
          <w:u w:val="single"/>
        </w:rPr>
        <w:t>Exchange Act</w:t>
      </w:r>
      <w:r>
        <w:rPr>
          <w:color w:val="000000"/>
        </w:rPr>
        <w:t xml:space="preserve">” </w:t>
      </w:r>
      <w:r>
        <w:rPr>
          <w:rFonts w:ascii="Times New Roman;serif" w:hAnsi="Times New Roman;serif"/>
          <w:b w:val="false"/>
          <w:color w:val="000000"/>
          <w:sz w:val="22"/>
        </w:rPr>
        <w:t>shall mean the Securities Exchange Act of 1934, as amended.</w:t>
      </w:r>
    </w:p>
    <w:p>
      <w:pPr>
        <w:pStyle w:val="TextBody"/>
        <w:bidi w:val="0"/>
        <w:spacing w:lineRule="auto" w:line="288" w:before="0" w:after="240"/>
        <w:ind w:left="0" w:right="0" w:firstLine="1440"/>
        <w:jc w:val="left"/>
        <w:rPr/>
      </w:pPr>
      <w:r>
        <w:rPr>
          <w:rFonts w:ascii="Times New Roman;serif" w:hAnsi="Times New Roman;serif"/>
          <w:b w:val="false"/>
          <w:color w:val="000000"/>
          <w:sz w:val="22"/>
        </w:rPr>
        <w:t>(r)</w:t>
      </w:r>
      <w:r>
        <w:rPr>
          <w:color w:val="000000"/>
        </w:rPr>
        <w:t>“</w:t>
      </w:r>
      <w:r>
        <w:rPr>
          <w:rFonts w:ascii="Times New Roman;serif" w:hAnsi="Times New Roman;serif"/>
          <w:b w:val="false"/>
          <w:color w:val="000000"/>
          <w:sz w:val="22"/>
          <w:u w:val="single"/>
        </w:rPr>
        <w:t>Exercise Price</w:t>
      </w:r>
      <w:r>
        <w:rPr>
          <w:color w:val="000000"/>
        </w:rPr>
        <w:t xml:space="preserve">” </w:t>
      </w:r>
      <w:r>
        <w:rPr>
          <w:rFonts w:ascii="Times New Roman;serif" w:hAnsi="Times New Roman;serif"/>
          <w:b w:val="false"/>
          <w:color w:val="000000"/>
          <w:sz w:val="22"/>
        </w:rPr>
        <w:t>shall mean the per share price at which shares of Company Stock may be purchased under an Option, as designated by the Committee.</w:t>
      </w:r>
    </w:p>
    <w:p>
      <w:pPr>
        <w:pStyle w:val="TextBody"/>
        <w:bidi w:val="0"/>
        <w:spacing w:lineRule="auto" w:line="288" w:before="0" w:after="240"/>
        <w:ind w:left="0" w:right="0" w:firstLine="1440"/>
        <w:jc w:val="left"/>
        <w:rPr/>
      </w:pPr>
      <w:r>
        <w:rPr>
          <w:rFonts w:ascii="Times New Roman;serif" w:hAnsi="Times New Roman;serif"/>
          <w:b w:val="false"/>
          <w:color w:val="000000"/>
          <w:sz w:val="22"/>
        </w:rPr>
        <w:t>(s)</w:t>
      </w:r>
      <w:r>
        <w:rPr>
          <w:color w:val="000000"/>
        </w:rPr>
        <w:t>“</w:t>
      </w:r>
      <w:r>
        <w:rPr>
          <w:rFonts w:ascii="Times New Roman;serif" w:hAnsi="Times New Roman;serif"/>
          <w:b w:val="false"/>
          <w:color w:val="000000"/>
          <w:sz w:val="22"/>
          <w:u w:val="single"/>
        </w:rPr>
        <w:t>Fair Market Value</w:t>
      </w:r>
      <w:r>
        <w:rPr>
          <w:color w:val="000000"/>
        </w:rPr>
        <w:t xml:space="preserve">” </w:t>
      </w:r>
      <w:r>
        <w:rPr>
          <w:rFonts w:ascii="Times New Roman;serif" w:hAnsi="Times New Roman;serif"/>
          <w:b w:val="false"/>
          <w:color w:val="000000"/>
          <w:sz w:val="22"/>
        </w:rPr>
        <w:t>shall mean:</w:t>
      </w:r>
    </w:p>
    <w:p>
      <w:pPr>
        <w:pStyle w:val="TextBody"/>
        <w:bidi w:val="0"/>
        <w:spacing w:lineRule="auto" w:line="288" w:before="0" w:after="240"/>
        <w:ind w:left="0" w:right="0" w:firstLine="2160"/>
        <w:jc w:val="left"/>
        <w:rPr/>
      </w:pPr>
      <w:r>
        <w:rPr>
          <w:rFonts w:ascii="Times New Roman;serif" w:hAnsi="Times New Roman;serif"/>
          <w:b w:val="false"/>
          <w:color w:val="000000"/>
          <w:sz w:val="22"/>
        </w:rPr>
        <w:t>(i)</w:t>
      </w:r>
      <w:r>
        <w:rPr>
          <w:rFonts w:ascii="Times New Roman;serif" w:hAnsi="Times New Roman;serif"/>
          <w:b w:val="false"/>
          <w:color w:val="000000"/>
          <w:sz w:val="22"/>
        </w:rPr>
        <w:t>If the Company Stock is publicly traded, the Fair Market Value per share shall be determined as follows: (A) if the principal trading market for the Company Stock is a national securities exchange, the closing sales price per share of Company Stock, as reported by such exchange, during regular trading hours on the relevant date or, if there were no trades on that date, the latest preceding date upon which a sale was reported, or (B) if the Company Stock is not principally traded on any such exchange, the last reported sale price of a share of Company Stock during regular trading hours on the relevant date, as reported by the OTC Bulletin Board.</w:t>
      </w:r>
    </w:p>
    <w:p>
      <w:pPr>
        <w:pStyle w:val="TextBody"/>
        <w:bidi w:val="0"/>
        <w:spacing w:lineRule="auto" w:line="288" w:before="0" w:after="240"/>
        <w:ind w:left="0" w:right="0" w:firstLine="2160"/>
        <w:jc w:val="left"/>
        <w:rPr/>
      </w:pPr>
      <w:r>
        <w:rPr>
          <w:rFonts w:ascii="Times New Roman;serif" w:hAnsi="Times New Roman;serif"/>
          <w:b w:val="false"/>
          <w:color w:val="000000"/>
          <w:sz w:val="22"/>
        </w:rPr>
        <w:t>(ii)</w:t>
      </w:r>
      <w:r>
        <w:rPr>
          <w:rFonts w:ascii="Times New Roman;serif" w:hAnsi="Times New Roman;serif"/>
          <w:b w:val="false"/>
          <w:color w:val="000000"/>
          <w:sz w:val="22"/>
        </w:rPr>
        <w:t>If the Company Stock is not publicly traded or, if publicly traded, is not subject to reported transactions as set forth above, the Fair Market Value per share shall be determined by the Committee through any reasonable valuation method and, if required, that is authorized under the Code.</w:t>
      </w:r>
    </w:p>
    <w:p>
      <w:pPr>
        <w:pStyle w:val="TextBody"/>
        <w:bidi w:val="0"/>
        <w:spacing w:lineRule="auto" w:line="288" w:before="0" w:after="240"/>
        <w:ind w:left="0" w:right="0" w:firstLine="1440"/>
        <w:jc w:val="left"/>
        <w:rPr/>
      </w:pPr>
      <w:r>
        <w:rPr>
          <w:rFonts w:ascii="Times New Roman;serif" w:hAnsi="Times New Roman;serif"/>
          <w:b w:val="false"/>
          <w:color w:val="000000"/>
          <w:sz w:val="22"/>
        </w:rPr>
        <w:t>(t)</w:t>
      </w:r>
      <w:r>
        <w:rPr>
          <w:color w:val="000000"/>
        </w:rPr>
        <w:t>“</w:t>
      </w:r>
      <w:r>
        <w:rPr>
          <w:rFonts w:ascii="Times New Roman;serif" w:hAnsi="Times New Roman;serif"/>
          <w:b w:val="false"/>
          <w:color w:val="000000"/>
          <w:sz w:val="22"/>
          <w:u w:val="single"/>
        </w:rPr>
        <w:t>Incentive Stock Option</w:t>
      </w:r>
      <w:r>
        <w:rPr>
          <w:color w:val="000000"/>
        </w:rPr>
        <w:t xml:space="preserve">” </w:t>
      </w:r>
      <w:r>
        <w:rPr>
          <w:rFonts w:ascii="Times New Roman;serif" w:hAnsi="Times New Roman;serif"/>
          <w:b w:val="false"/>
          <w:color w:val="000000"/>
          <w:sz w:val="22"/>
        </w:rPr>
        <w:t>shall mean an Option that is intended to meet the requirements of an incentive stock option under section 422 of the Code.</w:t>
      </w:r>
    </w:p>
    <w:p>
      <w:pPr>
        <w:pStyle w:val="TextBody"/>
        <w:bidi w:val="0"/>
        <w:spacing w:lineRule="auto" w:line="288" w:before="0" w:after="240"/>
        <w:ind w:left="0" w:right="0" w:firstLine="1440"/>
        <w:jc w:val="left"/>
        <w:rPr/>
      </w:pPr>
      <w:r>
        <w:rPr>
          <w:rFonts w:ascii="Times New Roman;serif" w:hAnsi="Times New Roman;serif"/>
          <w:b w:val="false"/>
          <w:color w:val="000000"/>
          <w:sz w:val="22"/>
        </w:rPr>
        <w:t>(u)</w:t>
      </w:r>
      <w:r>
        <w:rPr>
          <w:color w:val="000000"/>
        </w:rPr>
        <w:t>“</w:t>
      </w:r>
      <w:r>
        <w:rPr>
          <w:rFonts w:ascii="Times New Roman;serif" w:hAnsi="Times New Roman;serif"/>
          <w:b w:val="false"/>
          <w:color w:val="000000"/>
          <w:sz w:val="22"/>
          <w:u w:val="single"/>
        </w:rPr>
        <w:t>Key Advisor</w:t>
      </w:r>
      <w:r>
        <w:rPr>
          <w:color w:val="000000"/>
        </w:rPr>
        <w:t xml:space="preserve">” </w:t>
      </w:r>
      <w:r>
        <w:rPr>
          <w:rFonts w:ascii="Times New Roman;serif" w:hAnsi="Times New Roman;serif"/>
          <w:b w:val="false"/>
          <w:color w:val="000000"/>
          <w:sz w:val="22"/>
        </w:rPr>
        <w:t>shall mean a consultant or advisor of the Employer.</w:t>
      </w:r>
    </w:p>
    <w:p>
      <w:pPr>
        <w:pStyle w:val="TextBody"/>
        <w:bidi w:val="0"/>
        <w:spacing w:lineRule="auto" w:line="288" w:before="0" w:after="240"/>
        <w:ind w:left="0" w:right="0" w:firstLine="1440"/>
        <w:jc w:val="left"/>
        <w:rPr/>
      </w:pPr>
      <w:r>
        <w:rPr>
          <w:rFonts w:ascii="Times New Roman;serif" w:hAnsi="Times New Roman;serif"/>
          <w:b w:val="false"/>
          <w:color w:val="000000"/>
          <w:sz w:val="22"/>
        </w:rPr>
        <w:t>(v)</w:t>
      </w:r>
      <w:r>
        <w:rPr>
          <w:color w:val="000000"/>
        </w:rPr>
        <w:t>“</w:t>
      </w:r>
      <w:r>
        <w:rPr>
          <w:rFonts w:ascii="Times New Roman;serif" w:hAnsi="Times New Roman;serif"/>
          <w:b w:val="false"/>
          <w:color w:val="000000"/>
          <w:sz w:val="22"/>
          <w:u w:val="single"/>
        </w:rPr>
        <w:t>Non-Employee Director</w:t>
      </w:r>
      <w:r>
        <w:rPr>
          <w:color w:val="000000"/>
        </w:rPr>
        <w:t xml:space="preserve">” </w:t>
      </w:r>
      <w:r>
        <w:rPr>
          <w:rFonts w:ascii="Times New Roman;serif" w:hAnsi="Times New Roman;serif"/>
          <w:b w:val="false"/>
          <w:color w:val="000000"/>
          <w:sz w:val="22"/>
        </w:rPr>
        <w:t>shall mean a member of the Board who is not an Employee.</w:t>
      </w:r>
    </w:p>
    <w:p>
      <w:pPr>
        <w:pStyle w:val="TextBody"/>
        <w:bidi w:val="0"/>
        <w:spacing w:lineRule="auto" w:line="288" w:before="0" w:after="240"/>
        <w:ind w:left="0" w:right="0" w:firstLine="1440"/>
        <w:jc w:val="left"/>
        <w:rPr/>
      </w:pPr>
      <w:r>
        <w:rPr>
          <w:rFonts w:ascii="Times New Roman;serif" w:hAnsi="Times New Roman;serif"/>
          <w:b w:val="false"/>
          <w:color w:val="000000"/>
          <w:sz w:val="22"/>
        </w:rPr>
        <w:t>(w)</w:t>
      </w:r>
      <w:r>
        <w:rPr>
          <w:color w:val="000000"/>
        </w:rPr>
        <w:t>“</w:t>
      </w:r>
      <w:r>
        <w:rPr>
          <w:rFonts w:ascii="Times New Roman;serif" w:hAnsi="Times New Roman;serif"/>
          <w:b w:val="false"/>
          <w:color w:val="000000"/>
          <w:sz w:val="22"/>
          <w:u w:val="single"/>
        </w:rPr>
        <w:t>Non-qualified Stock Option</w:t>
      </w:r>
      <w:r>
        <w:rPr>
          <w:color w:val="000000"/>
        </w:rPr>
        <w:t xml:space="preserve">” </w:t>
      </w:r>
      <w:r>
        <w:rPr>
          <w:rFonts w:ascii="Times New Roman;serif" w:hAnsi="Times New Roman;serif"/>
          <w:b w:val="false"/>
          <w:color w:val="000000"/>
          <w:sz w:val="22"/>
        </w:rPr>
        <w:t>shall mean an Option that is not intended to be taxed as an incentive stock option under section 422 of the Code.</w:t>
      </w:r>
    </w:p>
    <w:p>
      <w:pPr>
        <w:pStyle w:val="TextBody"/>
        <w:bidi w:val="0"/>
        <w:spacing w:lineRule="auto" w:line="288" w:before="0" w:after="240"/>
        <w:ind w:left="0" w:right="0" w:firstLine="1440"/>
        <w:jc w:val="left"/>
        <w:rPr/>
      </w:pPr>
      <w:r>
        <w:rPr>
          <w:rFonts w:ascii="Times New Roman;serif" w:hAnsi="Times New Roman;serif"/>
          <w:b w:val="false"/>
          <w:color w:val="000000"/>
          <w:sz w:val="22"/>
        </w:rPr>
        <w:t>(x)</w:t>
      </w:r>
      <w:r>
        <w:rPr>
          <w:color w:val="000000"/>
        </w:rPr>
        <w:t>“</w:t>
      </w:r>
      <w:r>
        <w:rPr>
          <w:rFonts w:ascii="Times New Roman;serif" w:hAnsi="Times New Roman;serif"/>
          <w:b w:val="false"/>
          <w:color w:val="000000"/>
          <w:sz w:val="22"/>
          <w:u w:val="single"/>
        </w:rPr>
        <w:t>Option</w:t>
      </w:r>
      <w:r>
        <w:rPr>
          <w:color w:val="000000"/>
        </w:rPr>
        <w:t xml:space="preserve">” </w:t>
      </w:r>
      <w:r>
        <w:rPr>
          <w:rFonts w:ascii="Times New Roman;serif" w:hAnsi="Times New Roman;serif"/>
          <w:b w:val="false"/>
          <w:color w:val="000000"/>
          <w:sz w:val="22"/>
        </w:rPr>
        <w:t>shall mean an option to purchase shares of Company Stock, as described in Section 6.</w:t>
      </w:r>
    </w:p>
    <w:p>
      <w:pPr>
        <w:pStyle w:val="TextBody"/>
        <w:bidi w:val="0"/>
        <w:spacing w:lineRule="auto" w:line="288" w:before="0" w:after="240"/>
        <w:ind w:left="0" w:right="0" w:firstLine="1440"/>
        <w:jc w:val="left"/>
        <w:rPr/>
      </w:pPr>
      <w:r>
        <w:rPr>
          <w:rFonts w:ascii="Times New Roman;serif" w:hAnsi="Times New Roman;serif"/>
          <w:b w:val="false"/>
          <w:color w:val="000000"/>
          <w:sz w:val="22"/>
        </w:rPr>
        <w:t>(y)</w:t>
      </w:r>
      <w:r>
        <w:rPr>
          <w:color w:val="000000"/>
        </w:rPr>
        <w:t>“</w:t>
      </w:r>
      <w:r>
        <w:rPr>
          <w:rFonts w:ascii="Times New Roman;serif" w:hAnsi="Times New Roman;serif"/>
          <w:b w:val="false"/>
          <w:color w:val="000000"/>
          <w:sz w:val="22"/>
          <w:u w:val="single"/>
        </w:rPr>
        <w:t>Other Stock-Based Award</w:t>
      </w:r>
      <w:r>
        <w:rPr>
          <w:color w:val="000000"/>
        </w:rPr>
        <w:t xml:space="preserve">” </w:t>
      </w:r>
      <w:r>
        <w:rPr>
          <w:rFonts w:ascii="Times New Roman;serif" w:hAnsi="Times New Roman;serif"/>
          <w:b w:val="false"/>
          <w:color w:val="000000"/>
          <w:sz w:val="22"/>
        </w:rPr>
        <w:t>shall mean any Award based on, measured by or payable in Company Stock (other than an Option, Restricted Stock Unit, Restricted Stock, or SAR), as described in Section 10.</w:t>
      </w:r>
    </w:p>
    <w:p>
      <w:pPr>
        <w:pStyle w:val="TextBody"/>
        <w:bidi w:val="0"/>
        <w:spacing w:lineRule="auto" w:line="288" w:before="0" w:after="240"/>
        <w:ind w:left="0" w:right="0" w:firstLine="1440"/>
        <w:jc w:val="left"/>
        <w:rPr/>
      </w:pPr>
      <w:r>
        <w:rPr>
          <w:rFonts w:ascii="Times New Roman;serif" w:hAnsi="Times New Roman;serif"/>
          <w:b w:val="false"/>
          <w:color w:val="000000"/>
          <w:sz w:val="22"/>
        </w:rPr>
        <w:t>(z)</w:t>
      </w:r>
      <w:r>
        <w:rPr>
          <w:color w:val="000000"/>
        </w:rPr>
        <w:t>“</w:t>
      </w:r>
      <w:r>
        <w:rPr>
          <w:rFonts w:ascii="Times New Roman;serif" w:hAnsi="Times New Roman;serif"/>
          <w:b w:val="false"/>
          <w:color w:val="000000"/>
          <w:sz w:val="22"/>
          <w:u w:val="single"/>
        </w:rPr>
        <w:t>Participant</w:t>
      </w:r>
      <w:r>
        <w:rPr>
          <w:color w:val="000000"/>
        </w:rPr>
        <w:t xml:space="preserve">” </w:t>
      </w:r>
      <w:r>
        <w:rPr>
          <w:rFonts w:ascii="Times New Roman;serif" w:hAnsi="Times New Roman;serif"/>
          <w:b w:val="false"/>
          <w:color w:val="000000"/>
          <w:sz w:val="22"/>
        </w:rPr>
        <w:t>shall mean an Employee, Key Advisor or Non-Employee Director designated by the Committee to participate in the Plan.</w:t>
      </w:r>
    </w:p>
    <w:p>
      <w:pPr>
        <w:pStyle w:val="TextBody"/>
        <w:bidi w:val="0"/>
        <w:spacing w:lineRule="auto" w:line="288" w:before="0" w:after="240"/>
        <w:ind w:left="0" w:right="0" w:firstLine="1440"/>
        <w:jc w:val="left"/>
        <w:rPr/>
      </w:pPr>
      <w:r>
        <w:rPr>
          <w:rFonts w:ascii="Times New Roman;serif" w:hAnsi="Times New Roman;serif"/>
          <w:b w:val="false"/>
          <w:color w:val="000000"/>
          <w:sz w:val="22"/>
        </w:rPr>
        <w:t>(aa)</w:t>
      </w:r>
      <w:r>
        <w:rPr>
          <w:color w:val="000000"/>
        </w:rPr>
        <w:t>“</w:t>
      </w:r>
      <w:r>
        <w:rPr>
          <w:rFonts w:ascii="Times New Roman;serif" w:hAnsi="Times New Roman;serif"/>
          <w:b w:val="false"/>
          <w:color w:val="000000"/>
          <w:sz w:val="22"/>
          <w:u w:val="single"/>
        </w:rPr>
        <w:t>Performance Goals</w:t>
      </w:r>
      <w:r>
        <w:rPr>
          <w:color w:val="000000"/>
        </w:rPr>
        <w:t xml:space="preserve">” </w:t>
      </w:r>
      <w:r>
        <w:rPr>
          <w:rFonts w:ascii="Times New Roman;serif" w:hAnsi="Times New Roman;serif"/>
          <w:b w:val="false"/>
          <w:color w:val="000000"/>
          <w:sz w:val="22"/>
        </w:rPr>
        <w:t xml:space="preserve">shall mean performance goals based on, but are not limited to, one or more of the following criteria: revenue; earnings per share; operating income; net income (before or after taxes); cash flow (including, but not limited to, operating cash flow and free cash flow);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60655"/>
                <wp:effectExtent l="0" t="0" r="0" b="0"/>
                <wp:wrapNone/>
                <wp:docPr id="8" name="Frame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- 4 -</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gross profit; growth in any of the preceding measures; gross profit return on investment; gross margin return on investment; working capital; gross margins; EBIT; EBITDA; return on equity; return on assets; return on capital; revenue growth; total shareholder return; economic value added; customer satisfaction; technology leadership; number of new patents; employee retention; market share; market segment share; product release schedules; new product innovation; cost reduction through advanced technology; brand recognition/acceptance; product ship targets; corporate values measures that may be objectively determined, including, without limitation, with respect to product quality, human capital management and environment, health and safety; and stock value; and other similar criteria consistent with the foregoing. Performance goals applicable to an Award shall be determined by the Committee, and may be measured in terms of any period, including calendar year, fiscal year, or any longer or shorter period as determined by the Committee. Performance goals may be established on an absolute or relative basis, on a GAAP or non-GAAP basis, and may be established on a corporate-wide basis, or on objectives that are related to the performance of an individual Participant, or with respect to one or more business units, departments, divisions, subsidiaries or business segments. Relative performance may be measured against a group of peer companies, a financial market index or other objective and quantifiable indices.</w:t>
      </w:r>
    </w:p>
    <w:p>
      <w:pPr>
        <w:pStyle w:val="TextBody"/>
        <w:bidi w:val="0"/>
        <w:spacing w:lineRule="auto" w:line="288" w:before="0" w:after="240"/>
        <w:ind w:left="0" w:right="0" w:firstLine="1440"/>
        <w:jc w:val="left"/>
        <w:rPr/>
      </w:pPr>
      <w:r>
        <w:rPr>
          <w:rFonts w:ascii="Times New Roman;serif" w:hAnsi="Times New Roman;serif"/>
          <w:b w:val="false"/>
          <w:color w:val="000000"/>
          <w:sz w:val="22"/>
        </w:rPr>
        <w:t>(bb)</w:t>
      </w:r>
      <w:r>
        <w:rPr>
          <w:color w:val="000000"/>
        </w:rPr>
        <w:t>“</w:t>
      </w:r>
      <w:r>
        <w:rPr>
          <w:rFonts w:ascii="Times New Roman;serif" w:hAnsi="Times New Roman;serif"/>
          <w:b w:val="false"/>
          <w:color w:val="000000"/>
          <w:sz w:val="22"/>
          <w:u w:val="single"/>
        </w:rPr>
        <w:t>Restricted Stock</w:t>
      </w:r>
      <w:r>
        <w:rPr>
          <w:color w:val="000000"/>
        </w:rPr>
        <w:t xml:space="preserve">” </w:t>
      </w:r>
      <w:r>
        <w:rPr>
          <w:rFonts w:ascii="Times New Roman;serif" w:hAnsi="Times New Roman;serif"/>
          <w:b w:val="false"/>
          <w:color w:val="000000"/>
          <w:sz w:val="22"/>
        </w:rPr>
        <w:t>shall mean an award of Company Stock, as described in Section 7.</w:t>
      </w:r>
    </w:p>
    <w:p>
      <w:pPr>
        <w:pStyle w:val="TextBody"/>
        <w:bidi w:val="0"/>
        <w:spacing w:lineRule="auto" w:line="288" w:before="0" w:after="240"/>
        <w:ind w:left="0" w:right="0" w:firstLine="1440"/>
        <w:jc w:val="left"/>
        <w:rPr/>
      </w:pPr>
      <w:r>
        <w:rPr>
          <w:rFonts w:ascii="Times New Roman;serif" w:hAnsi="Times New Roman;serif"/>
          <w:b w:val="false"/>
          <w:color w:val="000000"/>
          <w:sz w:val="22"/>
        </w:rPr>
        <w:t>(cc)</w:t>
      </w:r>
      <w:r>
        <w:rPr>
          <w:color w:val="000000"/>
        </w:rPr>
        <w:t>“</w:t>
      </w:r>
      <w:r>
        <w:rPr>
          <w:rFonts w:ascii="Times New Roman;serif" w:hAnsi="Times New Roman;serif"/>
          <w:b w:val="false"/>
          <w:color w:val="000000"/>
          <w:sz w:val="22"/>
          <w:u w:val="single"/>
        </w:rPr>
        <w:t>Restricted Stock Unit</w:t>
      </w:r>
      <w:r>
        <w:rPr>
          <w:color w:val="000000"/>
        </w:rPr>
        <w:t xml:space="preserve">” </w:t>
      </w:r>
      <w:r>
        <w:rPr>
          <w:rFonts w:ascii="Times New Roman;serif" w:hAnsi="Times New Roman;serif"/>
          <w:b w:val="false"/>
          <w:color w:val="000000"/>
          <w:sz w:val="22"/>
        </w:rPr>
        <w:t>shall mean an award of a phantom unit representing a share of Company Stock, as described in Section 8.</w:t>
      </w:r>
    </w:p>
    <w:p>
      <w:pPr>
        <w:pStyle w:val="TextBody"/>
        <w:bidi w:val="0"/>
        <w:spacing w:lineRule="auto" w:line="288" w:before="0" w:after="240"/>
        <w:ind w:left="0" w:right="0" w:firstLine="1440"/>
        <w:jc w:val="left"/>
        <w:rPr/>
      </w:pPr>
      <w:r>
        <w:rPr>
          <w:rFonts w:ascii="Times New Roman;serif" w:hAnsi="Times New Roman;serif"/>
          <w:b w:val="false"/>
          <w:color w:val="000000"/>
          <w:sz w:val="22"/>
        </w:rPr>
        <w:t>(dd)</w:t>
      </w:r>
      <w:r>
        <w:rPr>
          <w:color w:val="000000"/>
        </w:rPr>
        <w:t>“</w:t>
      </w:r>
      <w:r>
        <w:rPr>
          <w:rFonts w:ascii="Times New Roman;serif" w:hAnsi="Times New Roman;serif"/>
          <w:b w:val="false"/>
          <w:color w:val="000000"/>
          <w:sz w:val="22"/>
          <w:u w:val="single"/>
        </w:rPr>
        <w:t>Restriction Period</w:t>
      </w:r>
      <w:r>
        <w:rPr>
          <w:color w:val="000000"/>
        </w:rPr>
        <w:t xml:space="preserve">” </w:t>
      </w:r>
      <w:r>
        <w:rPr>
          <w:rFonts w:ascii="Times New Roman;serif" w:hAnsi="Times New Roman;serif"/>
          <w:b w:val="false"/>
          <w:color w:val="000000"/>
          <w:sz w:val="22"/>
        </w:rPr>
        <w:t>shall have the meaning given that term in Section 7(a).</w:t>
      </w:r>
    </w:p>
    <w:p>
      <w:pPr>
        <w:pStyle w:val="TextBody"/>
        <w:bidi w:val="0"/>
        <w:spacing w:lineRule="auto" w:line="288" w:before="0" w:after="240"/>
        <w:ind w:left="0" w:right="0" w:firstLine="1440"/>
        <w:jc w:val="left"/>
        <w:rPr/>
      </w:pPr>
      <w:r>
        <w:rPr>
          <w:rFonts w:ascii="Times New Roman;serif" w:hAnsi="Times New Roman;serif"/>
          <w:b w:val="false"/>
          <w:color w:val="000000"/>
          <w:sz w:val="22"/>
        </w:rPr>
        <w:t>(ee)</w:t>
      </w:r>
      <w:r>
        <w:rPr>
          <w:color w:val="000000"/>
        </w:rPr>
        <w:t>“</w:t>
      </w:r>
      <w:r>
        <w:rPr>
          <w:rFonts w:ascii="Times New Roman;serif" w:hAnsi="Times New Roman;serif"/>
          <w:b w:val="false"/>
          <w:color w:val="000000"/>
          <w:sz w:val="22"/>
          <w:u w:val="single"/>
        </w:rPr>
        <w:t>SAR</w:t>
      </w:r>
      <w:r>
        <w:rPr>
          <w:color w:val="000000"/>
        </w:rPr>
        <w:t xml:space="preserve">” </w:t>
      </w:r>
      <w:r>
        <w:rPr>
          <w:rFonts w:ascii="Times New Roman;serif" w:hAnsi="Times New Roman;serif"/>
          <w:b w:val="false"/>
          <w:color w:val="000000"/>
          <w:sz w:val="22"/>
        </w:rPr>
        <w:t>shall mean a stock appreciation right, as described in Section 9.</w:t>
      </w:r>
    </w:p>
    <w:p>
      <w:pPr>
        <w:pStyle w:val="TextBody"/>
        <w:bidi w:val="0"/>
        <w:spacing w:lineRule="auto" w:line="288" w:before="0" w:after="240"/>
        <w:ind w:left="0" w:right="0" w:firstLine="1440"/>
        <w:jc w:val="left"/>
        <w:rPr/>
      </w:pPr>
      <w:r>
        <w:rPr>
          <w:rFonts w:ascii="Times New Roman;serif" w:hAnsi="Times New Roman;serif"/>
          <w:b w:val="false"/>
          <w:color w:val="000000"/>
          <w:sz w:val="22"/>
        </w:rPr>
        <w:t>(ff)</w:t>
      </w:r>
      <w:r>
        <w:rPr>
          <w:color w:val="000000"/>
        </w:rPr>
        <w:t>“</w:t>
      </w:r>
      <w:r>
        <w:rPr>
          <w:rFonts w:ascii="Times New Roman;serif" w:hAnsi="Times New Roman;serif"/>
          <w:b w:val="false"/>
          <w:color w:val="000000"/>
          <w:sz w:val="22"/>
          <w:u w:val="single"/>
        </w:rPr>
        <w:t>Substitute Awards</w:t>
      </w:r>
      <w:r>
        <w:rPr>
          <w:color w:val="000000"/>
        </w:rPr>
        <w:t xml:space="preserve">” </w:t>
      </w:r>
      <w:r>
        <w:rPr>
          <w:rFonts w:ascii="Times New Roman;serif" w:hAnsi="Times New Roman;serif"/>
          <w:b w:val="false"/>
          <w:color w:val="000000"/>
          <w:sz w:val="22"/>
        </w:rPr>
        <w:t>shall have the meaning given that term in Section 4(c).</w:t>
      </w:r>
    </w:p>
    <w:p>
      <w:pPr>
        <w:pStyle w:val="TextBody"/>
        <w:bidi w:val="0"/>
        <w:spacing w:lineRule="auto" w:line="288" w:before="0" w:after="240"/>
        <w:jc w:val="left"/>
        <w:rPr/>
      </w:pPr>
      <w:r>
        <w:rPr>
          <w:rFonts w:ascii="Times New Roman;serif" w:hAnsi="Times New Roman;serif"/>
          <w:b/>
          <w:color w:val="000000"/>
          <w:sz w:val="22"/>
        </w:rPr>
        <w:t>Section 2.</w:t>
      </w:r>
      <w:r>
        <w:rPr>
          <w:rFonts w:ascii="Times New Roman;serif" w:hAnsi="Times New Roman;serif"/>
          <w:b/>
          <w:color w:val="000000"/>
          <w:sz w:val="22"/>
        </w:rPr>
        <w:t>Administration</w:t>
      </w:r>
    </w:p>
    <w:p>
      <w:pPr>
        <w:pStyle w:val="TextBody"/>
        <w:bidi w:val="0"/>
        <w:spacing w:lineRule="auto" w:line="288" w:before="0" w:after="240"/>
        <w:ind w:left="0" w:right="0" w:firstLine="1440"/>
        <w:jc w:val="left"/>
        <w:rPr/>
      </w:pPr>
      <w:r>
        <w:rPr>
          <w:rFonts w:ascii="Times New Roman;serif" w:hAnsi="Times New Roman;serif"/>
          <w:b w:val="false"/>
          <w:color w:val="000000"/>
          <w:sz w:val="22"/>
        </w:rPr>
        <w:t>(a)</w:t>
      </w:r>
      <w:r>
        <w:rPr>
          <w:rFonts w:ascii="Times New Roman;serif" w:hAnsi="Times New Roman;serif"/>
          <w:b w:val="false"/>
          <w:color w:val="000000"/>
          <w:sz w:val="22"/>
          <w:u w:val="single"/>
        </w:rPr>
        <w:t>Committee</w:t>
      </w:r>
      <w:r>
        <w:rPr>
          <w:rFonts w:ascii="Times New Roman;serif" w:hAnsi="Times New Roman;serif"/>
          <w:b w:val="false"/>
          <w:color w:val="000000"/>
          <w:sz w:val="22"/>
        </w:rPr>
        <w:t>. The Plan shall be administered and interpreted by the Committee. The Committee may delegate authority to one or more subcommittees, as it deems appropriate. Subject to compliance with applicable law and the applicable stock exchange rules, the Board, in its discretion, may perform any action of the Committee hereunder. To the extent that the Board, the Committee, a subcommittee or the CEO, as described below administers the Plan, references in the Plan to the “Committee” shall be deemed to refer to the Board, the Committee or such subcommittee or the CEO.</w:t>
      </w:r>
    </w:p>
    <w:p>
      <w:pPr>
        <w:pStyle w:val="TextBody"/>
        <w:bidi w:val="0"/>
        <w:spacing w:lineRule="auto" w:line="288" w:before="0" w:after="240"/>
        <w:ind w:left="0" w:right="0" w:firstLine="1440"/>
        <w:jc w:val="left"/>
        <w:rPr/>
      </w:pPr>
      <w:r>
        <w:rPr>
          <w:rFonts w:ascii="Times New Roman;serif" w:hAnsi="Times New Roman;serif"/>
          <w:b w:val="false"/>
          <w:color w:val="000000"/>
          <w:sz w:val="22"/>
        </w:rPr>
        <w:t>(b)</w:t>
      </w:r>
      <w:r>
        <w:rPr>
          <w:rFonts w:ascii="Times New Roman;serif" w:hAnsi="Times New Roman;serif"/>
          <w:b w:val="false"/>
          <w:color w:val="000000"/>
          <w:sz w:val="22"/>
          <w:u w:val="single"/>
        </w:rPr>
        <w:t>Delegation to CEO</w:t>
      </w:r>
      <w:r>
        <w:rPr>
          <w:rFonts w:ascii="Times New Roman;serif" w:hAnsi="Times New Roman;serif"/>
          <w:b w:val="false"/>
          <w:color w:val="000000"/>
          <w:sz w:val="22"/>
        </w:rPr>
        <w:t>. Subject to compliance with applicable law and applicable stock exchange requirements, the Committee may delegate all or part of its authority and power to the CEO, as it deems appropriate, with respect to Awards to Employees or Key Advisors who are not officers or directors under section 16 of the Exchange Act.</w:t>
      </w:r>
    </w:p>
    <w:p>
      <w:pPr>
        <w:pStyle w:val="TextBody"/>
        <w:bidi w:val="0"/>
        <w:spacing w:lineRule="auto" w:line="288" w:before="0" w:after="240"/>
        <w:ind w:left="0" w:right="0" w:firstLine="1440"/>
        <w:jc w:val="left"/>
        <w:rPr/>
      </w:pPr>
      <w:r>
        <w:rPr>
          <w:rFonts w:ascii="Times New Roman;serif" w:hAnsi="Times New Roman;serif"/>
          <w:b w:val="false"/>
          <w:color w:val="000000"/>
          <w:sz w:val="22"/>
        </w:rPr>
        <w:t>(c)</w:t>
      </w:r>
      <w:r>
        <w:rPr>
          <w:rFonts w:ascii="Times New Roman;serif" w:hAnsi="Times New Roman;serif"/>
          <w:b w:val="false"/>
          <w:color w:val="000000"/>
          <w:sz w:val="22"/>
          <w:u w:val="single"/>
        </w:rPr>
        <w:t>Committee Authority</w:t>
      </w:r>
      <w:r>
        <w:rPr>
          <w:rFonts w:ascii="Times New Roman;serif" w:hAnsi="Times New Roman;serif"/>
          <w:b w:val="false"/>
          <w:color w:val="000000"/>
          <w:sz w:val="22"/>
        </w:rPr>
        <w:t xml:space="preserve">. The Committee shall have the sole authority to (i) determine the individuals to whom Awards shall be made under the Plan, (ii) determine the type, size, terms and conditions of the Awards to be made to each such individual, (iii) determine the time when the Awards will be made and the duration of any applicable exercise or restriction period, including the criteria for exercisability and the acceleration of exercisability, (iv) amend the terms of any previously issued Award, subject to the provisions of Section 18 below, (v) determine and adopt terms, guidelines,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60655"/>
                <wp:effectExtent l="0" t="0" r="0" b="0"/>
                <wp:wrapNone/>
                <wp:docPr id="9" name="Frame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- 5 -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- 5 -</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and provisions, not inconsistent with the Plan and applicable law, that apply to individuals residing outside the United States who receive Awards under the Plan, and (vi) deal with any other matters arising under the Plan.</w:t>
      </w:r>
    </w:p>
    <w:p>
      <w:pPr>
        <w:pStyle w:val="TextBody"/>
        <w:bidi w:val="0"/>
        <w:spacing w:lineRule="auto" w:line="288" w:before="0" w:after="240"/>
        <w:ind w:left="0" w:right="0" w:firstLine="1440"/>
        <w:jc w:val="left"/>
        <w:rPr/>
      </w:pPr>
      <w:r>
        <w:rPr>
          <w:rFonts w:ascii="Times New Roman;serif" w:hAnsi="Times New Roman;serif"/>
          <w:b w:val="false"/>
          <w:color w:val="000000"/>
          <w:sz w:val="22"/>
        </w:rPr>
        <w:t>(d)</w:t>
      </w:r>
      <w:r>
        <w:rPr>
          <w:rFonts w:ascii="Times New Roman;serif" w:hAnsi="Times New Roman;serif"/>
          <w:b w:val="false"/>
          <w:color w:val="000000"/>
          <w:sz w:val="22"/>
          <w:u w:val="single"/>
        </w:rPr>
        <w:t>Committee Determinations</w:t>
      </w:r>
      <w:r>
        <w:rPr>
          <w:rFonts w:ascii="Times New Roman;serif" w:hAnsi="Times New Roman;serif"/>
          <w:b w:val="false"/>
          <w:color w:val="000000"/>
          <w:sz w:val="22"/>
        </w:rPr>
        <w:t>. The Committee shall have full power and express discretionary authority to administer and interpret the Plan, to make factual determinations and to adopt or amend such rules, regulations, agreements and instruments for implementing the Plan and for the conduct of its business as it deems necessary or advisable, in its sole discretion. The Committee’s interpretations of the Plan and all determinations made by the Committee pursuant to the powers vested in it hereunder shall be final, conclusive and binding on all persons having any interest in the Plan or in any awards granted hereunder. All powers of the Committee shall be executed in its sole discretion, in the best interest of the Company, not as a fiduciary, and in keeping with the objectives of the Plan and need not be uniform as to similarly situated individuals.</w:t>
      </w:r>
    </w:p>
    <w:p>
      <w:pPr>
        <w:pStyle w:val="TextBody"/>
        <w:bidi w:val="0"/>
        <w:spacing w:lineRule="auto" w:line="288" w:before="0" w:after="240"/>
        <w:jc w:val="left"/>
        <w:rPr/>
      </w:pPr>
      <w:r>
        <w:rPr>
          <w:rFonts w:ascii="Times New Roman;serif" w:hAnsi="Times New Roman;serif"/>
          <w:b/>
          <w:color w:val="000000"/>
          <w:sz w:val="22"/>
        </w:rPr>
        <w:t>Section 3.</w:t>
      </w:r>
      <w:r>
        <w:rPr>
          <w:rFonts w:ascii="Times New Roman;serif" w:hAnsi="Times New Roman;serif"/>
          <w:b/>
          <w:color w:val="000000"/>
          <w:sz w:val="22"/>
        </w:rPr>
        <w:t>Awards</w:t>
      </w:r>
    </w:p>
    <w:p>
      <w:pPr>
        <w:pStyle w:val="TextBody"/>
        <w:bidi w:val="0"/>
        <w:spacing w:lineRule="auto" w:line="288" w:before="0" w:after="240"/>
        <w:ind w:left="0" w:right="0" w:firstLine="1440"/>
        <w:jc w:val="left"/>
        <w:rPr/>
      </w:pPr>
      <w:r>
        <w:rPr>
          <w:rFonts w:ascii="Times New Roman;serif" w:hAnsi="Times New Roman;serif"/>
          <w:b w:val="false"/>
          <w:color w:val="000000"/>
          <w:sz w:val="22"/>
        </w:rPr>
        <w:t>(a)</w:t>
      </w:r>
      <w:r>
        <w:rPr>
          <w:rFonts w:ascii="Times New Roman;serif" w:hAnsi="Times New Roman;serif"/>
          <w:b w:val="false"/>
          <w:color w:val="000000"/>
          <w:sz w:val="22"/>
          <w:u w:val="single"/>
        </w:rPr>
        <w:t>General</w:t>
      </w:r>
      <w:r>
        <w:rPr>
          <w:rFonts w:ascii="Times New Roman;serif" w:hAnsi="Times New Roman;serif"/>
          <w:b w:val="false"/>
          <w:color w:val="000000"/>
          <w:sz w:val="22"/>
        </w:rPr>
        <w:t>. Awards under the Plan may consist of Options as described in Section 6, Restricted Stock as described in Section 7, Restricted Stock Units as described in Section 8, SARs as described in Section 9, Other Stock-Based Awards as described in Section 10, and Cash Awards as described in Section 11. All Awards shall be subject to the terms and conditions set forth herein and to such other terms and conditions consistent with this Plan as the Committee deems appropriate and as are specified in writing by the Committee to the individual in the Award Agreement. All Awards shall be made conditional upon the Participant’s acknowledgement, in writing or by acceptance of the Award, that all decisions and determinations of the Committee shall be final and binding on the Participant, his or her beneficiaries and any other person having or claiming an interest under such Award. Awards under a particular Section of the Plan need not be uniform as among the Participants.</w:t>
      </w:r>
    </w:p>
    <w:p>
      <w:pPr>
        <w:pStyle w:val="TextBody"/>
        <w:bidi w:val="0"/>
        <w:spacing w:lineRule="auto" w:line="288" w:before="0" w:after="240"/>
        <w:jc w:val="left"/>
        <w:rPr/>
      </w:pPr>
      <w:r>
        <w:rPr>
          <w:rFonts w:ascii="Times New Roman;serif" w:hAnsi="Times New Roman;serif"/>
          <w:b/>
          <w:color w:val="000000"/>
          <w:sz w:val="22"/>
        </w:rPr>
        <w:t>Section 4.</w:t>
      </w:r>
      <w:r>
        <w:rPr>
          <w:rFonts w:ascii="Times New Roman;serif" w:hAnsi="Times New Roman;serif"/>
          <w:b/>
          <w:color w:val="000000"/>
          <w:sz w:val="22"/>
        </w:rPr>
        <w:t>Shares Subject to the Plan</w:t>
      </w:r>
    </w:p>
    <w:p>
      <w:pPr>
        <w:pStyle w:val="TextBody"/>
        <w:bidi w:val="0"/>
        <w:spacing w:lineRule="auto" w:line="268" w:before="0" w:after="0"/>
        <w:ind w:left="0" w:right="0" w:firstLine="1440"/>
        <w:jc w:val="left"/>
        <w:rPr/>
      </w:pPr>
      <w:r>
        <w:rPr>
          <w:rFonts w:ascii="Times New Roman;serif" w:hAnsi="Times New Roman;serif"/>
          <w:b w:val="false"/>
          <w:color w:val="000000"/>
          <w:sz w:val="22"/>
        </w:rPr>
        <w:t>(a)</w:t>
      </w:r>
      <w:r>
        <w:rPr>
          <w:rFonts w:ascii="Times New Roman;serif" w:hAnsi="Times New Roman;serif"/>
          <w:b w:val="false"/>
          <w:color w:val="000000"/>
          <w:sz w:val="22"/>
          <w:u w:val="single"/>
        </w:rPr>
        <w:t>Shares Authorized</w:t>
      </w:r>
      <w:r>
        <w:rPr>
          <w:rFonts w:ascii="Times New Roman;serif" w:hAnsi="Times New Roman;serif"/>
          <w:b w:val="false"/>
          <w:color w:val="000000"/>
          <w:sz w:val="22"/>
        </w:rPr>
        <w:t>. Subject to adjustment as described in Sections 4(b) and 4(e) below, the aggregate number of shares of Company Stock, or share reserve, that may be issued or transferred under the Plan after the Effective Date shall be (i) 4,680,000 shares, plus (ii) the number of shares of Company Stock previously reserved for issuance under the Plan that remain available for grant under the Plan as of immediately prior to the Effective Date, and plus (iii) the number of shares of Company Stock reserved for issuance with respect to outstanding grants under the Plan as of the Effective Date. Subject to adjustment as described in Sections 4(b) and 4(e) below, shares of Company Stock subject to outstanding grants under the Plan that terminate, expire or are cancelled, forfeited, exchanged or surrendered on or after the Effective Date without having been exercised, vested or paid under the Plan shall again be available to be granted under the Plan (the “</w:t>
      </w:r>
      <w:r>
        <w:rPr>
          <w:rFonts w:ascii="Times New Roman;serif" w:hAnsi="Times New Roman;serif"/>
          <w:b w:val="false"/>
          <w:color w:val="000000"/>
          <w:sz w:val="22"/>
          <w:u w:val="single"/>
        </w:rPr>
        <w:t>Returned Shares</w:t>
      </w:r>
      <w:r>
        <w:rPr>
          <w:color w:val="000000"/>
        </w:rPr>
        <w:t>”</w:t>
      </w:r>
      <w:r>
        <w:rPr>
          <w:rFonts w:ascii="Times New Roman;serif" w:hAnsi="Times New Roman;serif"/>
          <w:b w:val="false"/>
          <w:color w:val="000000"/>
          <w:sz w:val="22"/>
        </w:rPr>
        <w:t xml:space="preserve">). The aggregate number of shares of Company Stock that may be issued or transferred under the Plan pursuant to Incentive Stock Options shall not exceed 4,680,000 shares of Company Stock. </w:t>
      </w:r>
    </w:p>
    <w:p>
      <w:pPr>
        <w:pStyle w:val="TextBody"/>
        <w:bidi w:val="0"/>
        <w:spacing w:before="0" w:after="0"/>
        <w:jc w:val="left"/>
        <w:rPr/>
      </w:pPr>
      <w:r>
        <w:rPr/>
      </w:r>
    </w:p>
    <w:p>
      <w:pPr>
        <w:pStyle w:val="TextBody"/>
        <w:bidi w:val="0"/>
        <w:spacing w:lineRule="auto" w:line="288" w:before="0" w:after="240"/>
        <w:ind w:left="0" w:right="0" w:firstLine="1440"/>
        <w:jc w:val="left"/>
        <w:rPr/>
      </w:pPr>
      <w:r>
        <w:rPr>
          <w:rFonts w:ascii="Times New Roman;serif" w:hAnsi="Times New Roman;serif"/>
          <w:b w:val="false"/>
          <w:color w:val="000000"/>
          <w:sz w:val="22"/>
        </w:rPr>
        <w:t>(b)</w:t>
      </w:r>
      <w:r>
        <w:rPr>
          <w:rFonts w:ascii="Times New Roman;serif" w:hAnsi="Times New Roman;serif"/>
          <w:b w:val="false"/>
          <w:color w:val="000000"/>
          <w:sz w:val="22"/>
          <w:u w:val="single"/>
        </w:rPr>
        <w:t>Source of Shares; Share Counting</w:t>
      </w:r>
      <w:r>
        <w:rPr>
          <w:rFonts w:ascii="Times New Roman;serif" w:hAnsi="Times New Roman;serif"/>
          <w:b w:val="false"/>
          <w:color w:val="000000"/>
          <w:sz w:val="22"/>
        </w:rPr>
        <w:t>. Shares issued or transferred under the Plan may be authorized but unissued shares of Company Stock or reacquired shares of Company Stock, including shares purchased by the Company on the open market for purposes of the Plan. Any shares that are subject to an Award of Options or SARs shall be counted against the share reserve authorized in Section 4(a) as one (1) share; and any shares that are subject to Awards other than Options, SARs, or Cash Awards, shall be counted against the share reserve authorized in Section 4(a) as 2.76 shares (the “</w:t>
      </w:r>
      <w:r>
        <w:rPr>
          <w:rFonts w:ascii="Times New Roman;serif" w:hAnsi="Times New Roman;serif"/>
          <w:b w:val="false"/>
          <w:color w:val="000000"/>
          <w:sz w:val="22"/>
          <w:u w:val="single"/>
        </w:rPr>
        <w:t>Fungible Ratio</w:t>
      </w:r>
      <w:r>
        <w:rPr>
          <w:color w:val="000000"/>
        </w:rPr>
        <w:t>”</w:t>
      </w:r>
      <w:r>
        <w:rPr>
          <w:rFonts w:ascii="Times New Roman;serif" w:hAnsi="Times New Roman;serif"/>
          <w:b w:val="false"/>
          <w:color w:val="000000"/>
          <w:sz w:val="22"/>
        </w:rPr>
        <w:t xml:space="preserve">). Any shares that become available for reissuance pursuant to the terms of the Plan, </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60655"/>
                <wp:effectExtent l="0" t="0" r="0" b="0"/>
                <wp:wrapNone/>
                <wp:docPr id="10" name="Frame1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- 6 -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- 6 -</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including any Returned Shares, will be returned to the share reserve at the rates described in the preceding sentences of this Section 4(b). If and to the extent Options or SARs granted under the Plan terminate, expire or are canceled, forfeited, exchanged or surrendered without having been exercised, or if any Restricted Stock, Restricted Stock Units or Other Stock-Based Awards are forfeited or terminated, the shares subject to such Awards shall again be available for purposes of the Plan. Shares surrendered or withheld in payment of the Exercise Price of an Option (including an option granted under the Plan that is exercised on or after the Effective Date) or SAR shall not be available for reissuance under the Plan. Shares of Company Stock withheld or surrendered for payment of taxes with respect to Awards (including options granted under the Plan) shall not be available for reissuance under the Plan. If SARs are granted, the full number of shares subject to the SARs shall be considered issued under the Plan, without regard to the number of shares issued upon exercise of the SARs. To the extent any Awards are paid in cash, and not in shares of Company Stock, any shares previously subject to such Awards shall again be available for issuance or transfer under the Plan. For the avoidance of doubt, if shares are repurchased by the Company on the open market with the proceeds of the Exercise Price of Options (including options granted under the Plan prior to the Effective Date), such shares may not again be made available for issuance under the Plan.</w:t>
      </w:r>
    </w:p>
    <w:p>
      <w:pPr>
        <w:pStyle w:val="TextBody"/>
        <w:bidi w:val="0"/>
        <w:spacing w:lineRule="auto" w:line="288" w:before="0" w:after="240"/>
        <w:ind w:left="0" w:right="0" w:firstLine="1440"/>
        <w:jc w:val="left"/>
        <w:rPr/>
      </w:pPr>
      <w:r>
        <w:rPr>
          <w:rFonts w:ascii="Times New Roman;serif" w:hAnsi="Times New Roman;serif"/>
          <w:b w:val="false"/>
          <w:color w:val="000000"/>
          <w:sz w:val="22"/>
        </w:rPr>
        <w:t>(c)</w:t>
      </w:r>
      <w:r>
        <w:rPr>
          <w:rFonts w:ascii="Times New Roman;serif" w:hAnsi="Times New Roman;serif"/>
          <w:b w:val="false"/>
          <w:color w:val="000000"/>
          <w:sz w:val="22"/>
          <w:u w:val="single"/>
        </w:rPr>
        <w:t>Substitute Awards</w:t>
      </w:r>
      <w:r>
        <w:rPr>
          <w:rFonts w:ascii="Times New Roman;serif" w:hAnsi="Times New Roman;serif"/>
          <w:b w:val="false"/>
          <w:color w:val="000000"/>
          <w:sz w:val="22"/>
        </w:rPr>
        <w:t>. Shares issued or transferred under Awards made pursuant to an assumption, substitution or exchange for previously granted awards of a company acquired by the Company in a transaction (“Substitute Awards”) shall not reduce the number of shares of Company Stock available under the Plan, and available shares under a stockholder approved plan of an acquired company (as appropriately adjusted to reflect the transaction) may be used for Awards under the Plan and shall not reduce the Plan’s share reserve (subject to applicable stock exchange listing and Code requirements).</w:t>
      </w:r>
    </w:p>
    <w:p>
      <w:pPr>
        <w:pStyle w:val="TextBody"/>
        <w:bidi w:val="0"/>
        <w:spacing w:lineRule="auto" w:line="288" w:before="0" w:after="240"/>
        <w:ind w:left="0" w:right="0" w:firstLine="1440"/>
        <w:jc w:val="left"/>
        <w:rPr/>
      </w:pPr>
      <w:r>
        <w:rPr>
          <w:rFonts w:ascii="Times New Roman;serif" w:hAnsi="Times New Roman;serif"/>
          <w:b w:val="false"/>
          <w:color w:val="000000"/>
          <w:sz w:val="22"/>
        </w:rPr>
        <w:t>(d)</w:t>
      </w:r>
      <w:r>
        <w:rPr>
          <w:rFonts w:ascii="Times New Roman;serif" w:hAnsi="Times New Roman;serif"/>
          <w:b w:val="false"/>
          <w:color w:val="000000"/>
          <w:sz w:val="22"/>
          <w:u w:val="single"/>
        </w:rPr>
        <w:t xml:space="preserve">Individual Limits. </w:t>
      </w:r>
      <w:r>
        <w:rPr>
          <w:rFonts w:ascii="Times New Roman;serif" w:hAnsi="Times New Roman;serif"/>
          <w:b w:val="false"/>
          <w:color w:val="000000"/>
          <w:sz w:val="22"/>
        </w:rPr>
        <w:t>Subject to adjustment as described below in Section 4(e), the following Award limitations shall apply:</w:t>
      </w:r>
    </w:p>
    <w:p>
      <w:pPr>
        <w:pStyle w:val="TextBody"/>
        <w:bidi w:val="0"/>
        <w:spacing w:lineRule="auto" w:line="288" w:before="0" w:after="240"/>
        <w:ind w:left="0" w:right="0" w:firstLine="2160"/>
        <w:jc w:val="left"/>
        <w:rPr/>
      </w:pPr>
      <w:r>
        <w:rPr>
          <w:rFonts w:ascii="Times New Roman;serif" w:hAnsi="Times New Roman;serif"/>
          <w:b w:val="false"/>
          <w:color w:val="000000"/>
          <w:sz w:val="22"/>
        </w:rPr>
        <w:t>(i)</w:t>
      </w:r>
      <w:r>
        <w:rPr>
          <w:rFonts w:ascii="Times New Roman;serif" w:hAnsi="Times New Roman;serif"/>
          <w:b w:val="false"/>
          <w:color w:val="000000"/>
          <w:sz w:val="22"/>
        </w:rPr>
        <w:t>For Options, SARs, Restricted Stock, Restricted Stock Units and Other Stock-Based Awards (whether payable in Company Stock, cash or a combination of the two), the maximum number of shares of Company Stock for which such Awards may be made to any Employee or Key Advisor in any fiscal year shall not exceed 750,000 shares of Company Stock in the aggregate, without regard to, and prior to any application of, the Fungible Ratio.</w:t>
      </w:r>
    </w:p>
    <w:p>
      <w:pPr>
        <w:pStyle w:val="TextBody"/>
        <w:bidi w:val="0"/>
        <w:spacing w:lineRule="auto" w:line="288" w:before="0" w:after="240"/>
        <w:ind w:left="0" w:right="0" w:firstLine="2160"/>
        <w:jc w:val="left"/>
        <w:rPr/>
      </w:pPr>
      <w:r>
        <w:rPr>
          <w:rFonts w:ascii="Times New Roman;serif" w:hAnsi="Times New Roman;serif"/>
          <w:b w:val="false"/>
          <w:color w:val="000000"/>
          <w:sz w:val="22"/>
        </w:rPr>
        <w:t>(ii)</w:t>
      </w:r>
      <w:r>
        <w:rPr>
          <w:rFonts w:ascii="Times New Roman;serif" w:hAnsi="Times New Roman;serif"/>
          <w:b w:val="false"/>
          <w:color w:val="000000"/>
          <w:sz w:val="22"/>
        </w:rPr>
        <w:t>The maximum aggregate grant date value of shares of Company Stock subject to Awards granted to any Non-Employee Director during any calendar year for services rendered as a Non-Employee Director, taken together with any cash fees earned by such Non-Employee Director for services rendered as a Non-Employee Director during the fiscal year, shall not exceed $750,000 in total value. For purposes of this limit, the value of such Awards shall be calculated based on the grant date fair value of such Awards for financial reporting purposes.</w:t>
      </w:r>
    </w:p>
    <w:p>
      <w:pPr>
        <w:pStyle w:val="TextBody"/>
        <w:bidi w:val="0"/>
        <w:spacing w:lineRule="auto" w:line="288" w:before="0" w:after="240"/>
        <w:ind w:left="0" w:right="0" w:firstLine="2160"/>
        <w:jc w:val="left"/>
        <w:rPr/>
      </w:pPr>
      <w:r>
        <w:rPr>
          <w:rFonts w:ascii="Times New Roman;serif" w:hAnsi="Times New Roman;serif"/>
          <w:b w:val="false"/>
          <w:color w:val="000000"/>
          <w:sz w:val="22"/>
        </w:rPr>
        <w:t>(iii)</w:t>
      </w:r>
      <w:r>
        <w:rPr>
          <w:rFonts w:ascii="Times New Roman;serif" w:hAnsi="Times New Roman;serif"/>
          <w:b w:val="false"/>
          <w:color w:val="000000"/>
          <w:sz w:val="22"/>
        </w:rPr>
        <w:t>Notwithstanding the foregoing, the individual limit described in subsection (i) shall be increased to two times the otherwise applicable limit with respect to Awards that are made on or around the date of hire to a newly hired Employee.</w:t>
      </w:r>
    </w:p>
    <w:p>
      <w:pPr>
        <w:pStyle w:val="TextBody"/>
        <w:bidi w:val="0"/>
        <w:spacing w:lineRule="auto" w:line="288" w:before="0" w:after="240"/>
        <w:ind w:left="0" w:right="0" w:firstLine="1440"/>
        <w:jc w:val="left"/>
        <w:rPr/>
      </w:pPr>
      <w:r>
        <w:rPr>
          <w:rFonts w:ascii="Times New Roman;serif" w:hAnsi="Times New Roman;serif"/>
          <w:b w:val="false"/>
          <w:color w:val="000000"/>
          <w:sz w:val="22"/>
        </w:rPr>
        <w:t>(e)</w:t>
      </w:r>
      <w:r>
        <w:rPr>
          <w:rFonts w:ascii="Times New Roman;serif" w:hAnsi="Times New Roman;serif"/>
          <w:b w:val="false"/>
          <w:color w:val="000000"/>
          <w:sz w:val="22"/>
          <w:u w:val="single"/>
        </w:rPr>
        <w:t>Adjustments</w:t>
      </w:r>
      <w:r>
        <w:rPr>
          <w:rFonts w:ascii="Times New Roman;serif" w:hAnsi="Times New Roman;serif"/>
          <w:b w:val="false"/>
          <w:color w:val="000000"/>
          <w:sz w:val="22"/>
        </w:rPr>
        <w:t xml:space="preserve">. If there is any change in the number or kind of shares of Company Stock outstanding by reason of (i) a stock dividend, spinoff, recapitalization, stock split, reverse stock split, or combination or exchange of shares, (ii) a merger, reorganization or consolidation, (iii) a reclassification or change in par value, or (iv) any other extraordinary or unusual event affecting the </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60655"/>
                <wp:effectExtent l="0" t="0" r="0" b="0"/>
                <wp:wrapNone/>
                <wp:docPr id="11" name="Frame1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- 7 -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- 7 -</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outstanding Company Stock as a class without the Company’s receipt of consideration, or if the value of outstanding shares of Company Stock is substantially reduced as a result of a spinoff or the Company’s payment of an extraordinary dividend or distribution, the maximum number and kind of shares of Company Stock available for issuance under the Plan, the maximum number and kind of shares of Company Stock for which any individual may receive Awards in any year, the number and kind of shares covered by outstanding Awards, the number and kind of shares issued and to be issued under the Plan, and the price per share or the applicable market value of such Awards shall be equitably adjusted by the Committee to reflect any increase or decrease in the number of, or change in the kind or value of, the issued shares of Company Stock to preclude, to the extent practicable, the enlargement or dilution of rights and benefits under the Plan and such outstanding Awards; provided, however, that any fractional shares resulting from such adjustment shall be eliminated. In addition, in the event of a Change of Control, the provisions of Section 13 of the Plan shall apply. Any adjustments to outstanding Awards shall be consistent with section 409A or 424 of the Code, to the extent applicable. Notwithstanding the foregoing, for each Option or SAR with an Exercise Price or base amount, as the case may be, greater than the consideration offered in connection with any transaction or event described herein, the Committee may, in its sole discretion, elect to cancel such Option or SAR without any payment to the person holding such Option or SAR. Subject to Section 18(b) below, the adjustments of Awards under this Section 4(e) shall include adjustment of shares, Exercise Price of Options, base amount of SARs, Performance Goals or other terms and conditions, as the Committee deems appropriate. The Committee shall have the sole discretion and authority to determine what appropriate adjustments shall be made and any adjustments determined by the Committee shall be final, binding and conclusive.</w:t>
      </w:r>
    </w:p>
    <w:p>
      <w:pPr>
        <w:pStyle w:val="TextBody"/>
        <w:bidi w:val="0"/>
        <w:spacing w:lineRule="auto" w:line="288" w:before="0" w:after="240"/>
        <w:jc w:val="left"/>
        <w:rPr/>
      </w:pPr>
      <w:r>
        <w:rPr>
          <w:rFonts w:ascii="Times New Roman;serif" w:hAnsi="Times New Roman;serif"/>
          <w:b/>
          <w:color w:val="000000"/>
          <w:sz w:val="22"/>
        </w:rPr>
        <w:t>Section 5.</w:t>
      </w:r>
      <w:r>
        <w:rPr>
          <w:rFonts w:ascii="Times New Roman;serif" w:hAnsi="Times New Roman;serif"/>
          <w:b/>
          <w:color w:val="000000"/>
          <w:sz w:val="22"/>
        </w:rPr>
        <w:t>Eligibility for Participation</w:t>
      </w:r>
    </w:p>
    <w:p>
      <w:pPr>
        <w:pStyle w:val="TextBody"/>
        <w:bidi w:val="0"/>
        <w:spacing w:lineRule="auto" w:line="288" w:before="0" w:after="240"/>
        <w:ind w:left="0" w:right="0" w:firstLine="1440"/>
        <w:jc w:val="left"/>
        <w:rPr/>
      </w:pPr>
      <w:r>
        <w:rPr>
          <w:rFonts w:ascii="Times New Roman;serif" w:hAnsi="Times New Roman;serif"/>
          <w:b w:val="false"/>
          <w:color w:val="000000"/>
          <w:sz w:val="22"/>
        </w:rPr>
        <w:t>(a)</w:t>
      </w:r>
      <w:r>
        <w:rPr>
          <w:rFonts w:ascii="Times New Roman;serif" w:hAnsi="Times New Roman;serif"/>
          <w:b w:val="false"/>
          <w:color w:val="000000"/>
          <w:sz w:val="22"/>
          <w:u w:val="single"/>
        </w:rPr>
        <w:t>Eligible Persons</w:t>
      </w:r>
      <w:r>
        <w:rPr>
          <w:rFonts w:ascii="Times New Roman;serif" w:hAnsi="Times New Roman;serif"/>
          <w:b w:val="false"/>
          <w:color w:val="000000"/>
          <w:sz w:val="22"/>
        </w:rPr>
        <w:t>. All Employees and Non-Employee Directors shall be eligible to participate in the Plan. Key Advisors shall be eligible to participate in the Plan if the Key Advisors render bona fide services to the Employer, the services are not in connection with the offer and sale of securities in a capital-raising transaction and the Key Advisors do not directly or indirectly promote or maintain a market for the Company’s securities.</w:t>
      </w:r>
    </w:p>
    <w:p>
      <w:pPr>
        <w:pStyle w:val="TextBody"/>
        <w:bidi w:val="0"/>
        <w:spacing w:lineRule="auto" w:line="288" w:before="0" w:after="240"/>
        <w:ind w:left="0" w:right="0" w:firstLine="1440"/>
        <w:jc w:val="left"/>
        <w:rPr/>
      </w:pPr>
      <w:r>
        <w:rPr>
          <w:rFonts w:ascii="Times New Roman;serif" w:hAnsi="Times New Roman;serif"/>
          <w:b w:val="false"/>
          <w:color w:val="000000"/>
          <w:sz w:val="22"/>
        </w:rPr>
        <w:t>(b)</w:t>
      </w:r>
      <w:r>
        <w:rPr>
          <w:rFonts w:ascii="Times New Roman;serif" w:hAnsi="Times New Roman;serif"/>
          <w:b w:val="false"/>
          <w:color w:val="000000"/>
          <w:sz w:val="22"/>
          <w:u w:val="single"/>
        </w:rPr>
        <w:t>Selection of Participants</w:t>
      </w:r>
      <w:r>
        <w:rPr>
          <w:rFonts w:ascii="Times New Roman;serif" w:hAnsi="Times New Roman;serif"/>
          <w:b w:val="false"/>
          <w:color w:val="000000"/>
          <w:sz w:val="22"/>
        </w:rPr>
        <w:t>. The Committee shall select the Employees, Non-Employee Directors and Key Advisors to receive Awards and shall determine the number of shares of Company Stock subject to a particular Award in such manner as the Committee determines.</w:t>
      </w:r>
    </w:p>
    <w:p>
      <w:pPr>
        <w:pStyle w:val="TextBody"/>
        <w:bidi w:val="0"/>
        <w:spacing w:lineRule="auto" w:line="288" w:before="0" w:after="240"/>
        <w:jc w:val="left"/>
        <w:rPr/>
      </w:pPr>
      <w:r>
        <w:rPr>
          <w:rFonts w:ascii="Times New Roman;serif" w:hAnsi="Times New Roman;serif"/>
          <w:b/>
          <w:color w:val="000000"/>
          <w:sz w:val="22"/>
        </w:rPr>
        <w:t>Section 6.</w:t>
      </w:r>
      <w:r>
        <w:rPr>
          <w:rFonts w:ascii="Times New Roman;serif" w:hAnsi="Times New Roman;serif"/>
          <w:b/>
          <w:color w:val="000000"/>
          <w:sz w:val="22"/>
        </w:rPr>
        <w:t>Options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Committee may grant Options to an Employee, Non-Employee Director or Key Advisor upon such terms as the Committee deems appropriate. The following provisions are applicable to Options:</w:t>
      </w:r>
    </w:p>
    <w:p>
      <w:pPr>
        <w:pStyle w:val="TextBody"/>
        <w:bidi w:val="0"/>
        <w:spacing w:lineRule="auto" w:line="288" w:before="0" w:after="240"/>
        <w:ind w:left="0" w:right="0" w:firstLine="1440"/>
        <w:jc w:val="left"/>
        <w:rPr/>
      </w:pPr>
      <w:r>
        <w:rPr>
          <w:rFonts w:ascii="Times New Roman;serif" w:hAnsi="Times New Roman;serif"/>
          <w:b w:val="false"/>
          <w:color w:val="000000"/>
          <w:sz w:val="22"/>
        </w:rPr>
        <w:t>(a)</w:t>
      </w:r>
      <w:r>
        <w:rPr>
          <w:rFonts w:ascii="Times New Roman;serif" w:hAnsi="Times New Roman;serif"/>
          <w:b w:val="false"/>
          <w:color w:val="000000"/>
          <w:sz w:val="22"/>
          <w:u w:val="single"/>
        </w:rPr>
        <w:t>Number of Shares</w:t>
      </w:r>
      <w:r>
        <w:rPr>
          <w:rFonts w:ascii="Times New Roman;serif" w:hAnsi="Times New Roman;serif"/>
          <w:b w:val="false"/>
          <w:color w:val="000000"/>
          <w:sz w:val="22"/>
        </w:rPr>
        <w:t>. The Committee shall determine the number of shares of Company Stock that will be subject to each Award of Options to Employees, Non-Employee Directors and Key Advisors.</w:t>
      </w:r>
    </w:p>
    <w:p>
      <w:pPr>
        <w:pStyle w:val="TextBody"/>
        <w:bidi w:val="0"/>
        <w:spacing w:lineRule="auto" w:line="288" w:before="0" w:after="240"/>
        <w:ind w:left="0" w:right="0" w:firstLine="1440"/>
        <w:jc w:val="left"/>
        <w:rPr/>
      </w:pPr>
      <w:r>
        <w:rPr>
          <w:rFonts w:ascii="Times New Roman;serif" w:hAnsi="Times New Roman;serif"/>
          <w:b w:val="false"/>
          <w:color w:val="000000"/>
          <w:sz w:val="22"/>
        </w:rPr>
        <w:t>(b)</w:t>
      </w:r>
      <w:r>
        <w:rPr>
          <w:rFonts w:ascii="Times New Roman;serif" w:hAnsi="Times New Roman;serif"/>
          <w:b w:val="false"/>
          <w:color w:val="000000"/>
          <w:sz w:val="22"/>
          <w:u w:val="single"/>
        </w:rPr>
        <w:t>Type of Option and Exercise Price</w:t>
      </w:r>
      <w:r>
        <w:rPr>
          <w:rFonts w:ascii="Times New Roman;serif" w:hAnsi="Times New Roman;serif"/>
          <w:b w:val="false"/>
          <w:color w:val="000000"/>
          <w:sz w:val="22"/>
        </w:rPr>
        <w:t>.</w:t>
      </w:r>
    </w:p>
    <w:p>
      <w:pPr>
        <w:pStyle w:val="TextBody"/>
        <w:bidi w:val="0"/>
        <w:spacing w:lineRule="auto" w:line="288" w:before="0" w:after="240"/>
        <w:ind w:left="0" w:right="0" w:firstLine="2160"/>
        <w:jc w:val="left"/>
        <w:rPr/>
      </w:pPr>
      <w:r>
        <w:rPr>
          <w:rFonts w:ascii="Times New Roman;serif" w:hAnsi="Times New Roman;serif"/>
          <w:b w:val="false"/>
          <w:color w:val="000000"/>
          <w:sz w:val="22"/>
        </w:rPr>
        <w:t>(i)</w:t>
      </w:r>
      <w:r>
        <w:rPr>
          <w:rFonts w:ascii="Times New Roman;serif" w:hAnsi="Times New Roman;serif"/>
          <w:b w:val="false"/>
          <w:color w:val="000000"/>
          <w:sz w:val="22"/>
        </w:rPr>
        <w:t xml:space="preserve">The Committee may grant Incentive Stock Options or Non-qualified Stock Options or any combination of the two, all in accordance with the terms and conditions set forth </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60655"/>
                <wp:effectExtent l="0" t="0" r="0" b="0"/>
                <wp:wrapNone/>
                <wp:docPr id="12" name="Frame1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- 8 -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- 8 -</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herein. Notwithstanding such designations, to the extent that an Option designated as an Incentive Stock Option does not qualify as an Incentive Stock Option, it shall be treated as a Non-qualified Stock Option. Incentive Stock Options may be granted only to employees of the Company or its subsidiary corporations, as defined in section 424 of the Code. Non-qualified Stock Options may be granted to Employees, Non-Employee Directors and Key Advisors.</w:t>
      </w:r>
    </w:p>
    <w:p>
      <w:pPr>
        <w:pStyle w:val="TextBody"/>
        <w:bidi w:val="0"/>
        <w:spacing w:lineRule="auto" w:line="288" w:before="0" w:after="240"/>
        <w:ind w:left="0" w:right="0" w:firstLine="2160"/>
        <w:jc w:val="left"/>
        <w:rPr/>
      </w:pPr>
      <w:r>
        <w:rPr>
          <w:rFonts w:ascii="Times New Roman;serif" w:hAnsi="Times New Roman;serif"/>
          <w:b w:val="false"/>
          <w:color w:val="000000"/>
          <w:sz w:val="22"/>
        </w:rPr>
        <w:t>(ii)</w:t>
      </w:r>
      <w:r>
        <w:rPr>
          <w:rFonts w:ascii="Times New Roman;serif" w:hAnsi="Times New Roman;serif"/>
          <w:b w:val="false"/>
          <w:color w:val="000000"/>
          <w:sz w:val="22"/>
        </w:rPr>
        <w:t>The Exercise Price of Company Stock subject to an Option shall be determined by the Committee and shall be equal to or greater than the Fair Market Value of a share of Company Stock on the date the Option is granted. However, an Incentive Stock Option may not be granted to an Employee who, at the time of grant, owns stock possessing more than 10% of the total combined voting power of all classes of stock of the Company, or any parent or subsidiary corporation of the Company, as defined in section 424 of the Code, unless the Exercise Price per share is not less than 110% of the Fair Market Value of a share of Company Stock on the date of grant.</w:t>
      </w:r>
    </w:p>
    <w:p>
      <w:pPr>
        <w:pStyle w:val="TextBody"/>
        <w:bidi w:val="0"/>
        <w:spacing w:lineRule="auto" w:line="288" w:before="0" w:after="240"/>
        <w:ind w:left="0" w:right="0" w:firstLine="1440"/>
        <w:jc w:val="left"/>
        <w:rPr/>
      </w:pPr>
      <w:r>
        <w:rPr>
          <w:rFonts w:ascii="Times New Roman;serif" w:hAnsi="Times New Roman;serif"/>
          <w:b w:val="false"/>
          <w:color w:val="000000"/>
          <w:sz w:val="22"/>
        </w:rPr>
        <w:t>(c)</w:t>
      </w:r>
      <w:r>
        <w:rPr>
          <w:rFonts w:ascii="Times New Roman;serif" w:hAnsi="Times New Roman;serif"/>
          <w:b w:val="false"/>
          <w:color w:val="000000"/>
          <w:sz w:val="22"/>
          <w:u w:val="single"/>
        </w:rPr>
        <w:t>Option Term</w:t>
      </w:r>
      <w:r>
        <w:rPr>
          <w:rFonts w:ascii="Times New Roman;serif" w:hAnsi="Times New Roman;serif"/>
          <w:b w:val="false"/>
          <w:color w:val="000000"/>
          <w:sz w:val="22"/>
        </w:rPr>
        <w:t>. The Committee shall determine the term of each Option. The term of any Option shall not exceed seven years from the date of grant. However, an Incentive Stock Option that is granted to an Employee who, at the time of grant, owns stock possessing more than 10% of the total combined voting power of all classes of stock of the Company, or any parent or subsidiary corporation of the Company, as defined in section 424 of the Code, may not have a term that exceeds five years from the date of grant. Notwithstanding the foregoing, in the event that on the last business day of the term of an Option (other than an Incentive Stock Option), the exercise of the Option is prohibited by applicable law, including a prohibition on purchases or sales of Company Stock under the Company’s insider trading policy, the term of the Option shall be extended for a period of 30 days following the end of the legal prohibition, unless the Committee determines otherwise.</w:t>
      </w:r>
    </w:p>
    <w:p>
      <w:pPr>
        <w:pStyle w:val="TextBody"/>
        <w:bidi w:val="0"/>
        <w:spacing w:lineRule="auto" w:line="288" w:before="0" w:after="240"/>
        <w:ind w:left="0" w:right="0" w:firstLine="1440"/>
        <w:jc w:val="left"/>
        <w:rPr/>
      </w:pPr>
      <w:r>
        <w:rPr>
          <w:rFonts w:ascii="Times New Roman;serif" w:hAnsi="Times New Roman;serif"/>
          <w:b w:val="false"/>
          <w:color w:val="000000"/>
          <w:sz w:val="22"/>
        </w:rPr>
        <w:t>(d)</w:t>
      </w:r>
      <w:r>
        <w:rPr>
          <w:rFonts w:ascii="Times New Roman;serif" w:hAnsi="Times New Roman;serif"/>
          <w:b w:val="false"/>
          <w:color w:val="000000"/>
          <w:sz w:val="22"/>
          <w:u w:val="single"/>
        </w:rPr>
        <w:t>Exercisability of Options</w:t>
      </w:r>
      <w:r>
        <w:rPr>
          <w:rFonts w:ascii="Times New Roman;serif" w:hAnsi="Times New Roman;serif"/>
          <w:b w:val="false"/>
          <w:color w:val="000000"/>
          <w:sz w:val="22"/>
        </w:rPr>
        <w:t>. Options shall become exercisable in accordance with such terms and conditions, consistent with the Plan, as may be determined by the Committee and specified in the Award Agreement. Subject to the limitations set forth in Section 13, the Committee may accelerate the exercisability of any or all outstanding Options at any time for any reason.</w:t>
      </w:r>
    </w:p>
    <w:p>
      <w:pPr>
        <w:pStyle w:val="TextBody"/>
        <w:bidi w:val="0"/>
        <w:spacing w:lineRule="auto" w:line="288" w:before="0" w:after="240"/>
        <w:ind w:left="0" w:right="0" w:firstLine="1440"/>
        <w:jc w:val="left"/>
        <w:rPr/>
      </w:pPr>
      <w:r>
        <w:rPr>
          <w:rFonts w:ascii="Times New Roman;serif" w:hAnsi="Times New Roman;serif"/>
          <w:b w:val="false"/>
          <w:color w:val="000000"/>
          <w:sz w:val="22"/>
        </w:rPr>
        <w:t>(e)</w:t>
      </w:r>
      <w:r>
        <w:rPr>
          <w:rFonts w:ascii="Times New Roman;serif" w:hAnsi="Times New Roman;serif"/>
          <w:b w:val="false"/>
          <w:color w:val="000000"/>
          <w:sz w:val="22"/>
          <w:u w:val="single"/>
        </w:rPr>
        <w:t>Awards to Non-exempt Employees</w:t>
      </w:r>
      <w:r>
        <w:rPr>
          <w:rFonts w:ascii="Times New Roman;serif" w:hAnsi="Times New Roman;serif"/>
          <w:b w:val="false"/>
          <w:color w:val="000000"/>
          <w:sz w:val="22"/>
        </w:rPr>
        <w:t>. Notwithstanding the foregoing, Options granted to persons who are non-exempt employees under the Fair Labor Standards Act of 1938, as amended, may not be exercisable for at least six months after the date of grant (except that such Options may become exercisable, as determined by the Committee, upon the Participant’s death, Disability or retirement, or upon a Change of Control or other circumstances permitted by applicable regulations).</w:t>
      </w:r>
    </w:p>
    <w:p>
      <w:pPr>
        <w:pStyle w:val="TextBody"/>
        <w:bidi w:val="0"/>
        <w:spacing w:lineRule="auto" w:line="288" w:before="0" w:after="240"/>
        <w:ind w:left="0" w:right="0" w:firstLine="1440"/>
        <w:jc w:val="left"/>
        <w:rPr/>
      </w:pPr>
      <w:r>
        <w:rPr>
          <w:rFonts w:ascii="Times New Roman;serif" w:hAnsi="Times New Roman;serif"/>
          <w:b w:val="false"/>
          <w:color w:val="000000"/>
          <w:sz w:val="22"/>
        </w:rPr>
        <w:t>(f)</w:t>
      </w:r>
      <w:r>
        <w:rPr>
          <w:rFonts w:ascii="Times New Roman;serif" w:hAnsi="Times New Roman;serif"/>
          <w:b w:val="false"/>
          <w:color w:val="000000"/>
          <w:sz w:val="22"/>
          <w:u w:val="single"/>
        </w:rPr>
        <w:t>Termination of Employment or Service</w:t>
      </w:r>
      <w:r>
        <w:rPr>
          <w:rFonts w:ascii="Times New Roman;serif" w:hAnsi="Times New Roman;serif"/>
          <w:b w:val="false"/>
          <w:color w:val="000000"/>
          <w:sz w:val="22"/>
        </w:rPr>
        <w:t>. Except as provided in the Award Agreement, an Option may only be exercised while the Participant is employed by, or providing services to, the Employer. The Committee shall determine in the Award Agreement under what circumstances and during what time periods a Participant may exercise an Option after termination of employment or service.</w:t>
      </w:r>
    </w:p>
    <w:p>
      <w:pPr>
        <w:pStyle w:val="TextBody"/>
        <w:bidi w:val="0"/>
        <w:spacing w:lineRule="auto" w:line="288" w:before="0" w:after="240"/>
        <w:ind w:left="0" w:right="0" w:firstLine="1440"/>
        <w:jc w:val="left"/>
        <w:rPr/>
      </w:pPr>
      <w:r>
        <w:rPr>
          <w:rFonts w:ascii="Times New Roman;serif" w:hAnsi="Times New Roman;serif"/>
          <w:b w:val="false"/>
          <w:color w:val="000000"/>
          <w:sz w:val="22"/>
        </w:rPr>
        <w:t>(g)</w:t>
      </w:r>
      <w:r>
        <w:rPr>
          <w:rFonts w:ascii="Times New Roman;serif" w:hAnsi="Times New Roman;serif"/>
          <w:b w:val="false"/>
          <w:color w:val="000000"/>
          <w:sz w:val="22"/>
          <w:u w:val="single"/>
        </w:rPr>
        <w:t>Exercise of Options</w:t>
      </w:r>
      <w:r>
        <w:rPr>
          <w:rFonts w:ascii="Times New Roman;serif" w:hAnsi="Times New Roman;serif"/>
          <w:b w:val="false"/>
          <w:color w:val="000000"/>
          <w:sz w:val="22"/>
        </w:rPr>
        <w:t xml:space="preserve">. A Participant may exercise an Option that has become exercisable, in whole or in part, by delivering a notice of exercise to the Company. The Participant shall pay the Exercise Price for an Option in the method(s) specified by the Committee, which may, if permitted by the Committee, include, without limitation, one or more of the following: (i) in cash, or by check, (ii) by delivering shares of Company Stock owned by the Participant and having a Fair Market Value on the date of exercise at least equal to the Exercise Price or by attestation (on a form prescribed by </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60655"/>
                <wp:effectExtent l="0" t="0" r="0" b="0"/>
                <wp:wrapNone/>
                <wp:docPr id="13" name="Frame1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- 9 -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- 9 -</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the Committee) to ownership of shares of Company Stock having a Fair Market Value on the date of exercise at least equal to the Exercise Price, (iii) by payment through a broker in accordance with procedures permitted by Regulation T of the Federal Reserve Board, (iv) by withholding shares of Company Stock subject to the exercisable Option, which have a Fair Market Value on the date of exercise equal to the Exercise Price, or (v) by such other method as the Committee may approve. Shares of Company Stock used to exercise an Option shall have been held by the Participant for the requisite period of time necessary to avoid adverse accounting consequences to the Company with respect to the Option. Payment for the shares to be issued or transferred pursuant to the Option, and any required tax withholdings, must be received by the Company by the time specified by the Committee depending on the type of payment being made, but in all cases prior to the issuance or transfer of such shares. Notwithstanding the foregoing, the Committee may provide, subject to any conditions it establishes in connection therewith, that if, on the last day of the Option term, the Fair Market Value of a share of Company Stock exceeds the exercise price by a specified amount, the Participant has not exercised the Option and the Option has not expired, the Option shall be deemed to have been exercised by the Participant on such day with payment made by withholding shares otherwise issuable in connection with the exercise of the Option. In such event, the Company shall deliver to the Participant the number of shares for which the Option was deemed exercised, less the number of shares required to be withheld for the payment of the total purchase price and required tax withholdings.</w:t>
      </w:r>
    </w:p>
    <w:p>
      <w:pPr>
        <w:pStyle w:val="TextBody"/>
        <w:bidi w:val="0"/>
        <w:spacing w:lineRule="auto" w:line="288" w:before="0" w:after="240"/>
        <w:ind w:left="0" w:right="0" w:firstLine="1440"/>
        <w:jc w:val="left"/>
        <w:rPr/>
      </w:pPr>
      <w:r>
        <w:rPr>
          <w:rFonts w:ascii="Times New Roman;serif" w:hAnsi="Times New Roman;serif"/>
          <w:b w:val="false"/>
          <w:color w:val="000000"/>
          <w:sz w:val="22"/>
        </w:rPr>
        <w:t>(h)</w:t>
      </w:r>
      <w:r>
        <w:rPr>
          <w:rFonts w:ascii="Times New Roman;serif" w:hAnsi="Times New Roman;serif"/>
          <w:b w:val="false"/>
          <w:color w:val="000000"/>
          <w:sz w:val="22"/>
          <w:u w:val="single"/>
        </w:rPr>
        <w:t>Limits on Incentive Stock Options</w:t>
      </w:r>
      <w:r>
        <w:rPr>
          <w:rFonts w:ascii="Times New Roman;serif" w:hAnsi="Times New Roman;serif"/>
          <w:b w:val="false"/>
          <w:color w:val="000000"/>
          <w:sz w:val="22"/>
        </w:rPr>
        <w:t>. Each Incentive Stock Option shall provide that, if the aggregate Fair Market Value of the Company Stock on the date of the grant with respect to which Incentive Stock Options are exercisable for the first time by a Participant during any calendar year, under the Plan or any other stock option plan of the Company or a parent or subsidiary, exceeds $100,000, then the Option, as to the excess, shall be treated as a Non-qualified Stock Option.</w:t>
      </w:r>
    </w:p>
    <w:p>
      <w:pPr>
        <w:pStyle w:val="TextBody"/>
        <w:bidi w:val="0"/>
        <w:spacing w:lineRule="auto" w:line="288" w:before="0" w:after="240"/>
        <w:jc w:val="left"/>
        <w:rPr/>
      </w:pPr>
      <w:r>
        <w:rPr>
          <w:rFonts w:ascii="Times New Roman;serif" w:hAnsi="Times New Roman;serif"/>
          <w:b/>
          <w:color w:val="000000"/>
          <w:sz w:val="22"/>
        </w:rPr>
        <w:t>Section 7.</w:t>
      </w:r>
      <w:r>
        <w:rPr>
          <w:rFonts w:ascii="Times New Roman;serif" w:hAnsi="Times New Roman;serif"/>
          <w:b/>
          <w:color w:val="000000"/>
          <w:sz w:val="22"/>
        </w:rPr>
        <w:t>Restricted Stock</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Committee may issue or transfer shares of Company Stock to an Employee, Non-Employee Director or Key Advisor under an award of Restricted Stock, upon such terms as the Committee deems appropriate. The following provisions are applicable to Restricted Stock:</w:t>
      </w:r>
    </w:p>
    <w:p>
      <w:pPr>
        <w:pStyle w:val="TextBody"/>
        <w:bidi w:val="0"/>
        <w:spacing w:lineRule="auto" w:line="288" w:before="0" w:after="240"/>
        <w:ind w:left="0" w:right="0" w:firstLine="1440"/>
        <w:jc w:val="left"/>
        <w:rPr/>
      </w:pPr>
      <w:r>
        <w:rPr>
          <w:rFonts w:ascii="Times New Roman;serif" w:hAnsi="Times New Roman;serif"/>
          <w:b w:val="false"/>
          <w:color w:val="000000"/>
          <w:sz w:val="22"/>
        </w:rPr>
        <w:t>(a)</w:t>
      </w:r>
      <w:r>
        <w:rPr>
          <w:rFonts w:ascii="Times New Roman;serif" w:hAnsi="Times New Roman;serif"/>
          <w:b w:val="false"/>
          <w:color w:val="000000"/>
          <w:sz w:val="22"/>
          <w:u w:val="single"/>
        </w:rPr>
        <w:t>General Requirements</w:t>
      </w:r>
      <w:r>
        <w:rPr>
          <w:rFonts w:ascii="Times New Roman;serif" w:hAnsi="Times New Roman;serif"/>
          <w:b w:val="false"/>
          <w:color w:val="000000"/>
          <w:sz w:val="22"/>
        </w:rPr>
        <w:t>. Shares of Company Stock issued or transferred pursuant to Restricted Stock may be issued or transferred for consideration or for no consideration, and subject to restrictions or no restrictions, as determined by the Committee. The Committee may, but shall not be required to, establish conditions under which restrictions on Restricted Stock shall lapse over a period of time or according to such other criteria as the Committee deems appropriate, including, without limitation, restrictions based upon the achievement of specific Performance Goals. The period of time during which the Restricted Stock will remain subject to restrictions will be designated in the Award Agreement as the “Restriction Period.”</w:t>
      </w:r>
    </w:p>
    <w:p>
      <w:pPr>
        <w:pStyle w:val="TextBody"/>
        <w:bidi w:val="0"/>
        <w:spacing w:lineRule="auto" w:line="288" w:before="0" w:after="240"/>
        <w:ind w:left="0" w:right="0" w:firstLine="1440"/>
        <w:jc w:val="left"/>
        <w:rPr/>
      </w:pPr>
      <w:r>
        <w:rPr>
          <w:rFonts w:ascii="Times New Roman;serif" w:hAnsi="Times New Roman;serif"/>
          <w:b w:val="false"/>
          <w:color w:val="000000"/>
          <w:sz w:val="22"/>
        </w:rPr>
        <w:t>(b)</w:t>
      </w:r>
      <w:r>
        <w:rPr>
          <w:rFonts w:ascii="Times New Roman;serif" w:hAnsi="Times New Roman;serif"/>
          <w:b w:val="false"/>
          <w:color w:val="000000"/>
          <w:sz w:val="22"/>
          <w:u w:val="single"/>
        </w:rPr>
        <w:t>Number of Shares</w:t>
      </w:r>
      <w:r>
        <w:rPr>
          <w:rFonts w:ascii="Times New Roman;serif" w:hAnsi="Times New Roman;serif"/>
          <w:b w:val="false"/>
          <w:color w:val="000000"/>
          <w:sz w:val="22"/>
        </w:rPr>
        <w:t>. The Committee shall determine the number of shares of Company Stock to be issued or transferred pursuant to an award of Restricted Stock and the restrictions applicable to such shares.</w:t>
      </w:r>
    </w:p>
    <w:p>
      <w:pPr>
        <w:pStyle w:val="TextBody"/>
        <w:bidi w:val="0"/>
        <w:spacing w:lineRule="auto" w:line="288" w:before="0" w:after="240"/>
        <w:ind w:left="0" w:right="0" w:firstLine="1440"/>
        <w:jc w:val="left"/>
        <w:rPr/>
      </w:pPr>
      <w:r>
        <w:rPr>
          <w:rFonts w:ascii="Times New Roman;serif" w:hAnsi="Times New Roman;serif"/>
          <w:b w:val="false"/>
          <w:color w:val="000000"/>
          <w:sz w:val="22"/>
        </w:rPr>
        <w:t>(c)</w:t>
      </w:r>
      <w:r>
        <w:rPr>
          <w:rFonts w:ascii="Times New Roman;serif" w:hAnsi="Times New Roman;serif"/>
          <w:b w:val="false"/>
          <w:color w:val="000000"/>
          <w:sz w:val="22"/>
          <w:u w:val="single"/>
        </w:rPr>
        <w:t>Requirement of Employment or Service</w:t>
      </w:r>
      <w:r>
        <w:rPr>
          <w:rFonts w:ascii="Times New Roman;serif" w:hAnsi="Times New Roman;serif"/>
          <w:b w:val="false"/>
          <w:color w:val="000000"/>
          <w:sz w:val="22"/>
        </w:rPr>
        <w:t xml:space="preserve">. If the Participant ceases to be employed by, or provide service to, the Employer during a period designated in the Award Agreement as the Restriction Period, or if other specified conditions are not met, the Restricted Stock shall terminate as to all shares covered by the Award as to which the restrictions have not lapsed, and those shares of </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60655"/>
                <wp:effectExtent l="0" t="0" r="0" b="0"/>
                <wp:wrapNone/>
                <wp:docPr id="14" name="Frame1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- 10 -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- 10 -</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Company Stock must be immediately returned to the Company. Subject to the limitations set forth in Section 13, the Committee may, however, provide for complete or partial exceptions to this requirement as it deems appropriate.</w:t>
      </w:r>
    </w:p>
    <w:p>
      <w:pPr>
        <w:pStyle w:val="TextBody"/>
        <w:bidi w:val="0"/>
        <w:spacing w:lineRule="auto" w:line="288" w:before="0" w:after="240"/>
        <w:ind w:left="0" w:right="0" w:firstLine="1440"/>
        <w:jc w:val="left"/>
        <w:rPr/>
      </w:pPr>
      <w:r>
        <w:rPr>
          <w:rFonts w:ascii="Times New Roman;serif" w:hAnsi="Times New Roman;serif"/>
          <w:b w:val="false"/>
          <w:color w:val="000000"/>
          <w:sz w:val="22"/>
        </w:rPr>
        <w:t>(d)</w:t>
      </w:r>
      <w:r>
        <w:rPr>
          <w:rFonts w:ascii="Times New Roman;serif" w:hAnsi="Times New Roman;serif"/>
          <w:b w:val="false"/>
          <w:color w:val="000000"/>
          <w:sz w:val="22"/>
          <w:u w:val="single"/>
        </w:rPr>
        <w:t>Restrictions on Transfer and Legend on Stock Certificate</w:t>
      </w:r>
      <w:r>
        <w:rPr>
          <w:rFonts w:ascii="Times New Roman;serif" w:hAnsi="Times New Roman;serif"/>
          <w:b w:val="false"/>
          <w:color w:val="000000"/>
          <w:sz w:val="22"/>
        </w:rPr>
        <w:t>. During the Restriction Period, a Participant may not sell, assign, transfer, pledge or otherwise dispose of the shares of Restricted Stock except under Section 16 below. Unless otherwise determined by the Committee, the Company will retain possession of certificates for shares of Restricted Stock until all restrictions on such shares have lapsed. Each certificate for Restricted Stock, unless held by the Company, shall contain a legend giving appropriate notice of the restrictions in the Award. The Participant shall be entitled to have the legend removed from the stock certificate covering the shares subject to restrictions when all restrictions on such shares have lapsed. The Committee may determine that the Company will not issue certificates for Restricted Stock until all restrictions on such shares have lapsed.</w:t>
      </w:r>
    </w:p>
    <w:p>
      <w:pPr>
        <w:pStyle w:val="TextBody"/>
        <w:bidi w:val="0"/>
        <w:spacing w:lineRule="auto" w:line="288" w:before="0" w:after="240"/>
        <w:ind w:left="0" w:right="0" w:firstLine="1440"/>
        <w:jc w:val="left"/>
        <w:rPr/>
      </w:pPr>
      <w:r>
        <w:rPr>
          <w:rFonts w:ascii="Times New Roman;serif" w:hAnsi="Times New Roman;serif"/>
          <w:b w:val="false"/>
          <w:color w:val="000000"/>
          <w:sz w:val="22"/>
        </w:rPr>
        <w:t>(e)</w:t>
      </w:r>
      <w:r>
        <w:rPr>
          <w:rFonts w:ascii="Times New Roman;serif" w:hAnsi="Times New Roman;serif"/>
          <w:b w:val="false"/>
          <w:color w:val="000000"/>
          <w:sz w:val="22"/>
          <w:u w:val="single"/>
        </w:rPr>
        <w:t>Right to Vote and to Receive Dividends</w:t>
      </w:r>
      <w:r>
        <w:rPr>
          <w:rFonts w:ascii="Times New Roman;serif" w:hAnsi="Times New Roman;serif"/>
          <w:b w:val="false"/>
          <w:color w:val="000000"/>
          <w:sz w:val="22"/>
        </w:rPr>
        <w:t>. Unless the Committee determines otherwise, during the Restriction Period, the Participant shall have the right to vote shares of Restricted Stock and to be credited any dividends or other distributions paid on such shares, subject to any restrictions deemed appropriate by the Committee, including, without limitation, the achievement of specific Performance Goals. Dividends shall vest and become payable only if and to the extent that the underlying Restricted Stock vests, as determined by the Committee.</w:t>
      </w:r>
    </w:p>
    <w:p>
      <w:pPr>
        <w:pStyle w:val="TextBody"/>
        <w:bidi w:val="0"/>
        <w:spacing w:lineRule="auto" w:line="288" w:before="0" w:after="240"/>
        <w:ind w:left="0" w:right="0" w:firstLine="1440"/>
        <w:jc w:val="left"/>
        <w:rPr/>
      </w:pPr>
      <w:r>
        <w:rPr>
          <w:rFonts w:ascii="Times New Roman;serif" w:hAnsi="Times New Roman;serif"/>
          <w:b w:val="false"/>
          <w:color w:val="000000"/>
          <w:sz w:val="22"/>
        </w:rPr>
        <w:t>(f)</w:t>
      </w:r>
      <w:r>
        <w:rPr>
          <w:rFonts w:ascii="Times New Roman;serif" w:hAnsi="Times New Roman;serif"/>
          <w:b w:val="false"/>
          <w:color w:val="000000"/>
          <w:sz w:val="22"/>
          <w:u w:val="single"/>
        </w:rPr>
        <w:t>Lapse of Restrictions</w:t>
      </w:r>
      <w:r>
        <w:rPr>
          <w:rFonts w:ascii="Times New Roman;serif" w:hAnsi="Times New Roman;serif"/>
          <w:b w:val="false"/>
          <w:color w:val="000000"/>
          <w:sz w:val="22"/>
        </w:rPr>
        <w:t>. All restrictions imposed on Restricted Stock shall lapse upon the expiration of the applicable Restriction Period and the satisfaction of all conditions, if any, imposed by the Committee. The Committee may determine, as to any or all Restricted Stock, that the restrictions shall lapse without regard to any Restriction Period.</w:t>
      </w:r>
    </w:p>
    <w:p>
      <w:pPr>
        <w:pStyle w:val="TextBody"/>
        <w:bidi w:val="0"/>
        <w:spacing w:lineRule="auto" w:line="288" w:before="0" w:after="240"/>
        <w:jc w:val="left"/>
        <w:rPr/>
      </w:pPr>
      <w:r>
        <w:rPr>
          <w:rFonts w:ascii="Times New Roman;serif" w:hAnsi="Times New Roman;serif"/>
          <w:b/>
          <w:color w:val="000000"/>
          <w:sz w:val="22"/>
        </w:rPr>
        <w:t>Section 8.</w:t>
      </w:r>
      <w:r>
        <w:rPr>
          <w:rFonts w:ascii="Times New Roman;serif" w:hAnsi="Times New Roman;serif"/>
          <w:b/>
          <w:color w:val="000000"/>
          <w:sz w:val="22"/>
        </w:rPr>
        <w:t>Restricted Stock Units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Committee may grant Restricted Stock Units, each of which shall represent one hypothetical share of Company Stock, to an Employee, Non-Employee Director or Key Advisor upon such terms and conditions as the Committee deems appropriate. The following provisions are applicable to Restricted Stock Units:</w:t>
      </w:r>
    </w:p>
    <w:p>
      <w:pPr>
        <w:pStyle w:val="TextBody"/>
        <w:bidi w:val="0"/>
        <w:spacing w:lineRule="auto" w:line="288" w:before="0" w:after="240"/>
        <w:ind w:left="0" w:right="0" w:firstLine="1440"/>
        <w:jc w:val="left"/>
        <w:rPr/>
      </w:pPr>
      <w:r>
        <w:rPr>
          <w:rFonts w:ascii="Times New Roman;serif" w:hAnsi="Times New Roman;serif"/>
          <w:b w:val="false"/>
          <w:color w:val="000000"/>
          <w:sz w:val="22"/>
        </w:rPr>
        <w:t>(a)</w:t>
      </w:r>
      <w:r>
        <w:rPr>
          <w:rFonts w:ascii="Times New Roman;serif" w:hAnsi="Times New Roman;serif"/>
          <w:b w:val="false"/>
          <w:color w:val="000000"/>
          <w:sz w:val="22"/>
          <w:u w:val="single"/>
        </w:rPr>
        <w:t>Crediting of Units</w:t>
      </w:r>
      <w:r>
        <w:rPr>
          <w:rFonts w:ascii="Times New Roman;serif" w:hAnsi="Times New Roman;serif"/>
          <w:b w:val="false"/>
          <w:color w:val="000000"/>
          <w:sz w:val="22"/>
        </w:rPr>
        <w:t>. Each Restricted Stock Unit shall represent the right of the Participant to receive a share of Company Stock or an amount of cash based on the value of a share of Company Stock, if and when specified conditions are met. All Restricted Stock Units shall be credited to bookkeeping accounts established on the Company’s records for purposes of the Plan.</w:t>
      </w:r>
    </w:p>
    <w:p>
      <w:pPr>
        <w:pStyle w:val="TextBody"/>
        <w:bidi w:val="0"/>
        <w:spacing w:lineRule="auto" w:line="288" w:before="0" w:after="240"/>
        <w:ind w:left="0" w:right="0" w:firstLine="1440"/>
        <w:jc w:val="left"/>
        <w:rPr/>
      </w:pPr>
      <w:r>
        <w:rPr>
          <w:rFonts w:ascii="Times New Roman;serif" w:hAnsi="Times New Roman;serif"/>
          <w:b w:val="false"/>
          <w:color w:val="000000"/>
          <w:sz w:val="22"/>
        </w:rPr>
        <w:t>(b)</w:t>
      </w:r>
      <w:r>
        <w:rPr>
          <w:rFonts w:ascii="Times New Roman;serif" w:hAnsi="Times New Roman;serif"/>
          <w:b w:val="false"/>
          <w:color w:val="000000"/>
          <w:sz w:val="22"/>
          <w:u w:val="single"/>
        </w:rPr>
        <w:t>Terms of Restricted Stock Units</w:t>
      </w:r>
      <w:r>
        <w:rPr>
          <w:rFonts w:ascii="Times New Roman;serif" w:hAnsi="Times New Roman;serif"/>
          <w:b w:val="false"/>
          <w:color w:val="000000"/>
          <w:sz w:val="22"/>
        </w:rPr>
        <w:t>. The Committee may grant Restricted Stock Units that vest and are payable if specified Performance Goals or other conditions are met, or under other circumstances. Restricted Stock Units may be paid at the end of a specified performance period or other period, or payment may be deferred to a date authorized by the Committee. Subject to the limitations set forth in Section 13, the Committee may accelerate vesting or payment, as to any or all Restricted Stock Units at any time for any reason, provided such acceleration complies with section 409A of the Code, to the extent applicable. The Committee shall determine the number of Restricted Stock Units to be granted and the requirements applicable to such Restricted Stock Units.</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60655"/>
                <wp:effectExtent l="0" t="0" r="0" b="0"/>
                <wp:wrapNone/>
                <wp:docPr id="15" name="Frame1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- 11 -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- 11 -</w:t>
                      </w:r>
                    </w:p>
                  </w:txbxContent>
                </v:textbox>
                <w10:wrap type="none"/>
              </v:rect>
            </w:pict>
          </mc:Fallback>
        </mc:AlternateContent>
      </w:r>
    </w:p>
    <w:p>
      <w:pPr>
        <w:pStyle w:val="TextBody"/>
        <w:bidi w:val="0"/>
        <w:spacing w:lineRule="auto" w:line="288" w:before="0" w:after="240"/>
        <w:ind w:left="0" w:right="0" w:firstLine="1440"/>
        <w:jc w:val="left"/>
        <w:rPr/>
      </w:pPr>
      <w:r>
        <w:rPr>
          <w:rFonts w:ascii="Times New Roman;serif" w:hAnsi="Times New Roman;serif"/>
          <w:b w:val="false"/>
          <w:color w:val="000000"/>
          <w:sz w:val="22"/>
        </w:rPr>
        <w:t>(c)</w:t>
      </w:r>
      <w:r>
        <w:rPr>
          <w:rFonts w:ascii="Times New Roman;serif" w:hAnsi="Times New Roman;serif"/>
          <w:b w:val="false"/>
          <w:color w:val="000000"/>
          <w:sz w:val="22"/>
          <w:u w:val="single"/>
        </w:rPr>
        <w:t>Requirement of Employment or Service</w:t>
      </w:r>
      <w:r>
        <w:rPr>
          <w:rFonts w:ascii="Times New Roman;serif" w:hAnsi="Times New Roman;serif"/>
          <w:b w:val="false"/>
          <w:color w:val="000000"/>
          <w:sz w:val="22"/>
        </w:rPr>
        <w:t>. If the Participant ceases to be employed by, or provide service to, the Employer prior to the vesting of Restricted Stock Units, or if other conditions established by the Committee are not met, the Participant’s Restricted Stock Units shall be forfeited. The Committee may, however, provide for complete or partial exceptions to this requirement as it deems appropriate.</w:t>
      </w:r>
    </w:p>
    <w:p>
      <w:pPr>
        <w:pStyle w:val="TextBody"/>
        <w:bidi w:val="0"/>
        <w:spacing w:lineRule="auto" w:line="288" w:before="0" w:after="240"/>
        <w:ind w:left="0" w:right="0" w:firstLine="1440"/>
        <w:jc w:val="left"/>
        <w:rPr/>
      </w:pPr>
      <w:r>
        <w:rPr>
          <w:rFonts w:ascii="Times New Roman;serif" w:hAnsi="Times New Roman;serif"/>
          <w:b w:val="false"/>
          <w:color w:val="000000"/>
          <w:sz w:val="22"/>
        </w:rPr>
        <w:t>(d)</w:t>
      </w:r>
      <w:r>
        <w:rPr>
          <w:rFonts w:ascii="Times New Roman;serif" w:hAnsi="Times New Roman;serif"/>
          <w:b w:val="false"/>
          <w:color w:val="000000"/>
          <w:sz w:val="22"/>
          <w:u w:val="single"/>
        </w:rPr>
        <w:t>Payment With Respect to Restricted Stock Units</w:t>
      </w:r>
      <w:r>
        <w:rPr>
          <w:rFonts w:ascii="Times New Roman;serif" w:hAnsi="Times New Roman;serif"/>
          <w:b w:val="false"/>
          <w:color w:val="000000"/>
          <w:sz w:val="22"/>
        </w:rPr>
        <w:t>. Payments with respect to Restricted Stock Units shall be made in cash, Company Stock or any combination of the foregoing, as the Committee shall determine.</w:t>
      </w:r>
    </w:p>
    <w:p>
      <w:pPr>
        <w:pStyle w:val="TextBody"/>
        <w:bidi w:val="0"/>
        <w:spacing w:lineRule="auto" w:line="288" w:before="0" w:after="240"/>
        <w:jc w:val="left"/>
        <w:rPr/>
      </w:pPr>
      <w:r>
        <w:rPr>
          <w:rFonts w:ascii="Times New Roman;serif" w:hAnsi="Times New Roman;serif"/>
          <w:b/>
          <w:color w:val="000000"/>
          <w:sz w:val="22"/>
        </w:rPr>
        <w:t>Section 9.</w:t>
      </w:r>
      <w:r>
        <w:rPr>
          <w:rFonts w:ascii="Times New Roman;serif" w:hAnsi="Times New Roman;serif"/>
          <w:b/>
          <w:color w:val="000000"/>
          <w:sz w:val="22"/>
        </w:rPr>
        <w:t>Stock Appreciation Rights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Committee may grant SARs to an Employee, Non-Employee Director or Key Advisor separately or in tandem with any Option. The following provisions are applicable to SARs:</w:t>
      </w:r>
    </w:p>
    <w:p>
      <w:pPr>
        <w:pStyle w:val="TextBody"/>
        <w:bidi w:val="0"/>
        <w:spacing w:lineRule="auto" w:line="288" w:before="0" w:after="240"/>
        <w:ind w:left="0" w:right="0" w:firstLine="1440"/>
        <w:jc w:val="left"/>
        <w:rPr/>
      </w:pPr>
      <w:r>
        <w:rPr>
          <w:rFonts w:ascii="Times New Roman;serif" w:hAnsi="Times New Roman;serif"/>
          <w:b w:val="false"/>
          <w:color w:val="000000"/>
          <w:sz w:val="22"/>
        </w:rPr>
        <w:t>(a)</w:t>
      </w:r>
      <w:r>
        <w:rPr>
          <w:rFonts w:ascii="Times New Roman;serif" w:hAnsi="Times New Roman;serif"/>
          <w:b w:val="false"/>
          <w:color w:val="000000"/>
          <w:sz w:val="22"/>
          <w:u w:val="single"/>
        </w:rPr>
        <w:t>General Requirements</w:t>
      </w:r>
      <w:r>
        <w:rPr>
          <w:rFonts w:ascii="Times New Roman;serif" w:hAnsi="Times New Roman;serif"/>
          <w:b w:val="false"/>
          <w:color w:val="000000"/>
          <w:sz w:val="22"/>
        </w:rPr>
        <w:t>. The Committee may grant SARs to an Employee, Non-Employee Director or Key Advisor separately or in tandem with any Option (for all or a portion of the applicable Option). Tandem SARs may be granted either at the time the Option is granted or at any time thereafter while the Option remains outstanding; provided, however, that, in the case of an Incentive Stock Option, SARs may be granted only at the time of the grant of the Incentive Stock Option. The Committee shall establish the base amount of the SAR at the time the SAR is granted. The base amount of each SAR shall be equal to or greater than the Fair Market Value of a share of Company Stock as of the date of grant of the SAR. The term of any SAR shall not exceed seven years from the date of grant. Notwithstanding the foregoing, in the event that on the last business day of the term of a SAR, the exercise of the SAR is prohibited by applicable law, including a prohibition on purchases or sales of Company Stock under the Company’s insider trading policy, the term shall be extended for a period of 30 days following the end of the legal prohibition, unless the Committee determines otherwise.</w:t>
      </w:r>
    </w:p>
    <w:p>
      <w:pPr>
        <w:pStyle w:val="TextBody"/>
        <w:bidi w:val="0"/>
        <w:spacing w:lineRule="auto" w:line="288" w:before="0" w:after="240"/>
        <w:ind w:left="0" w:right="0" w:firstLine="1440"/>
        <w:jc w:val="left"/>
        <w:rPr/>
      </w:pPr>
      <w:r>
        <w:rPr>
          <w:rFonts w:ascii="Times New Roman;serif" w:hAnsi="Times New Roman;serif"/>
          <w:b w:val="false"/>
          <w:color w:val="000000"/>
          <w:sz w:val="22"/>
        </w:rPr>
        <w:t>(b)</w:t>
      </w:r>
      <w:r>
        <w:rPr>
          <w:rFonts w:ascii="Times New Roman;serif" w:hAnsi="Times New Roman;serif"/>
          <w:b w:val="false"/>
          <w:color w:val="000000"/>
          <w:sz w:val="22"/>
          <w:u w:val="single"/>
        </w:rPr>
        <w:t>Tandem SARs</w:t>
      </w:r>
      <w:r>
        <w:rPr>
          <w:rFonts w:ascii="Times New Roman;serif" w:hAnsi="Times New Roman;serif"/>
          <w:b w:val="false"/>
          <w:color w:val="000000"/>
          <w:sz w:val="22"/>
        </w:rPr>
        <w:t>. In the case of tandem SARs, the number of SARs granted to a Participant that shall be exercisable during a specified period shall not exceed the number of shares of Company Stock that the Participant may purchase upon the exercise of the related Option during such period. Upon the exercise of an Option, the SARs relating to the Company Stock covered by such Option shall terminate. Upon the exercise of SARs, the related Option shall terminate to the extent of an equal number of shares of Company Stock.</w:t>
      </w:r>
    </w:p>
    <w:p>
      <w:pPr>
        <w:pStyle w:val="TextBody"/>
        <w:bidi w:val="0"/>
        <w:spacing w:lineRule="auto" w:line="288" w:before="0" w:after="240"/>
        <w:ind w:left="0" w:right="0" w:firstLine="1440"/>
        <w:jc w:val="left"/>
        <w:rPr/>
      </w:pPr>
      <w:r>
        <w:rPr>
          <w:rFonts w:ascii="Times New Roman;serif" w:hAnsi="Times New Roman;serif"/>
          <w:b w:val="false"/>
          <w:color w:val="000000"/>
          <w:sz w:val="22"/>
        </w:rPr>
        <w:t>(c)</w:t>
      </w:r>
      <w:r>
        <w:rPr>
          <w:rFonts w:ascii="Times New Roman;serif" w:hAnsi="Times New Roman;serif"/>
          <w:b w:val="false"/>
          <w:color w:val="000000"/>
          <w:sz w:val="22"/>
          <w:u w:val="single"/>
        </w:rPr>
        <w:t>Exercisability</w:t>
      </w:r>
      <w:r>
        <w:rPr>
          <w:rFonts w:ascii="Times New Roman;serif" w:hAnsi="Times New Roman;serif"/>
          <w:b w:val="false"/>
          <w:color w:val="000000"/>
          <w:sz w:val="22"/>
        </w:rPr>
        <w:t>. A SAR shall be exercisable during the period specified by the Committee in the Award Agreement and shall be subject to such vesting and other restrictions as may be specified in the Award Agreement. Subject to the limitations set forth in Section 13, the Committee may accelerate the exercisability of any or all outstanding SARs at any time for any reason. SARs may only be exercised while the Participant is employed by, or providing service to, the Employer or during the applicable period after termination of employment or service as specified by the Committee. A tandem SAR shall be exercisable only during the period when the Option to which it is related is also exercisable.</w:t>
      </w:r>
    </w:p>
    <w:p>
      <w:pPr>
        <w:pStyle w:val="TextBody"/>
        <w:bidi w:val="0"/>
        <w:spacing w:lineRule="auto" w:line="288" w:before="0" w:after="240"/>
        <w:ind w:left="0" w:right="0" w:firstLine="1440"/>
        <w:jc w:val="left"/>
        <w:rPr/>
      </w:pPr>
      <w:r>
        <w:rPr>
          <w:rFonts w:ascii="Times New Roman;serif" w:hAnsi="Times New Roman;serif"/>
          <w:b w:val="false"/>
          <w:color w:val="000000"/>
          <w:sz w:val="22"/>
        </w:rPr>
        <w:t>(d)</w:t>
      </w:r>
      <w:r>
        <w:rPr>
          <w:rFonts w:ascii="Times New Roman;serif" w:hAnsi="Times New Roman;serif"/>
          <w:b w:val="false"/>
          <w:color w:val="000000"/>
          <w:sz w:val="22"/>
          <w:u w:val="single"/>
        </w:rPr>
        <w:t>Awards to Nonexempt Employees</w:t>
      </w:r>
      <w:r>
        <w:rPr>
          <w:rFonts w:ascii="Times New Roman;serif" w:hAnsi="Times New Roman;serif"/>
          <w:b w:val="false"/>
          <w:color w:val="000000"/>
          <w:sz w:val="22"/>
        </w:rPr>
        <w:t>. Notwithstanding the foregoing, SARs granted to persons who are nonexempt employees under the Fair Labor Standards Act of 1938, as amended, may not be exercisable for at least six months after the date of grant (except that such SARs may become exercisable, as determined by the Committee, upon the Participant’s death, Disability or retirement, or upon a Change of Control or other circumstances permitted by applicable regulations).</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60655"/>
                <wp:effectExtent l="0" t="0" r="0" b="0"/>
                <wp:wrapNone/>
                <wp:docPr id="16" name="Frame1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- 12 -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- 12 -</w:t>
                      </w:r>
                    </w:p>
                  </w:txbxContent>
                </v:textbox>
                <w10:wrap type="none"/>
              </v:rect>
            </w:pict>
          </mc:Fallback>
        </mc:AlternateContent>
      </w:r>
    </w:p>
    <w:p>
      <w:pPr>
        <w:pStyle w:val="TextBody"/>
        <w:bidi w:val="0"/>
        <w:spacing w:lineRule="auto" w:line="288" w:before="0" w:after="240"/>
        <w:ind w:left="0" w:right="0" w:firstLine="1440"/>
        <w:jc w:val="left"/>
        <w:rPr/>
      </w:pPr>
      <w:r>
        <w:rPr>
          <w:rFonts w:ascii="Times New Roman;serif" w:hAnsi="Times New Roman;serif"/>
          <w:b w:val="false"/>
          <w:color w:val="000000"/>
          <w:sz w:val="22"/>
        </w:rPr>
        <w:t>(e)</w:t>
      </w:r>
      <w:r>
        <w:rPr>
          <w:rFonts w:ascii="Times New Roman;serif" w:hAnsi="Times New Roman;serif"/>
          <w:b w:val="false"/>
          <w:color w:val="000000"/>
          <w:sz w:val="22"/>
          <w:u w:val="single"/>
        </w:rPr>
        <w:t>Value of SARs</w:t>
      </w:r>
      <w:r>
        <w:rPr>
          <w:rFonts w:ascii="Times New Roman;serif" w:hAnsi="Times New Roman;serif"/>
          <w:b w:val="false"/>
          <w:color w:val="000000"/>
          <w:sz w:val="22"/>
        </w:rPr>
        <w:t>. When a Participant exercises SARs, the Participant shall receive in settlement of such SARs an amount equal to the value of the stock appreciation for the number of SARs exercised. The stock appreciation for a SAR is the amount by which the Fair Market Value of the underlying Company Stock on the date of exercise of the SAR exceeds the base amount of the SAR as described in subsection (a).</w:t>
      </w:r>
    </w:p>
    <w:p>
      <w:pPr>
        <w:pStyle w:val="TextBody"/>
        <w:bidi w:val="0"/>
        <w:spacing w:lineRule="auto" w:line="288" w:before="0" w:after="240"/>
        <w:ind w:left="0" w:right="0" w:firstLine="1440"/>
        <w:jc w:val="left"/>
        <w:rPr/>
      </w:pPr>
      <w:r>
        <w:rPr>
          <w:rFonts w:ascii="Times New Roman;serif" w:hAnsi="Times New Roman;serif"/>
          <w:b w:val="false"/>
          <w:color w:val="000000"/>
          <w:sz w:val="22"/>
        </w:rPr>
        <w:t>(f)</w:t>
      </w:r>
      <w:r>
        <w:rPr>
          <w:rFonts w:ascii="Times New Roman;serif" w:hAnsi="Times New Roman;serif"/>
          <w:b w:val="false"/>
          <w:color w:val="000000"/>
          <w:sz w:val="22"/>
          <w:u w:val="single"/>
        </w:rPr>
        <w:t>Form of Payment</w:t>
      </w:r>
      <w:r>
        <w:rPr>
          <w:rFonts w:ascii="Times New Roman;serif" w:hAnsi="Times New Roman;serif"/>
          <w:b w:val="false"/>
          <w:color w:val="000000"/>
          <w:sz w:val="22"/>
        </w:rPr>
        <w:t>. The appreciation in a SAR shall be paid in shares of Company Stock, cash or any combination of the foregoing, as the Committee shall determine. For purposes of calculating the number of shares of Company Stock to be received, shares of Company Stock shall be valued at their Fair Market Value on the date of exercise of the SAR.</w:t>
      </w:r>
    </w:p>
    <w:p>
      <w:pPr>
        <w:pStyle w:val="TextBody"/>
        <w:bidi w:val="0"/>
        <w:spacing w:lineRule="auto" w:line="288" w:before="0" w:after="240"/>
        <w:jc w:val="left"/>
        <w:rPr/>
      </w:pPr>
      <w:r>
        <w:rPr>
          <w:rFonts w:ascii="Times New Roman;serif" w:hAnsi="Times New Roman;serif"/>
          <w:b/>
          <w:color w:val="000000"/>
          <w:sz w:val="22"/>
        </w:rPr>
        <w:t>Section 10.</w:t>
      </w:r>
      <w:r>
        <w:rPr>
          <w:rFonts w:ascii="Times New Roman;serif" w:hAnsi="Times New Roman;serif"/>
          <w:b/>
          <w:color w:val="000000"/>
          <w:sz w:val="22"/>
        </w:rPr>
        <w:t>Other Stock-Based Awards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Committee may grant Other Stock-Based Awards, which are awards (other than those described in Sections 6, 7, 8 and 9 of the Plan) that are based on or measured by Company Stock, to any Employee, Non-Employee Director or Key Advisor, on such terms and conditions as the Committee shall determine. Other Stock-Based Awards may be awarded subject to the achievement of Performance Goals or other criteria or other conditions and may be payable in cash, Company Stock or any combination of the foregoing, as the Committee shall determine.</w:t>
      </w:r>
    </w:p>
    <w:p>
      <w:pPr>
        <w:pStyle w:val="TextBody"/>
        <w:bidi w:val="0"/>
        <w:spacing w:lineRule="auto" w:line="288" w:before="0" w:after="240"/>
        <w:jc w:val="left"/>
        <w:rPr/>
      </w:pPr>
      <w:r>
        <w:rPr>
          <w:rFonts w:ascii="Times New Roman;serif" w:hAnsi="Times New Roman;serif"/>
          <w:b/>
          <w:color w:val="000000"/>
          <w:sz w:val="22"/>
        </w:rPr>
        <w:t>Section 11.</w:t>
      </w:r>
      <w:r>
        <w:rPr>
          <w:rFonts w:ascii="Times New Roman;serif" w:hAnsi="Times New Roman;serif"/>
          <w:b/>
          <w:color w:val="000000"/>
          <w:sz w:val="22"/>
        </w:rPr>
        <w:t>Cash Awards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Committee may grant Cash Awards to Employees who are executive officers and other key employees of the Company. The Committee shall determine the terms and conditions applicable to Cash Awards, including the criteria for the vesting and payment of Cash Awards. Cash Awards shall be based on such measures as the Committee deems appropriate and need not relate to the value of shares of Company Stock.</w:t>
      </w:r>
    </w:p>
    <w:p>
      <w:pPr>
        <w:pStyle w:val="TextBody"/>
        <w:bidi w:val="0"/>
        <w:spacing w:lineRule="auto" w:line="288" w:before="0" w:after="240"/>
        <w:jc w:val="left"/>
        <w:rPr/>
      </w:pPr>
      <w:r>
        <w:rPr>
          <w:rFonts w:ascii="Times New Roman;serif" w:hAnsi="Times New Roman;serif"/>
          <w:b/>
          <w:color w:val="000000"/>
          <w:sz w:val="22"/>
        </w:rPr>
        <w:t>Section 12.</w:t>
      </w:r>
      <w:r>
        <w:rPr>
          <w:rFonts w:ascii="Times New Roman;serif" w:hAnsi="Times New Roman;serif"/>
          <w:b/>
          <w:color w:val="000000"/>
          <w:sz w:val="22"/>
        </w:rPr>
        <w:t>Dividend Equivalents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Committee may grant Dividend Equivalents in connection with Restricted Stock Units or Other Stock-Based Awards. Dividend Equivalents may be paid currently or accrued as contingent cash obligations and may be payable in cash or shares of Company Stock, and upon such terms and conditions as the Committee shall determine. Dividend Equivalents with respect to Restricted Stock Units or Other Stock-Based Awards shall vest and be paid only if and to the extent the underlying Restricted Stock Units or Other Stock-Based Awards vest and are paid, as determined by the Committee. For the avoidance of doubt, no dividends or Dividend Equivalents will be granted in connection with Stock Options or SARs.</w:t>
      </w:r>
    </w:p>
    <w:p>
      <w:pPr>
        <w:pStyle w:val="TextBody"/>
        <w:bidi w:val="0"/>
        <w:spacing w:lineRule="auto" w:line="288" w:before="0" w:after="240"/>
        <w:jc w:val="left"/>
        <w:rPr/>
      </w:pPr>
      <w:r>
        <w:rPr>
          <w:rFonts w:ascii="Times New Roman;serif" w:hAnsi="Times New Roman;serif"/>
          <w:b/>
          <w:color w:val="000000"/>
          <w:sz w:val="22"/>
        </w:rPr>
        <w:t>Section 13.</w:t>
      </w:r>
      <w:r>
        <w:rPr>
          <w:rFonts w:ascii="Times New Roman;serif" w:hAnsi="Times New Roman;serif"/>
          <w:b/>
          <w:color w:val="000000"/>
          <w:sz w:val="22"/>
        </w:rPr>
        <w:t>Consequences of a Change of Control</w:t>
      </w:r>
    </w:p>
    <w:p>
      <w:pPr>
        <w:pStyle w:val="TextBody"/>
        <w:bidi w:val="0"/>
        <w:spacing w:lineRule="auto" w:line="288" w:before="0" w:after="240"/>
        <w:ind w:left="0" w:right="0" w:firstLine="1440"/>
        <w:jc w:val="left"/>
        <w:rPr/>
      </w:pPr>
      <w:r>
        <w:rPr>
          <w:rFonts w:ascii="Times New Roman;serif" w:hAnsi="Times New Roman;serif"/>
          <w:b w:val="false"/>
          <w:color w:val="000000"/>
          <w:sz w:val="22"/>
        </w:rPr>
        <w:t>(a)</w:t>
      </w:r>
      <w:r>
        <w:rPr>
          <w:rFonts w:ascii="Times New Roman;serif" w:hAnsi="Times New Roman;serif"/>
          <w:b w:val="false"/>
          <w:color w:val="000000"/>
          <w:sz w:val="22"/>
          <w:u w:val="single"/>
        </w:rPr>
        <w:t>Assumption of Outstanding Awards</w:t>
      </w:r>
      <w:r>
        <w:rPr>
          <w:rFonts w:ascii="Times New Roman;serif" w:hAnsi="Times New Roman;serif"/>
          <w:b w:val="false"/>
          <w:color w:val="000000"/>
          <w:sz w:val="22"/>
        </w:rPr>
        <w:t>. Upon a Change of Control where the Company is not the surviving corporation (or survives only as a subsidiary of another corporation), unless the Committee determines otherwise, all outstanding Awards that are not exercised or paid at the time of the Change of Control shall be assumed by, or replaced with grants that have comparable terms by, the surviving corporation (or a parent or subsidiary of the surviving corporation). After a Change of Control, references to the “Company” as they relate to employment matters shall include the successor employer in the transaction, subject to applicable law.</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60655"/>
                <wp:effectExtent l="0" t="0" r="0" b="0"/>
                <wp:wrapNone/>
                <wp:docPr id="17" name="Frame1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- 13 -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- 13 -</w:t>
                      </w:r>
                    </w:p>
                  </w:txbxContent>
                </v:textbox>
                <w10:wrap type="none"/>
              </v:rect>
            </w:pict>
          </mc:Fallback>
        </mc:AlternateContent>
      </w:r>
    </w:p>
    <w:p>
      <w:pPr>
        <w:pStyle w:val="TextBody"/>
        <w:bidi w:val="0"/>
        <w:spacing w:lineRule="auto" w:line="288" w:before="0" w:after="240"/>
        <w:ind w:left="0" w:right="0" w:firstLine="1440"/>
        <w:jc w:val="left"/>
        <w:rPr/>
      </w:pPr>
      <w:r>
        <w:rPr>
          <w:rFonts w:ascii="Times New Roman;serif" w:hAnsi="Times New Roman;serif"/>
          <w:b w:val="false"/>
          <w:color w:val="000000"/>
          <w:sz w:val="22"/>
        </w:rPr>
        <w:t>(b)</w:t>
      </w:r>
      <w:r>
        <w:rPr>
          <w:rFonts w:ascii="Times New Roman;serif" w:hAnsi="Times New Roman;serif"/>
          <w:b w:val="false"/>
          <w:color w:val="000000"/>
          <w:sz w:val="22"/>
          <w:u w:val="single"/>
        </w:rPr>
        <w:t>Vesting Upon Certain Terminations of Employment</w:t>
      </w:r>
      <w:r>
        <w:rPr>
          <w:rFonts w:ascii="Times New Roman;serif" w:hAnsi="Times New Roman;serif"/>
          <w:b w:val="false"/>
          <w:color w:val="000000"/>
          <w:sz w:val="22"/>
        </w:rPr>
        <w:t>. Unless the Award Agreement provides otherwise, if a Participant’s employment is terminated by the Employer without Cause upon or within 12 months following a Change of Control, the Participant’s outstanding Awards shall become fully vested as of the date of such termination; provided that if the vesting of any such Awards is based, in whole or in part, on performance, such Awards shall vest only based on the greater of (i) actual performance as of the date of the Change of Control, or (ii) target performance, prorated based on the period elapsed between the beginning of the applicable performance period and the date of termination.</w:t>
      </w:r>
    </w:p>
    <w:p>
      <w:pPr>
        <w:pStyle w:val="TextBody"/>
        <w:bidi w:val="0"/>
        <w:spacing w:lineRule="auto" w:line="288" w:before="0" w:after="240"/>
        <w:ind w:left="0" w:right="0" w:firstLine="1440"/>
        <w:jc w:val="left"/>
        <w:rPr/>
      </w:pPr>
      <w:r>
        <w:rPr>
          <w:rFonts w:ascii="Times New Roman;serif" w:hAnsi="Times New Roman;serif"/>
          <w:b w:val="false"/>
          <w:color w:val="000000"/>
          <w:sz w:val="22"/>
        </w:rPr>
        <w:t>(c)</w:t>
      </w:r>
      <w:r>
        <w:rPr>
          <w:rFonts w:ascii="Times New Roman;serif" w:hAnsi="Times New Roman;serif"/>
          <w:b w:val="false"/>
          <w:color w:val="000000"/>
          <w:sz w:val="22"/>
          <w:u w:val="single"/>
        </w:rPr>
        <w:t>Other Alternatives</w:t>
      </w:r>
      <w:r>
        <w:rPr>
          <w:rFonts w:ascii="Times New Roman;serif" w:hAnsi="Times New Roman;serif"/>
          <w:b w:val="false"/>
          <w:color w:val="000000"/>
          <w:sz w:val="22"/>
        </w:rPr>
        <w:t>. In the event of a Change of Control, if any outstanding Awards are not assumed by, or replaced with grants that have comparable terms by, the surviving corporation (or a parent or subsidiary of the surviving corporation), the Committee may take any of the following actions with respect to any or all outstanding Awards, without the consent of any Participant: (i) the Committee may determine that outstanding Stock Options and SARs shall automatically accelerate and become fully exercisable and the restrictions and conditions on outstanding Restricted Stock, Restricted Stock Units, Cash Awards, and Dividend Equivalents shall immediately lapse; (ii) the Committee may determine that Participants shall receive a payment in settlement of outstanding Restricted Stock Units, Cash Awards, or Dividend Equivalents, in such amount and form as may be determined by the Committee; (iii) the Committee may require that Participants surrender their outstanding Stock Options and SARs in exchange for a payment by the Company, in cash or Company Stock as determined by the Committee, in an amount equal to the amount, if any, by which the then Fair Market Value of the shares of Company Stock subject to the Participant’s unexercised Stock Options and SARs exceeds the Stock Option Exercise Price or SAR base amount, and (iv) after giving Participants an opportunity to exercise all of their outstanding Stock Options and SARs, the Committee may terminate any or all unexercised Stock Options and SARs at such time as the Committee deems appropriate. Such surrender, termination or payment shall take place as of the date of the Change of Control or such other date as the Committee may specify. Without limiting the foregoing, if the per share Fair Market Value of the Company Stock does not exceed the per share Stock Option Exercise Price or SAR base amount, as applicable, the Company shall not be required to make any payment to the Participant upon surrender of the Stock Option or SAR.</w:t>
      </w:r>
    </w:p>
    <w:p>
      <w:pPr>
        <w:pStyle w:val="TextBody"/>
        <w:bidi w:val="0"/>
        <w:spacing w:lineRule="auto" w:line="288" w:before="0" w:after="240"/>
        <w:jc w:val="left"/>
        <w:rPr/>
      </w:pPr>
      <w:r>
        <w:rPr>
          <w:rFonts w:ascii="Times New Roman;serif" w:hAnsi="Times New Roman;serif"/>
          <w:b/>
          <w:color w:val="000000"/>
          <w:sz w:val="22"/>
        </w:rPr>
        <w:t>Section 14.</w:t>
      </w:r>
      <w:r>
        <w:rPr>
          <w:rFonts w:ascii="Times New Roman;serif" w:hAnsi="Times New Roman;serif"/>
          <w:b/>
          <w:color w:val="000000"/>
          <w:sz w:val="22"/>
        </w:rPr>
        <w:t>Tax Application/Changes for Certain Awards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Committee may permit or require a Participant to defer receipt of the payment of cash or the delivery of shares that would otherwise be due to such Participant in connection with any Award. If any such deferral election is permitted or required, the Committee shall establish rules and procedures for such deferrals and may provide for interest or other earnings to be paid on such deferrals. The rules and procedures for any such deferrals shall be consistent with applicable requirements of section 409A of the Code.</w:t>
      </w:r>
    </w:p>
    <w:p>
      <w:pPr>
        <w:pStyle w:val="TextBody"/>
        <w:bidi w:val="0"/>
        <w:spacing w:lineRule="auto" w:line="288" w:before="0" w:after="240"/>
        <w:jc w:val="left"/>
        <w:rPr/>
      </w:pPr>
      <w:r>
        <w:rPr>
          <w:rFonts w:ascii="Times New Roman;serif" w:hAnsi="Times New Roman;serif"/>
          <w:b/>
          <w:color w:val="000000"/>
          <w:sz w:val="22"/>
        </w:rPr>
        <w:t>Section 15.</w:t>
      </w:r>
      <w:r>
        <w:rPr>
          <w:rFonts w:ascii="Times New Roman;serif" w:hAnsi="Times New Roman;serif"/>
          <w:b/>
          <w:color w:val="000000"/>
          <w:sz w:val="22"/>
        </w:rPr>
        <w:t>Withholding of Taxes</w:t>
      </w:r>
    </w:p>
    <w:p>
      <w:pPr>
        <w:pStyle w:val="TextBody"/>
        <w:bidi w:val="0"/>
        <w:spacing w:lineRule="auto" w:line="288" w:before="0" w:after="240"/>
        <w:ind w:left="0" w:right="0" w:firstLine="1440"/>
        <w:jc w:val="left"/>
        <w:rPr/>
      </w:pPr>
      <w:r>
        <w:rPr>
          <w:rFonts w:ascii="Times New Roman;serif" w:hAnsi="Times New Roman;serif"/>
          <w:b w:val="false"/>
          <w:color w:val="000000"/>
          <w:sz w:val="22"/>
        </w:rPr>
        <w:t>(a)</w:t>
      </w:r>
      <w:r>
        <w:rPr>
          <w:rFonts w:ascii="Times New Roman;serif" w:hAnsi="Times New Roman;serif"/>
          <w:b w:val="false"/>
          <w:color w:val="000000"/>
          <w:sz w:val="22"/>
          <w:u w:val="single"/>
        </w:rPr>
        <w:t>Required Withholding</w:t>
      </w:r>
      <w:r>
        <w:rPr>
          <w:rFonts w:ascii="Times New Roman;serif" w:hAnsi="Times New Roman;serif"/>
          <w:b w:val="false"/>
          <w:color w:val="000000"/>
          <w:sz w:val="22"/>
        </w:rPr>
        <w:t>. All Awards under the Plan shall be subject to applicable United States federal (including FICA), state and local, foreign country or other tax withholding requirements. The Employer may require that the Participant or other person receiving Awards or exercising Awards pay to the Employer an amount sufficient to satisfy such tax withholding requirements with respect to such Awards, or the Employer may deduct from other wages and compensation paid by the Employer the amount of any withholding taxes due with respect to such Awards.</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60655"/>
                <wp:effectExtent l="0" t="0" r="0" b="0"/>
                <wp:wrapNone/>
                <wp:docPr id="18" name="Frame1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- 14 -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- 14 -</w:t>
                      </w:r>
                    </w:p>
                  </w:txbxContent>
                </v:textbox>
                <w10:wrap type="none"/>
              </v:rect>
            </w:pict>
          </mc:Fallback>
        </mc:AlternateContent>
      </w:r>
    </w:p>
    <w:p>
      <w:pPr>
        <w:pStyle w:val="TextBody"/>
        <w:bidi w:val="0"/>
        <w:spacing w:lineRule="auto" w:line="288" w:before="0" w:after="240"/>
        <w:ind w:left="0" w:right="0" w:firstLine="1440"/>
        <w:jc w:val="left"/>
        <w:rPr/>
      </w:pPr>
      <w:r>
        <w:rPr>
          <w:rFonts w:ascii="Times New Roman;serif" w:hAnsi="Times New Roman;serif"/>
          <w:b w:val="false"/>
          <w:color w:val="000000"/>
          <w:sz w:val="22"/>
        </w:rPr>
        <w:t>(b)</w:t>
      </w:r>
      <w:r>
        <w:rPr>
          <w:rFonts w:ascii="Times New Roman;serif" w:hAnsi="Times New Roman;serif"/>
          <w:b w:val="false"/>
          <w:color w:val="000000"/>
          <w:sz w:val="22"/>
          <w:u w:val="single"/>
        </w:rPr>
        <w:t>Share Withholding</w:t>
      </w:r>
      <w:r>
        <w:rPr>
          <w:rFonts w:ascii="Times New Roman;serif" w:hAnsi="Times New Roman;serif"/>
          <w:b w:val="false"/>
          <w:color w:val="000000"/>
          <w:sz w:val="22"/>
        </w:rPr>
        <w:t>. The Committee may permit or require the Employer’s tax withholding obligation with respect to Awards paid in Company Stock to be satisfied by having shares withheld up to an amount that does not exceed the Participant’s applicable withholding tax rate for United States federal (including FICA), state and local tax liabilities. The Committee may, in its discretion, and subject to such rules as the Committee may adopt, allow Participants to elect to have such share withholding applied to all or a portion of the tax withholding obligation arising in connection with any particular Award. Unless the Committee determines otherwise, share withholding for taxes shall not exceed the Participant’s minimum applicable tax withholding amount (any determination to exceed the minimum applicable tax withholding amount shall be in accordance with permissible accounting rules then in effect).</w:t>
      </w:r>
    </w:p>
    <w:p>
      <w:pPr>
        <w:pStyle w:val="TextBody"/>
        <w:bidi w:val="0"/>
        <w:spacing w:lineRule="auto" w:line="288" w:before="0" w:after="240"/>
        <w:jc w:val="left"/>
        <w:rPr/>
      </w:pPr>
      <w:r>
        <w:rPr>
          <w:rFonts w:ascii="Times New Roman;serif" w:hAnsi="Times New Roman;serif"/>
          <w:b/>
          <w:color w:val="000000"/>
          <w:sz w:val="22"/>
        </w:rPr>
        <w:t>Section 16.</w:t>
      </w:r>
      <w:r>
        <w:rPr>
          <w:rFonts w:ascii="Times New Roman;serif" w:hAnsi="Times New Roman;serif"/>
          <w:b/>
          <w:color w:val="000000"/>
          <w:sz w:val="22"/>
        </w:rPr>
        <w:t>Transferability of Awards</w:t>
      </w:r>
    </w:p>
    <w:p>
      <w:pPr>
        <w:pStyle w:val="TextBody"/>
        <w:bidi w:val="0"/>
        <w:spacing w:lineRule="auto" w:line="288" w:before="0" w:after="240"/>
        <w:ind w:left="0" w:right="0" w:firstLine="1440"/>
        <w:jc w:val="left"/>
        <w:rPr/>
      </w:pPr>
      <w:r>
        <w:rPr>
          <w:rFonts w:ascii="Times New Roman;serif" w:hAnsi="Times New Roman;serif"/>
          <w:b w:val="false"/>
          <w:color w:val="000000"/>
          <w:sz w:val="22"/>
        </w:rPr>
        <w:t>(a)</w:t>
      </w:r>
      <w:r>
        <w:rPr>
          <w:rFonts w:ascii="Times New Roman;serif" w:hAnsi="Times New Roman;serif"/>
          <w:b w:val="false"/>
          <w:color w:val="000000"/>
          <w:sz w:val="22"/>
          <w:u w:val="single"/>
        </w:rPr>
        <w:t>Non-transferability of Awards</w:t>
      </w:r>
      <w:r>
        <w:rPr>
          <w:rFonts w:ascii="Times New Roman;serif" w:hAnsi="Times New Roman;serif"/>
          <w:b w:val="false"/>
          <w:color w:val="000000"/>
          <w:sz w:val="22"/>
        </w:rPr>
        <w:t>. Except as described in subsection (b) below, only the Participant may exercise rights under an Award during the Participant’s lifetime. A Participant may not transfer those rights except (i) by will or by the laws of descent and distribution or (ii) with respect to Awards other than Incentive Stock Options, pursuant to a domestic relations order. When a Participant dies, the personal representative or other person entitled to succeed to the rights of the Participant may exercise such rights. Any such successor must furnish proof satisfactory to the Company of his or her right to receive the Award under the Participant’s will or under the applicable laws of descent and distribution.</w:t>
      </w:r>
    </w:p>
    <w:p>
      <w:pPr>
        <w:pStyle w:val="TextBody"/>
        <w:bidi w:val="0"/>
        <w:spacing w:lineRule="auto" w:line="288" w:before="0" w:after="240"/>
        <w:ind w:left="0" w:right="0" w:firstLine="1440"/>
        <w:jc w:val="left"/>
        <w:rPr/>
      </w:pPr>
      <w:r>
        <w:rPr>
          <w:rFonts w:ascii="Times New Roman;serif" w:hAnsi="Times New Roman;serif"/>
          <w:b w:val="false"/>
          <w:color w:val="000000"/>
          <w:sz w:val="22"/>
        </w:rPr>
        <w:t>(b)</w:t>
      </w:r>
      <w:r>
        <w:rPr>
          <w:rFonts w:ascii="Times New Roman;serif" w:hAnsi="Times New Roman;serif"/>
          <w:b w:val="false"/>
          <w:color w:val="000000"/>
          <w:sz w:val="22"/>
          <w:u w:val="single"/>
        </w:rPr>
        <w:t>Transfer of Non-qualified Stock Options</w:t>
      </w:r>
      <w:r>
        <w:rPr>
          <w:rFonts w:ascii="Times New Roman;serif" w:hAnsi="Times New Roman;serif"/>
          <w:b w:val="false"/>
          <w:color w:val="000000"/>
          <w:sz w:val="22"/>
        </w:rPr>
        <w:t>. Notwithstanding the foregoing, the Committee may provide, in an Award Agreement, that a Participant may transfer Non-qualified Stock Options to family members, or one or more trusts or other entities for the benefit of or owned by family members, consistent with the applicable securities laws, according to such terms as the Committee may determine; provided that the Participant receives no consideration for the transfer of an Option and the transferred Option shall continue to be subject to the same terms and conditions as were applicable to the Option immediately before the transfer.</w:t>
      </w:r>
    </w:p>
    <w:p>
      <w:pPr>
        <w:pStyle w:val="TextBody"/>
        <w:bidi w:val="0"/>
        <w:spacing w:lineRule="auto" w:line="288" w:before="0" w:after="240"/>
        <w:jc w:val="left"/>
        <w:rPr/>
      </w:pPr>
      <w:r>
        <w:rPr>
          <w:rFonts w:ascii="Times New Roman;serif" w:hAnsi="Times New Roman;serif"/>
          <w:b/>
          <w:color w:val="000000"/>
          <w:sz w:val="22"/>
        </w:rPr>
        <w:t>Section 17.</w:t>
      </w:r>
      <w:r>
        <w:rPr>
          <w:rFonts w:ascii="Times New Roman;serif" w:hAnsi="Times New Roman;serif"/>
          <w:b/>
          <w:color w:val="000000"/>
          <w:sz w:val="22"/>
        </w:rPr>
        <w:t>Requirements for Issuance or Transfer of Shares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No Company Stock shall be issued or transferred in connection with any Award hereunder unless and until all legal requirements applicable to the issuance or transfer of such Company Stock have been complied with to the satisfaction of the Committee. The Committee shall have the right to condition any Award on the Participant’s undertaking in writing to comply with such restrictions on his or her subsequent disposition of the shares of Company Stock as the Committee shall deem necessary or advisable, and certificates representing such shares may be legended to reflect any such restrictions. Certificates representing shares of Company Stock issued or transferred under the Plan may be subject to such stop-transfer orders and other restrictions as the Committee deems appropriate to comply with applicable laws, regulations and interpretations, including any requirement that a legend be placed thereon.</w:t>
      </w:r>
    </w:p>
    <w:p>
      <w:pPr>
        <w:pStyle w:val="TextBody"/>
        <w:bidi w:val="0"/>
        <w:spacing w:lineRule="auto" w:line="288" w:before="0" w:after="240"/>
        <w:jc w:val="left"/>
        <w:rPr/>
      </w:pPr>
      <w:r>
        <w:rPr>
          <w:rFonts w:ascii="Times New Roman;serif" w:hAnsi="Times New Roman;serif"/>
          <w:b/>
          <w:color w:val="000000"/>
          <w:sz w:val="22"/>
        </w:rPr>
        <w:t>Section 18.</w:t>
      </w:r>
      <w:r>
        <w:rPr>
          <w:rFonts w:ascii="Times New Roman;serif" w:hAnsi="Times New Roman;serif"/>
          <w:b/>
          <w:color w:val="000000"/>
          <w:sz w:val="22"/>
        </w:rPr>
        <w:t>Amendment and Termination of the Plan</w:t>
      </w:r>
    </w:p>
    <w:p>
      <w:pPr>
        <w:pStyle w:val="TextBody"/>
        <w:bidi w:val="0"/>
        <w:spacing w:lineRule="auto" w:line="288" w:before="0" w:after="240"/>
        <w:ind w:left="0" w:right="0" w:firstLine="1440"/>
        <w:jc w:val="left"/>
        <w:rPr/>
      </w:pPr>
      <w:r>
        <w:rPr>
          <w:rFonts w:ascii="Times New Roman;serif" w:hAnsi="Times New Roman;serif"/>
          <w:b w:val="false"/>
          <w:color w:val="000000"/>
          <w:sz w:val="22"/>
        </w:rPr>
        <w:t>(a)</w:t>
      </w:r>
      <w:r>
        <w:rPr>
          <w:rFonts w:ascii="Times New Roman;serif" w:hAnsi="Times New Roman;serif"/>
          <w:b w:val="false"/>
          <w:color w:val="000000"/>
          <w:sz w:val="22"/>
          <w:u w:val="single"/>
        </w:rPr>
        <w:t>Amendment</w:t>
      </w:r>
      <w:r>
        <w:rPr>
          <w:rFonts w:ascii="Times New Roman;serif" w:hAnsi="Times New Roman;serif"/>
          <w:b w:val="false"/>
          <w:color w:val="000000"/>
          <w:sz w:val="22"/>
        </w:rPr>
        <w:t xml:space="preserve">. The Board may amend or terminate the Plan at any time; provided, however, that the Board shall not amend the Plan without stockholder approval if such approval is </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60655"/>
                <wp:effectExtent l="0" t="0" r="0" b="0"/>
                <wp:wrapNone/>
                <wp:docPr id="19" name="Frame1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- 15 -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- 15 -</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required in order to comply with the Code or other applicable law, or to comply with applicable stock exchange requirements.</w:t>
      </w:r>
    </w:p>
    <w:p>
      <w:pPr>
        <w:pStyle w:val="TextBody"/>
        <w:bidi w:val="0"/>
        <w:spacing w:lineRule="auto" w:line="288" w:before="0" w:after="240"/>
        <w:ind w:left="0" w:right="0" w:firstLine="1440"/>
        <w:jc w:val="left"/>
        <w:rPr/>
      </w:pPr>
      <w:r>
        <w:rPr>
          <w:rFonts w:ascii="Times New Roman;serif" w:hAnsi="Times New Roman;serif"/>
          <w:b w:val="false"/>
          <w:color w:val="000000"/>
          <w:sz w:val="22"/>
        </w:rPr>
        <w:t>(b)</w:t>
      </w:r>
      <w:r>
        <w:rPr>
          <w:rFonts w:ascii="Times New Roman;serif" w:hAnsi="Times New Roman;serif"/>
          <w:b w:val="false"/>
          <w:color w:val="000000"/>
          <w:sz w:val="22"/>
          <w:u w:val="single"/>
        </w:rPr>
        <w:t>No Repricing of Options or SARs</w:t>
      </w:r>
      <w:r>
        <w:rPr>
          <w:rFonts w:ascii="Times New Roman;serif" w:hAnsi="Times New Roman;serif"/>
          <w:b w:val="false"/>
          <w:color w:val="000000"/>
          <w:sz w:val="22"/>
        </w:rPr>
        <w:t>. Except in connection with a corporate transaction involving the Company (including, without limitation, any stock dividend, distribution (whether in the form of cash, Company Stock, other securities or property), stock split, extraordinary cash dividend, recapitalization, change of control, reorganization, merger, consolidation, split-up, spin-off, combination, repurchase or exchange of shares of Company Stock or other securities, or similar transactions), the Company may not, without obtaining stockholder approval, (i) amend the terms of outstanding Stock Options or SARs to reduce the Exercise Price of such outstanding Stock Options or base price of such SARs, (ii) cancel outstanding Stock Options or SARs in exchange for Stock Options or SARs with an Exercise Price or base price, as applicable, that is less than the Exercise Price or base price of the original Stock Options or SARs or (iii) cancel outstanding Stock Options or SARs with an Exercise Price or base price, as applicable, above the current stock price in exchange for cash or other securities.</w:t>
      </w:r>
    </w:p>
    <w:p>
      <w:pPr>
        <w:pStyle w:val="TextBody"/>
        <w:bidi w:val="0"/>
        <w:spacing w:lineRule="auto" w:line="288" w:before="0" w:after="240"/>
        <w:ind w:left="0" w:right="0" w:firstLine="1440"/>
        <w:jc w:val="left"/>
        <w:rPr/>
      </w:pPr>
      <w:r>
        <w:rPr>
          <w:rFonts w:ascii="Times New Roman;serif" w:hAnsi="Times New Roman;serif"/>
          <w:b w:val="false"/>
          <w:color w:val="000000"/>
          <w:sz w:val="22"/>
        </w:rPr>
        <w:t>(c)</w:t>
      </w:r>
      <w:r>
        <w:rPr>
          <w:rFonts w:ascii="Times New Roman;serif" w:hAnsi="Times New Roman;serif"/>
          <w:b w:val="false"/>
          <w:color w:val="000000"/>
          <w:sz w:val="22"/>
          <w:u w:val="single"/>
        </w:rPr>
        <w:t>Termination of Plan</w:t>
      </w:r>
      <w:r>
        <w:rPr>
          <w:rFonts w:ascii="Times New Roman;serif" w:hAnsi="Times New Roman;serif"/>
          <w:b w:val="false"/>
          <w:color w:val="000000"/>
          <w:sz w:val="22"/>
        </w:rPr>
        <w:t>. The Plan shall terminate on the day immediately preceding the tenth anniversary of its Effective Date, unless the Plan is terminated earlier by the Board or is extended by the Board with the approval of the stockholders.</w:t>
      </w:r>
    </w:p>
    <w:p>
      <w:pPr>
        <w:pStyle w:val="TextBody"/>
        <w:bidi w:val="0"/>
        <w:spacing w:lineRule="auto" w:line="288" w:before="0" w:after="240"/>
        <w:ind w:left="0" w:right="0" w:firstLine="1440"/>
        <w:jc w:val="left"/>
        <w:rPr/>
      </w:pPr>
      <w:r>
        <w:rPr>
          <w:rFonts w:ascii="Times New Roman;serif" w:hAnsi="Times New Roman;serif"/>
          <w:b w:val="false"/>
          <w:color w:val="000000"/>
          <w:sz w:val="22"/>
        </w:rPr>
        <w:t>(d)</w:t>
      </w:r>
      <w:r>
        <w:rPr>
          <w:rFonts w:ascii="Times New Roman;serif" w:hAnsi="Times New Roman;serif"/>
          <w:b w:val="false"/>
          <w:color w:val="000000"/>
          <w:sz w:val="22"/>
          <w:u w:val="single"/>
        </w:rPr>
        <w:t>Termination and Amendment of Outstanding Awards</w:t>
      </w:r>
      <w:r>
        <w:rPr>
          <w:rFonts w:ascii="Times New Roman;serif" w:hAnsi="Times New Roman;serif"/>
          <w:b w:val="false"/>
          <w:color w:val="000000"/>
          <w:sz w:val="22"/>
        </w:rPr>
        <w:t>. A termination or amendment of the Plan that occurs after an Award is made shall not materially impair the rights of a Participant unless the Participant consents or unless the Committee acts under Section 19(f) below. The termination of the Plan shall not impair the power and authority of the Committee with respect to an outstanding Award. Whether or not the Plan has terminated, an outstanding Award may be terminated or amended under Section 19(f) below or may be amended by agreement of the Company and the Participant consistent with the Plan, provided that the Participant’s consent is not required if any termination or amendment to the Participant’s outstanding Award does not materially impair the rights or materially increase the obligations of the Participant.</w:t>
      </w:r>
    </w:p>
    <w:p>
      <w:pPr>
        <w:pStyle w:val="TextBody"/>
        <w:bidi w:val="0"/>
        <w:spacing w:lineRule="auto" w:line="288" w:before="0" w:after="240"/>
        <w:jc w:val="left"/>
        <w:rPr/>
      </w:pPr>
      <w:r>
        <w:rPr>
          <w:rFonts w:ascii="Times New Roman;serif" w:hAnsi="Times New Roman;serif"/>
          <w:b/>
          <w:color w:val="000000"/>
          <w:sz w:val="22"/>
        </w:rPr>
        <w:t>Section 19.</w:t>
      </w:r>
      <w:r>
        <w:rPr>
          <w:rFonts w:ascii="Times New Roman;serif" w:hAnsi="Times New Roman;serif"/>
          <w:b/>
          <w:color w:val="000000"/>
          <w:sz w:val="22"/>
        </w:rPr>
        <w:t>Miscellaneous</w:t>
      </w:r>
    </w:p>
    <w:p>
      <w:pPr>
        <w:pStyle w:val="TextBody"/>
        <w:bidi w:val="0"/>
        <w:spacing w:lineRule="auto" w:line="288" w:before="0" w:after="240"/>
        <w:ind w:left="0" w:right="0" w:firstLine="1440"/>
        <w:jc w:val="left"/>
        <w:rPr/>
      </w:pPr>
      <w:r>
        <w:rPr>
          <w:rFonts w:ascii="Times New Roman;serif" w:hAnsi="Times New Roman;serif"/>
          <w:b w:val="false"/>
          <w:color w:val="000000"/>
          <w:sz w:val="22"/>
        </w:rPr>
        <w:t>(a)</w:t>
      </w:r>
      <w:r>
        <w:rPr>
          <w:rFonts w:ascii="Times New Roman;serif" w:hAnsi="Times New Roman;serif"/>
          <w:b w:val="false"/>
          <w:color w:val="000000"/>
          <w:sz w:val="22"/>
          <w:u w:val="single"/>
        </w:rPr>
        <w:t>Awards in Connection with Corporate Transactions and Otherwise</w:t>
      </w:r>
      <w:r>
        <w:rPr>
          <w:rFonts w:ascii="Times New Roman;serif" w:hAnsi="Times New Roman;serif"/>
          <w:b w:val="false"/>
          <w:color w:val="000000"/>
          <w:sz w:val="22"/>
        </w:rPr>
        <w:t>. Nothing contained in the Plan shall be construed to (i) limit the right of the Committee to make Awards under the Plan in connection with the acquisition, by purchase, lease, merger, consolidation or otherwise, of the business or assets of any corporation, firm or association, including Awards to employees thereof who become Employees, or (ii) limit the right of the Company to grant stock options or make other awards outside of the Plan. The Committee may make an Award to an employee of another corporation who becomes an Employee by reason of a corporate merger, consolidation, acquisition of stock or property, reorganization or liquidation involving the Company, in substitution for a stock option or stock award grant made by such corporation. Notwithstanding anything in the Plan to the contrary, the Committee may establish such terms and conditions of the new Awards as it deems appropriate, including setting the Exercise Price of Options or the base price of SARs at a price necessary to retain for the Participant the same economic value as the prior options or rights.</w:t>
      </w:r>
    </w:p>
    <w:p>
      <w:pPr>
        <w:pStyle w:val="TextBody"/>
        <w:bidi w:val="0"/>
        <w:spacing w:lineRule="auto" w:line="288" w:before="0" w:after="240"/>
        <w:ind w:left="0" w:right="0" w:firstLine="1440"/>
        <w:jc w:val="left"/>
        <w:rPr/>
      </w:pPr>
      <w:r>
        <w:rPr>
          <w:rFonts w:ascii="Times New Roman;serif" w:hAnsi="Times New Roman;serif"/>
          <w:b w:val="false"/>
          <w:color w:val="000000"/>
          <w:sz w:val="22"/>
        </w:rPr>
        <w:t>(b)</w:t>
      </w:r>
      <w:r>
        <w:rPr>
          <w:rFonts w:ascii="Times New Roman;serif" w:hAnsi="Times New Roman;serif"/>
          <w:b w:val="false"/>
          <w:color w:val="000000"/>
          <w:sz w:val="22"/>
          <w:u w:val="single"/>
        </w:rPr>
        <w:t>Governing Document</w:t>
      </w:r>
      <w:r>
        <w:rPr>
          <w:rFonts w:ascii="Times New Roman;serif" w:hAnsi="Times New Roman;serif"/>
          <w:b w:val="false"/>
          <w:color w:val="000000"/>
          <w:sz w:val="22"/>
        </w:rPr>
        <w:t>. The Plan shall be the controlling document. No other statements, representations, explanatory materials or examples, oral or written, may amend the Plan in any manner. The Plan shall be binding upon and enforceable against the Company and its successors and assigns.</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60655"/>
                <wp:effectExtent l="0" t="0" r="0" b="0"/>
                <wp:wrapNone/>
                <wp:docPr id="20" name="Frame2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- 16 -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- 16 -</w:t>
                      </w:r>
                    </w:p>
                  </w:txbxContent>
                </v:textbox>
                <w10:wrap type="none"/>
              </v:rect>
            </w:pict>
          </mc:Fallback>
        </mc:AlternateContent>
      </w:r>
    </w:p>
    <w:p>
      <w:pPr>
        <w:pStyle w:val="TextBody"/>
        <w:bidi w:val="0"/>
        <w:spacing w:lineRule="auto" w:line="288" w:before="0" w:after="240"/>
        <w:ind w:left="0" w:right="0" w:firstLine="1440"/>
        <w:jc w:val="left"/>
        <w:rPr/>
      </w:pPr>
      <w:r>
        <w:rPr>
          <w:rFonts w:ascii="Times New Roman;serif" w:hAnsi="Times New Roman;serif"/>
          <w:b w:val="false"/>
          <w:color w:val="000000"/>
          <w:sz w:val="22"/>
        </w:rPr>
        <w:t>(c)</w:t>
      </w:r>
      <w:r>
        <w:rPr>
          <w:rFonts w:ascii="Times New Roman;serif" w:hAnsi="Times New Roman;serif"/>
          <w:b w:val="false"/>
          <w:color w:val="000000"/>
          <w:sz w:val="22"/>
          <w:u w:val="single"/>
        </w:rPr>
        <w:t>Funding of the Plan</w:t>
      </w:r>
      <w:r>
        <w:rPr>
          <w:rFonts w:ascii="Times New Roman;serif" w:hAnsi="Times New Roman;serif"/>
          <w:b w:val="false"/>
          <w:color w:val="000000"/>
          <w:sz w:val="22"/>
        </w:rPr>
        <w:t>. The Plan shall be unfunded. The Company shall not be required to establish any special or separate fund or to make any other segregation of assets to assure the payment of any Awards under the Plan. To the extent a Participant acquires a right to receive payments from the Company pursuant to an Award, such right shall be no greater than the right of any general unsecured creditor of the Company.</w:t>
      </w:r>
    </w:p>
    <w:p>
      <w:pPr>
        <w:pStyle w:val="TextBody"/>
        <w:bidi w:val="0"/>
        <w:spacing w:lineRule="auto" w:line="288" w:before="0" w:after="240"/>
        <w:ind w:left="0" w:right="0" w:firstLine="1440"/>
        <w:jc w:val="left"/>
        <w:rPr/>
      </w:pPr>
      <w:r>
        <w:rPr>
          <w:rFonts w:ascii="Times New Roman;serif" w:hAnsi="Times New Roman;serif"/>
          <w:b w:val="false"/>
          <w:color w:val="000000"/>
          <w:sz w:val="22"/>
        </w:rPr>
        <w:t>(d)</w:t>
      </w:r>
      <w:r>
        <w:rPr>
          <w:rFonts w:ascii="Times New Roman;serif" w:hAnsi="Times New Roman;serif"/>
          <w:b w:val="false"/>
          <w:color w:val="000000"/>
          <w:sz w:val="22"/>
          <w:u w:val="single"/>
        </w:rPr>
        <w:t>Rights of Participants</w:t>
      </w:r>
      <w:r>
        <w:rPr>
          <w:rFonts w:ascii="Times New Roman;serif" w:hAnsi="Times New Roman;serif"/>
          <w:b w:val="false"/>
          <w:color w:val="000000"/>
          <w:sz w:val="22"/>
        </w:rPr>
        <w:t>. Nothing in the Plan shall entitle any Employee, Non-Employee Director, Key Advisor or other person to any claim or right to receive an Award under the Plan. Neither the Plan nor any action taken hereunder shall be construed as giving any individual any rights to be retained by or in the employ of the Employer or any other employment rights.</w:t>
      </w:r>
    </w:p>
    <w:p>
      <w:pPr>
        <w:pStyle w:val="TextBody"/>
        <w:bidi w:val="0"/>
        <w:spacing w:lineRule="auto" w:line="288" w:before="0" w:after="240"/>
        <w:ind w:left="0" w:right="0" w:firstLine="1440"/>
        <w:jc w:val="left"/>
        <w:rPr/>
      </w:pPr>
      <w:r>
        <w:rPr>
          <w:rFonts w:ascii="Times New Roman;serif" w:hAnsi="Times New Roman;serif"/>
          <w:b w:val="false"/>
          <w:color w:val="000000"/>
          <w:sz w:val="22"/>
        </w:rPr>
        <w:t>(e)</w:t>
      </w:r>
      <w:r>
        <w:rPr>
          <w:rFonts w:ascii="Times New Roman;serif" w:hAnsi="Times New Roman;serif"/>
          <w:b w:val="false"/>
          <w:color w:val="000000"/>
          <w:sz w:val="22"/>
          <w:u w:val="single"/>
        </w:rPr>
        <w:t>No Fractional Shares</w:t>
      </w:r>
      <w:r>
        <w:rPr>
          <w:rFonts w:ascii="Times New Roman;serif" w:hAnsi="Times New Roman;serif"/>
          <w:b w:val="false"/>
          <w:color w:val="000000"/>
          <w:sz w:val="22"/>
        </w:rPr>
        <w:t>. No fractional shares of Company Stock shall be issued or delivered pursuant to the Plan or any Award. Except as otherwise provided under the Plan, the Committee shall determine whether cash, other awards or other property shall be issued or paid in lieu of such fractional shares or whether such fractional shares or any rights thereto shall be forfeited or otherwise eliminated.</w:t>
      </w:r>
    </w:p>
    <w:p>
      <w:pPr>
        <w:pStyle w:val="TextBody"/>
        <w:bidi w:val="0"/>
        <w:spacing w:lineRule="auto" w:line="288" w:before="0" w:after="240"/>
        <w:ind w:left="0" w:right="0" w:firstLine="1440"/>
        <w:jc w:val="left"/>
        <w:rPr/>
      </w:pPr>
      <w:r>
        <w:rPr>
          <w:rFonts w:ascii="Times New Roman;serif" w:hAnsi="Times New Roman;serif"/>
          <w:b w:val="false"/>
          <w:color w:val="000000"/>
          <w:sz w:val="22"/>
        </w:rPr>
        <w:t>(f)</w:t>
      </w:r>
      <w:r>
        <w:rPr>
          <w:rFonts w:ascii="Times New Roman;serif" w:hAnsi="Times New Roman;serif"/>
          <w:b w:val="false"/>
          <w:color w:val="000000"/>
          <w:sz w:val="22"/>
          <w:u w:val="single"/>
        </w:rPr>
        <w:t>Compliance with Law</w:t>
      </w:r>
      <w:r>
        <w:rPr>
          <w:rFonts w:ascii="Times New Roman;serif" w:hAnsi="Times New Roman;serif"/>
          <w:b w:val="false"/>
          <w:color w:val="000000"/>
          <w:sz w:val="22"/>
        </w:rPr>
        <w:t>.</w:t>
      </w:r>
    </w:p>
    <w:p>
      <w:pPr>
        <w:pStyle w:val="TextBody"/>
        <w:bidi w:val="0"/>
        <w:spacing w:lineRule="auto" w:line="288" w:before="0" w:after="240"/>
        <w:ind w:left="0" w:right="0" w:firstLine="2160"/>
        <w:jc w:val="left"/>
        <w:rPr/>
      </w:pPr>
      <w:r>
        <w:rPr>
          <w:rFonts w:ascii="Times New Roman;serif" w:hAnsi="Times New Roman;serif"/>
          <w:b w:val="false"/>
          <w:color w:val="000000"/>
          <w:sz w:val="22"/>
        </w:rPr>
        <w:t>(i)</w:t>
      </w:r>
      <w:r>
        <w:rPr>
          <w:rFonts w:ascii="Times New Roman;serif" w:hAnsi="Times New Roman;serif"/>
          <w:b w:val="false"/>
          <w:color w:val="000000"/>
          <w:sz w:val="22"/>
        </w:rPr>
        <w:t>The Plan, the exercise of Options and SARs and the obligations of the Company to issue or transfer shares of Company Stock under Awards shall be subject to all applicable laws and regulations, and to approvals by any governmental or regulatory agency as may be required. With respect to persons subject to section 16 of the Exchange Act, it is the intent of the Company that the Plan and all transactions under the Plan comply with all applicable provisions of Rule 16b-3 or its successors under the Exchange Act. In addition, it is the intent of the Company that Incentive Stock Options comply with the applicable provisions of section 422 of the Code, and that, to the extent applicable, Awards comply with the requirements of section 409A of the Code. To the extent that any legal requirement of section 16 of the Exchange Act or section 422 or 409A of the Code as set forth in the Plan ceases to be required under section 16 of the Exchange Act or section 422 or 409A of the Code, that Plan provision shall cease to apply. The Committee may revoke any Award if it is contrary to law or modify an Award to bring it into compliance with any valid and mandatory government regulation. The Committee may also adopt rules regarding the withholding of taxes on payments to Participants. The Committee may, in its sole discretion, agree to limit its authority under this Section.</w:t>
      </w:r>
    </w:p>
    <w:p>
      <w:pPr>
        <w:pStyle w:val="TextBody"/>
        <w:bidi w:val="0"/>
        <w:spacing w:lineRule="auto" w:line="288" w:before="0" w:after="240"/>
        <w:ind w:left="0" w:right="0" w:firstLine="2160"/>
        <w:jc w:val="left"/>
        <w:rPr/>
      </w:pPr>
      <w:r>
        <w:rPr>
          <w:rFonts w:ascii="Times New Roman;serif" w:hAnsi="Times New Roman;serif"/>
          <w:b w:val="false"/>
          <w:color w:val="000000"/>
          <w:sz w:val="22"/>
        </w:rPr>
        <w:t>(ii)</w:t>
      </w:r>
      <w:r>
        <w:rPr>
          <w:rFonts w:ascii="Times New Roman;serif" w:hAnsi="Times New Roman;serif"/>
          <w:b w:val="false"/>
          <w:color w:val="000000"/>
          <w:sz w:val="22"/>
        </w:rPr>
        <w:t>The Plan is intended to be exempt from or, to the extent applicable, comply with, the requirements of section 409A of the Code. Any reference in this Plan to section 409A of the Code also include any regulation promulgated thereunder or any other formal guidance issued by the Internal Revenue Service with respect to section 409A of the Code. Each Award shall be construed and administered such that the Award either (A) qualifies for an exemption from the requirements of section 409A of the Code or (B) satisfies the requirements of section 409A of the Code. If an Award is subject to section 409A of the Code, (I) distributions shall only be made in a manner and upon an event permitted under section 409A of the Code, (II) payments to be made upon a termination of employment or service shall only be made upon a “separation from service” under section 409A of the Code, (III) unless the Award specifies otherwise, each installment payment shall be treated as a separate payment for purposes of section 409A of the Code, and (IV) in no event shall a Participant, directly or indirectly, designate the calendar year in which a distribution is made except in accordance with section 409A of the Code.</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60655"/>
                <wp:effectExtent l="0" t="0" r="0" b="0"/>
                <wp:wrapNone/>
                <wp:docPr id="21" name="Frame2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- 17 -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- 17 -</w:t>
                      </w:r>
                    </w:p>
                  </w:txbxContent>
                </v:textbox>
                <w10:wrap type="none"/>
              </v:rect>
            </w:pict>
          </mc:Fallback>
        </mc:AlternateContent>
      </w:r>
    </w:p>
    <w:p>
      <w:pPr>
        <w:pStyle w:val="TextBody"/>
        <w:bidi w:val="0"/>
        <w:spacing w:lineRule="auto" w:line="288" w:before="0" w:after="240"/>
        <w:ind w:left="0" w:right="0" w:firstLine="2160"/>
        <w:jc w:val="left"/>
        <w:rPr/>
      </w:pPr>
      <w:r>
        <w:rPr>
          <w:rFonts w:ascii="Times New Roman;serif" w:hAnsi="Times New Roman;serif"/>
          <w:b w:val="false"/>
          <w:color w:val="000000"/>
          <w:sz w:val="22"/>
        </w:rPr>
        <w:t>(iii)</w:t>
      </w:r>
      <w:r>
        <w:rPr>
          <w:rFonts w:ascii="Times New Roman;serif" w:hAnsi="Times New Roman;serif"/>
          <w:b w:val="false"/>
          <w:color w:val="000000"/>
          <w:sz w:val="22"/>
        </w:rPr>
        <w:t>Any Award that is subject to section 409A of the Code and that is to be distributed to a Key Employee (as defined below) upon separation from service shall be administered so that any distribution with respect to such Award shall be postponed for six months following the date of the Participant’s separation from service, if required by section 409A of the Code. If a distribution is delayed pursuant to section 409A of the Code, the distribution shall be paid within 15 days after the end of the six-month period. If the Participant dies during such six-month period, any postponed amounts shall be paid within 90 days of the Participant’s death. The determination of “Key Employees,” including the number and identity of persons considered Key Employees and the identification date, shall be made by the Committee or its delegate each year in accordance with section 416(i) of the Code and the “specified employee” requirements of section 409A of the Code. For the avoidance of doubt, the determination of Key Employees shall not affect the group of key employees who may be granted cash awards under Section 11 of the Plan.</w:t>
      </w:r>
    </w:p>
    <w:p>
      <w:pPr>
        <w:pStyle w:val="TextBody"/>
        <w:bidi w:val="0"/>
        <w:spacing w:lineRule="auto" w:line="288" w:before="0" w:after="240"/>
        <w:ind w:left="0" w:right="0" w:firstLine="2160"/>
        <w:jc w:val="left"/>
        <w:rPr/>
      </w:pPr>
      <w:r>
        <w:rPr>
          <w:rFonts w:ascii="Times New Roman;serif" w:hAnsi="Times New Roman;serif"/>
          <w:b w:val="false"/>
          <w:color w:val="000000"/>
          <w:sz w:val="22"/>
        </w:rPr>
        <w:t>(iv)</w:t>
      </w:r>
      <w:r>
        <w:rPr>
          <w:rFonts w:ascii="Times New Roman;serif" w:hAnsi="Times New Roman;serif"/>
          <w:b w:val="false"/>
          <w:color w:val="000000"/>
          <w:sz w:val="22"/>
        </w:rPr>
        <w:t>Notwithstanding anything in the Plan or any Award agreement to the contrary, each Participant shall be solely responsible for the tax consequences of Awards under the Plan, and in no event shall the Company or any subsidiary or affiliate of the Company have any responsibility or liability if an Award does not meet any applicable requirements of section 409A of the Code. Although the Company intends to administer the Plan to prevent taxation under section 409A of the Code, the Company does not represent or warrant that the Plan or any Award complies with any provision of federal, state, local or other tax law.</w:t>
      </w:r>
    </w:p>
    <w:p>
      <w:pPr>
        <w:pStyle w:val="TextBody"/>
        <w:bidi w:val="0"/>
        <w:spacing w:lineRule="auto" w:line="288" w:before="0" w:after="240"/>
        <w:ind w:left="0" w:right="0" w:firstLine="1440"/>
        <w:jc w:val="left"/>
        <w:rPr/>
      </w:pPr>
      <w:r>
        <w:rPr>
          <w:rFonts w:ascii="Times New Roman;serif" w:hAnsi="Times New Roman;serif"/>
          <w:b w:val="false"/>
          <w:color w:val="000000"/>
          <w:sz w:val="22"/>
        </w:rPr>
        <w:t>(g)</w:t>
      </w:r>
      <w:r>
        <w:rPr>
          <w:rFonts w:ascii="Times New Roman;serif" w:hAnsi="Times New Roman;serif"/>
          <w:b w:val="false"/>
          <w:color w:val="000000"/>
          <w:sz w:val="22"/>
          <w:u w:val="single"/>
        </w:rPr>
        <w:t>Establishment of Subplans</w:t>
      </w:r>
      <w:r>
        <w:rPr>
          <w:rFonts w:ascii="Times New Roman;serif" w:hAnsi="Times New Roman;serif"/>
          <w:b w:val="false"/>
          <w:color w:val="000000"/>
          <w:sz w:val="22"/>
        </w:rPr>
        <w:t>. The Committee shall have the discretionary authority to adopt and implement from time to time such addenda or subplans to the Plan as it may deem necessary in order to bring the Plan into compliance with applicable laws and regulations of any foreign jurisdictions in which Awards are to be made under the Plan and/or to obtain favorable tax treatment in those foreign jurisdictions for the individuals to whom the Awards are made.</w:t>
      </w:r>
    </w:p>
    <w:p>
      <w:pPr>
        <w:pStyle w:val="TextBody"/>
        <w:bidi w:val="0"/>
        <w:spacing w:lineRule="auto" w:line="288" w:before="0" w:after="240"/>
        <w:ind w:left="0" w:right="0" w:firstLine="1440"/>
        <w:jc w:val="left"/>
        <w:rPr/>
      </w:pPr>
      <w:r>
        <w:rPr>
          <w:rFonts w:ascii="Times New Roman;serif" w:hAnsi="Times New Roman;serif"/>
          <w:b w:val="false"/>
          <w:color w:val="000000"/>
          <w:sz w:val="22"/>
        </w:rPr>
        <w:t>(h)</w:t>
      </w:r>
      <w:r>
        <w:rPr>
          <w:rFonts w:ascii="Times New Roman;serif" w:hAnsi="Times New Roman;serif"/>
          <w:b w:val="false"/>
          <w:color w:val="000000"/>
          <w:sz w:val="22"/>
          <w:u w:val="single"/>
        </w:rPr>
        <w:t>Claw-back Rights</w:t>
      </w:r>
      <w:r>
        <w:rPr>
          <w:rFonts w:ascii="Times New Roman;serif" w:hAnsi="Times New Roman;serif"/>
          <w:b w:val="false"/>
          <w:color w:val="000000"/>
          <w:sz w:val="22"/>
        </w:rPr>
        <w:t>. Subject to the requirements of applicable law, the Committee may provide in any Award Agreement that, if a Participant breaches any non-competition, non-solicitation or other restrictive covenant agreement between the Participant and the Employer (which may be set forth or cross-referenced in any Award Agreement) or otherwise engages in activities that constitute Cause either while employed by, or providing service to, the Employer or within a specified period of time thereafter, all Awards held by the Participant shall terminate, and the Company may rescind any exercise of an Option or SAR and the vesting of any other Award and delivery of shares upon such exercise or vesting (including pursuant to dividends and Dividend Equivalents), as applicable on such terms as the Committee shall determine, including the right to require that in the event of any such rescission, (i) the Participant shall return to the Company the shares received upon the exercise of any Option or SAR and/or the vesting and payment of any other Award (including pursuant to dividends and Dividend Equivalents) or, (ii) if the Participant no longer owns the shares, the Participant shall pay to the Company the amount of any gain realized or payment received as a result of any sale or other disposition of the shares (or, in the event the Participant transfers the shares by gift or otherwise without consideration, the Fair Market Value of the shares on the date of the breach of the restrictive covenant agreement (including a Participant’s Award Agreement containing restrictive covenants) or activity constituting Cause), net of the price originally paid by the Participant for the shares. Payment by the Participant shall be made in such manner and on such terms and conditions as may be required by the Committee. The Employer shall be entitled to set off against the amount of any such payment any amounts otherwise owed to the Participant by the Employer. The Committee may also provide in any Award Agreement that if a Participant fails to timely execute or otherwise agrees to be bound by a non-</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60655"/>
                <wp:effectExtent l="0" t="0" r="0" b="0"/>
                <wp:wrapNone/>
                <wp:docPr id="22" name="Frame2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- 18 -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- 18 -</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competition, non-solicitation or other restrictive covenant agreement with the Employer, then the Awards subject to such Award Agreement shall terminate. In addition, all Awards under the Plan shall be subject to any applicable claw-back provisions or policies, recoupment provisions or policies, share trading policies and other policies that may be implemented by the Board from time to time, whether approved before or after the date of grant of an Award. In the event of a claw-back, recoupment or forfeiture event under an applicable claw-back policy (including without limitation a claw-back policy required to be implemented by an applicable stock exchange), the amount required to be clawed back, recouped or forfeited pursuant to such policy shall be deemed not to have been earned under the terms of the Plan, and the Company shall be entitled to recover from the Participant the amount specified under the policy to be clawed back, recouped or forfeited.</w:t>
      </w:r>
    </w:p>
    <w:p>
      <w:pPr>
        <w:pStyle w:val="TextBody"/>
        <w:bidi w:val="0"/>
        <w:spacing w:lineRule="auto" w:line="288" w:before="0" w:after="240"/>
        <w:ind w:left="0" w:right="0" w:firstLine="1440"/>
        <w:jc w:val="left"/>
        <w:rPr/>
      </w:pPr>
      <w:r>
        <w:rPr>
          <w:rFonts w:ascii="Times New Roman;serif" w:hAnsi="Times New Roman;serif"/>
          <w:b w:val="false"/>
          <w:color w:val="000000"/>
          <w:sz w:val="22"/>
        </w:rPr>
        <w:t>(i)</w:t>
      </w:r>
      <w:r>
        <w:rPr>
          <w:rFonts w:ascii="Times New Roman;serif" w:hAnsi="Times New Roman;serif"/>
          <w:b w:val="false"/>
          <w:color w:val="000000"/>
          <w:sz w:val="22"/>
          <w:u w:val="single"/>
        </w:rPr>
        <w:t>Governing Law</w:t>
      </w:r>
      <w:r>
        <w:rPr>
          <w:rFonts w:ascii="Times New Roman;serif" w:hAnsi="Times New Roman;serif"/>
          <w:b w:val="false"/>
          <w:color w:val="000000"/>
          <w:sz w:val="22"/>
        </w:rPr>
        <w:t>. The validity, construction, interpretation and effect of the Plan and Award Agreements issued under the Plan shall be governed and construed by and determined in accordance with the laws of the Commonwealth of Massachusetts, without giving effect to the conflict of laws provisions thereof.</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Approvals:</w:t>
      </w:r>
    </w:p>
    <w:tbl>
      <w:tblPr>
        <w:tblW w:w="8428" w:type="dxa"/>
        <w:jc w:val="left"/>
        <w:tblInd w:w="0" w:type="dxa"/>
        <w:tblLayout w:type="fixed"/>
        <w:tblCellMar>
          <w:top w:w="28" w:type="dxa"/>
          <w:left w:w="28" w:type="dxa"/>
          <w:bottom w:w="28" w:type="dxa"/>
          <w:right w:w="28" w:type="dxa"/>
        </w:tblCellMar>
      </w:tblPr>
      <w:tblGrid>
        <w:gridCol w:w="2473"/>
        <w:gridCol w:w="2171"/>
        <w:gridCol w:w="2180"/>
        <w:gridCol w:w="469"/>
        <w:gridCol w:w="469"/>
        <w:gridCol w:w="666"/>
      </w:tblGrid>
      <w:tr>
        <w:trPr/>
        <w:tc>
          <w:tcPr>
            <w:tcW w:w="2473" w:type="dxa"/>
            <w:tcBorders/>
            <w:vAlign w:val="center"/>
          </w:tcPr>
          <w:p>
            <w:pPr>
              <w:pStyle w:val="TableContents"/>
              <w:bidi w:val="0"/>
              <w:spacing w:before="0" w:after="283"/>
              <w:jc w:val="left"/>
              <w:rPr>
                <w:sz w:val="4"/>
                <w:szCs w:val="4"/>
              </w:rPr>
            </w:pPr>
            <w:r>
              <w:rPr>
                <w:sz w:val="4"/>
                <w:szCs w:val="4"/>
              </w:rPr>
            </w:r>
          </w:p>
        </w:tc>
        <w:tc>
          <w:tcPr>
            <w:tcW w:w="2171"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2019 Long-Term Incentive Compensation Plan</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Adopted by the Board of Directors on:</w:t>
            </w:r>
          </w:p>
        </w:tc>
        <w:tc>
          <w:tcPr>
            <w:tcW w:w="16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May 14, 2019</w:t>
            </w:r>
          </w:p>
        </w:tc>
      </w:tr>
      <w:tr>
        <w:trPr/>
        <w:tc>
          <w:tcPr>
            <w:tcW w:w="68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2019 Long-Term Incentive Compensation Plan</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Adopted by the Stockholders on:</w:t>
            </w:r>
          </w:p>
        </w:tc>
        <w:tc>
          <w:tcPr>
            <w:tcW w:w="16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July 25, 2019</w:t>
            </w:r>
          </w:p>
        </w:tc>
      </w:tr>
      <w:tr>
        <w:trPr/>
        <w:tc>
          <w:tcPr>
            <w:tcW w:w="68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Amended and Restated 2019 Long-Term Incentive Compensation Plan</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Adopted by the Board of Directors on:</w:t>
            </w:r>
          </w:p>
        </w:tc>
        <w:tc>
          <w:tcPr>
            <w:tcW w:w="16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June 12, 2023</w:t>
            </w:r>
          </w:p>
        </w:tc>
      </w:tr>
      <w:tr>
        <w:trPr/>
        <w:tc>
          <w:tcPr>
            <w:tcW w:w="68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Amended and Restated 2019 Long-Term Incentive Compensation Plan</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Adopted by the Stockholders on:</w:t>
            </w:r>
          </w:p>
        </w:tc>
        <w:tc>
          <w:tcPr>
            <w:tcW w:w="16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August 4, 2023</w:t>
            </w:r>
          </w:p>
        </w:tc>
      </w:tr>
      <w:tr>
        <w:trPr/>
        <w:tc>
          <w:tcPr>
            <w:tcW w:w="68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Amended and Restated 2019 Long-Term Incentive Compensation Plan </w:t>
              <w:br/>
              <w:t>Adopted by the Board of Directors on:</w:t>
            </w:r>
          </w:p>
        </w:tc>
        <w:tc>
          <w:tcPr>
            <w:tcW w:w="16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June 9, 2026</w:t>
            </w:r>
          </w:p>
        </w:tc>
      </w:tr>
      <w:tr>
        <w:trPr/>
        <w:tc>
          <w:tcPr>
            <w:tcW w:w="682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Amended and Restated 2019 Long-Term Incentive Compensation Plan </w:t>
              <w:br/>
              <w:t>Adopted by the Stockholders on:</w:t>
            </w:r>
          </w:p>
        </w:tc>
        <w:tc>
          <w:tcPr>
            <w:tcW w:w="160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July 24, 2026</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60655"/>
                <wp:effectExtent l="0" t="0" r="0" b="0"/>
                <wp:wrapNone/>
                <wp:docPr id="23" name="Frame2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- 19 -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- 19 -</w:t>
                      </w:r>
                    </w:p>
                  </w:txbxContent>
                </v:textbox>
                <w10:wrap type="none"/>
              </v:rect>
            </w:pict>
          </mc:Fallback>
        </mc:AlternateContent>
      </w:r>
    </w:p>
    <w:p>
      <w:pPr>
        <w:pStyle w:val="TextBody"/>
        <w:bidi w:val="0"/>
        <w:spacing w:lineRule="auto" w:line="288" w:before="180" w:after="180"/>
        <w:jc w:val="right"/>
        <w:rPr>
          <w:rFonts w:ascii="Times New Roman;serif" w:hAnsi="Times New Roman;serif"/>
          <w:b/>
          <w:color w:val="000000"/>
          <w:sz w:val="22"/>
        </w:rPr>
      </w:pPr>
      <w:r>
        <w:rPr>
          <w:rFonts w:ascii="Times New Roman;serif" w:hAnsi="Times New Roman;serif"/>
          <w:b/>
          <w:color w:val="000000"/>
          <w:sz w:val="22"/>
        </w:rPr>
        <w:t>Exhibit 10.2</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 xml:space="preserve">HAEMONETICS CORPORATION </w:t>
      </w:r>
    </w:p>
    <w:p>
      <w:pPr>
        <w:pStyle w:val="TextBody"/>
        <w:bidi w:val="0"/>
        <w:spacing w:lineRule="auto" w:line="288" w:before="0" w:after="24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AMENDED AND RESTATED 2007 EMPLOYEE STOCK PURCHASE PLAN</w:t>
      </w:r>
    </w:p>
    <w:p>
      <w:pPr>
        <w:pStyle w:val="TextBody"/>
        <w:bidi w:val="0"/>
        <w:spacing w:lineRule="auto" w:line="288" w:before="0" w:after="240"/>
        <w:jc w:val="left"/>
        <w:rPr/>
      </w:pPr>
      <w:r>
        <w:rPr>
          <w:rFonts w:ascii="Times New Roman;serif" w:hAnsi="Times New Roman;serif"/>
          <w:b w:val="false"/>
          <w:color w:val="000000"/>
          <w:sz w:val="22"/>
        </w:rPr>
        <w:t>On May 15, 2026 (the “</w:t>
      </w:r>
      <w:r>
        <w:rPr>
          <w:rFonts w:ascii="Times New Roman;serif" w:hAnsi="Times New Roman;serif"/>
          <w:b w:val="false"/>
          <w:color w:val="000000"/>
          <w:sz w:val="22"/>
          <w:u w:val="single"/>
        </w:rPr>
        <w:t>Effective Date</w:t>
      </w:r>
      <w:r>
        <w:rPr>
          <w:color w:val="000000"/>
        </w:rPr>
        <w:t>”</w:t>
      </w:r>
      <w:r>
        <w:rPr>
          <w:rFonts w:ascii="Times New Roman;serif" w:hAnsi="Times New Roman;serif"/>
          <w:b w:val="false"/>
          <w:color w:val="000000"/>
          <w:sz w:val="22"/>
        </w:rPr>
        <w:t>), the Board of Directors adopted this Amended and Restated 2007 Employee Stock Purchase Plan (as amended from time to time, the “</w:t>
      </w:r>
      <w:r>
        <w:rPr>
          <w:rFonts w:ascii="Times New Roman;serif" w:hAnsi="Times New Roman;serif"/>
          <w:b w:val="false"/>
          <w:color w:val="000000"/>
          <w:sz w:val="22"/>
          <w:u w:val="single"/>
        </w:rPr>
        <w:t>Plan</w:t>
      </w:r>
      <w:r>
        <w:rPr>
          <w:color w:val="000000"/>
        </w:rPr>
        <w:t>”</w:t>
      </w:r>
      <w:r>
        <w:rPr>
          <w:rFonts w:ascii="Times New Roman;serif" w:hAnsi="Times New Roman;serif"/>
          <w:b w:val="false"/>
          <w:color w:val="000000"/>
          <w:sz w:val="22"/>
        </w:rPr>
        <w:t>), which shall govern all grants of options under the Plan made after the Effective Date. For the terms and conditions of the Plan applicable to an Option granted before the Effective Date, refer to the version of the Plan in effect as of the date such option was granted.</w:t>
      </w:r>
    </w:p>
    <w:p>
      <w:pPr>
        <w:pStyle w:val="TextBody"/>
        <w:bidi w:val="0"/>
        <w:spacing w:lineRule="auto" w:line="288" w:before="0" w:after="240"/>
        <w:jc w:val="left"/>
        <w:rPr/>
      </w:pPr>
      <w:r>
        <w:rPr>
          <w:rFonts w:ascii="Times New Roman;serif" w:hAnsi="Times New Roman;serif"/>
          <w:b/>
          <w:color w:val="000000"/>
          <w:sz w:val="22"/>
        </w:rPr>
        <w:t>1.</w:t>
      </w:r>
      <w:r>
        <w:rPr>
          <w:rFonts w:ascii="Times New Roman;serif" w:hAnsi="Times New Roman;serif"/>
          <w:b/>
          <w:color w:val="000000"/>
          <w:sz w:val="22"/>
        </w:rPr>
        <w:t>Purpose</w:t>
      </w:r>
    </w:p>
    <w:p>
      <w:pPr>
        <w:pStyle w:val="TextBody"/>
        <w:bidi w:val="0"/>
        <w:spacing w:lineRule="auto" w:line="288" w:before="0" w:after="240"/>
        <w:jc w:val="left"/>
        <w:rPr/>
      </w:pPr>
      <w:r>
        <w:rPr>
          <w:rFonts w:ascii="Times New Roman;serif" w:hAnsi="Times New Roman;serif"/>
          <w:b w:val="false"/>
          <w:color w:val="000000"/>
          <w:sz w:val="22"/>
        </w:rPr>
        <w:t>It is the purpose of this Plan to provide a means whereby eligible employees may purchase Common Stock of Haemonetics Corporation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through payroll deductions. It is intended to provide a further incentive for employees to promote the best interests of the Company and to encourage stock ownership by employees in order that they may participate in the Company's economic growth.</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It is the intention of the Company that the Plan qualify as an “employee stock purchase plan” within the meaning of Section 423 of the Internal Revenue Code and the provisions of this Plan shall be construed in a manner consistent with the Code.</w:t>
      </w:r>
    </w:p>
    <w:p>
      <w:pPr>
        <w:pStyle w:val="TextBody"/>
        <w:bidi w:val="0"/>
        <w:spacing w:lineRule="auto" w:line="288" w:before="0" w:after="240"/>
        <w:jc w:val="left"/>
        <w:rPr/>
      </w:pPr>
      <w:r>
        <w:rPr>
          <w:rFonts w:ascii="Times New Roman;serif" w:hAnsi="Times New Roman;serif"/>
          <w:b/>
          <w:color w:val="000000"/>
          <w:sz w:val="22"/>
        </w:rPr>
        <w:t>2.</w:t>
      </w:r>
      <w:r>
        <w:rPr>
          <w:rFonts w:ascii="Times New Roman;serif" w:hAnsi="Times New Roman;serif"/>
          <w:b/>
          <w:color w:val="000000"/>
          <w:sz w:val="22"/>
        </w:rPr>
        <w:t>Definitions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The following words or terms, when used herein, shall have the following respective meanings:</w:t>
      </w:r>
    </w:p>
    <w:p>
      <w:pPr>
        <w:pStyle w:val="TextBody"/>
        <w:bidi w:val="0"/>
        <w:spacing w:lineRule="auto" w:line="288" w:before="0" w:after="240"/>
        <w:ind w:left="0" w:right="0" w:firstLine="1440"/>
        <w:jc w:val="left"/>
        <w:rPr/>
      </w:pPr>
      <w:r>
        <w:rPr>
          <w:rFonts w:ascii="Times New Roman;serif" w:hAnsi="Times New Roman;serif"/>
          <w:b w:val="false"/>
          <w:color w:val="000000"/>
          <w:sz w:val="22"/>
        </w:rPr>
        <w:t>(a)</w:t>
      </w:r>
      <w:r>
        <w:rPr>
          <w:color w:val="000000"/>
        </w:rPr>
        <w:t>“</w:t>
      </w:r>
      <w:r>
        <w:rPr>
          <w:rFonts w:ascii="Times New Roman;serif" w:hAnsi="Times New Roman;serif"/>
          <w:b w:val="false"/>
          <w:color w:val="000000"/>
          <w:sz w:val="22"/>
          <w:u w:val="single"/>
        </w:rPr>
        <w:t>Plan</w:t>
      </w:r>
      <w:r>
        <w:rPr>
          <w:color w:val="000000"/>
        </w:rPr>
        <w:t xml:space="preserve">” </w:t>
      </w:r>
      <w:r>
        <w:rPr>
          <w:rFonts w:ascii="Times New Roman;serif" w:hAnsi="Times New Roman;serif"/>
          <w:b w:val="false"/>
          <w:color w:val="000000"/>
          <w:sz w:val="22"/>
        </w:rPr>
        <w:t>shall mean the 2007 Employee Stock Purchase Plan, as it may be amended from time to time.</w:t>
      </w:r>
    </w:p>
    <w:p>
      <w:pPr>
        <w:pStyle w:val="TextBody"/>
        <w:bidi w:val="0"/>
        <w:spacing w:lineRule="auto" w:line="288" w:before="0" w:after="240"/>
        <w:ind w:left="0" w:right="0" w:firstLine="1440"/>
        <w:jc w:val="left"/>
        <w:rPr/>
      </w:pPr>
      <w:r>
        <w:rPr>
          <w:rFonts w:ascii="Times New Roman;serif" w:hAnsi="Times New Roman;serif"/>
          <w:b w:val="false"/>
          <w:color w:val="000000"/>
          <w:sz w:val="22"/>
        </w:rPr>
        <w:t>(b)</w:t>
      </w:r>
      <w:r>
        <w:rPr>
          <w:color w:val="000000"/>
        </w:rPr>
        <w:t>“</w:t>
      </w:r>
      <w:r>
        <w:rPr>
          <w:rFonts w:ascii="Times New Roman;serif" w:hAnsi="Times New Roman;serif"/>
          <w:b w:val="false"/>
          <w:color w:val="000000"/>
          <w:sz w:val="22"/>
          <w:u w:val="single"/>
        </w:rPr>
        <w:t>Company</w:t>
      </w:r>
      <w:r>
        <w:rPr>
          <w:color w:val="000000"/>
        </w:rPr>
        <w:t xml:space="preserve">” </w:t>
      </w:r>
      <w:r>
        <w:rPr>
          <w:rFonts w:ascii="Times New Roman;serif" w:hAnsi="Times New Roman;serif"/>
          <w:b w:val="false"/>
          <w:color w:val="000000"/>
          <w:sz w:val="22"/>
        </w:rPr>
        <w:t>shall mean Haemonetics Corporation, a Massachusetts corporation.</w:t>
      </w:r>
    </w:p>
    <w:p>
      <w:pPr>
        <w:pStyle w:val="TextBody"/>
        <w:bidi w:val="0"/>
        <w:spacing w:lineRule="auto" w:line="288" w:before="0" w:after="240"/>
        <w:ind w:left="0" w:right="0" w:firstLine="1440"/>
        <w:jc w:val="left"/>
        <w:rPr/>
      </w:pPr>
      <w:r>
        <w:rPr>
          <w:rFonts w:ascii="Times New Roman;serif" w:hAnsi="Times New Roman;serif"/>
          <w:b w:val="false"/>
          <w:color w:val="000000"/>
          <w:sz w:val="22"/>
        </w:rPr>
        <w:t>(c)</w:t>
      </w:r>
      <w:r>
        <w:rPr>
          <w:color w:val="000000"/>
        </w:rPr>
        <w:t>“</w:t>
      </w:r>
      <w:r>
        <w:rPr>
          <w:rFonts w:ascii="Times New Roman;serif" w:hAnsi="Times New Roman;serif"/>
          <w:b w:val="false"/>
          <w:color w:val="000000"/>
          <w:sz w:val="22"/>
          <w:u w:val="single"/>
        </w:rPr>
        <w:t>Account</w:t>
      </w:r>
      <w:r>
        <w:rPr>
          <w:color w:val="000000"/>
        </w:rPr>
        <w:t xml:space="preserve">” </w:t>
      </w:r>
      <w:r>
        <w:rPr>
          <w:rFonts w:ascii="Times New Roman;serif" w:hAnsi="Times New Roman;serif"/>
          <w:b w:val="false"/>
          <w:color w:val="000000"/>
          <w:sz w:val="22"/>
        </w:rPr>
        <w:t>means the Employee Stock Purchase Account established for a Participant under Section 7 hereunder.</w:t>
      </w:r>
    </w:p>
    <w:p>
      <w:pPr>
        <w:pStyle w:val="TextBody"/>
        <w:bidi w:val="0"/>
        <w:spacing w:lineRule="auto" w:line="288" w:before="0" w:after="240"/>
        <w:ind w:left="0" w:right="0" w:firstLine="1440"/>
        <w:jc w:val="left"/>
        <w:rPr/>
      </w:pPr>
      <w:r>
        <w:rPr>
          <w:rFonts w:ascii="Times New Roman;serif" w:hAnsi="Times New Roman;serif"/>
          <w:b w:val="false"/>
          <w:color w:val="000000"/>
          <w:sz w:val="22"/>
        </w:rPr>
        <w:t>(d)</w:t>
      </w:r>
      <w:r>
        <w:rPr>
          <w:color w:val="000000"/>
        </w:rPr>
        <w:t>“</w:t>
      </w:r>
      <w:r>
        <w:rPr>
          <w:rFonts w:ascii="Times New Roman;serif" w:hAnsi="Times New Roman;serif"/>
          <w:b w:val="false"/>
          <w:color w:val="000000"/>
          <w:sz w:val="22"/>
          <w:u w:val="single"/>
        </w:rPr>
        <w:t>Basic Compensation</w:t>
      </w:r>
      <w:r>
        <w:rPr>
          <w:color w:val="000000"/>
        </w:rPr>
        <w:t xml:space="preserve">” </w:t>
      </w:r>
      <w:r>
        <w:rPr>
          <w:rFonts w:ascii="Times New Roman;serif" w:hAnsi="Times New Roman;serif"/>
          <w:b w:val="false"/>
          <w:color w:val="000000"/>
          <w:sz w:val="22"/>
        </w:rPr>
        <w:t xml:space="preserve">shall mean the regular rate of salary or wages in effect immediately prior to a Purchase Period, including sales commissions (to the extent not varying between payroll periods and constituting “regular wages”, as defined in the applicable Treasury Regulation adopted by the Internal Revenue Service and the Department of the Treasury), before any deductions or withholdings for any salary deferral contributions made by the Eligible Employee to any tax-qualified or nonqualified deferred compensation plan, including overtime, vacation pay, holiday pay, jury duty pay and funeral leave pay, but excluding education or tuition reimbursements, imputed income arising under any group insurance or benefit program, travel expenses, business and relocation expenses, and other amounts not constituting “regular wages”. </w:t>
      </w:r>
    </w:p>
    <w:p>
      <w:pPr>
        <w:pStyle w:val="TextBody"/>
        <w:bidi w:val="0"/>
        <w:spacing w:lineRule="auto" w:line="288" w:before="0" w:after="240"/>
        <w:ind w:left="0" w:right="0" w:firstLine="1440"/>
        <w:jc w:val="left"/>
        <w:rPr/>
      </w:pPr>
      <w:r>
        <w:rPr>
          <w:rFonts w:ascii="Times New Roman;serif" w:hAnsi="Times New Roman;serif"/>
          <w:b w:val="false"/>
          <w:color w:val="000000"/>
          <w:sz w:val="22"/>
        </w:rPr>
        <w:t>(e)</w:t>
      </w:r>
      <w:r>
        <w:rPr>
          <w:color w:val="000000"/>
        </w:rPr>
        <w:t>“</w:t>
      </w:r>
      <w:r>
        <w:rPr>
          <w:rFonts w:ascii="Times New Roman;serif" w:hAnsi="Times New Roman;serif"/>
          <w:b w:val="false"/>
          <w:color w:val="000000"/>
          <w:sz w:val="22"/>
          <w:u w:val="single"/>
        </w:rPr>
        <w:t>Board of Directors</w:t>
      </w:r>
      <w:r>
        <w:rPr>
          <w:color w:val="000000"/>
        </w:rPr>
        <w:t xml:space="preserve">” </w:t>
      </w:r>
      <w:r>
        <w:rPr>
          <w:rFonts w:ascii="Times New Roman;serif" w:hAnsi="Times New Roman;serif"/>
          <w:b w:val="false"/>
          <w:color w:val="000000"/>
          <w:sz w:val="22"/>
        </w:rPr>
        <w:t>shall mean the Board of Directors of Haemonetics Corporation.</w:t>
      </w:r>
    </w:p>
    <w:p>
      <w:pPr>
        <w:pStyle w:val="TextBody"/>
        <w:bidi w:val="0"/>
        <w:spacing w:lineRule="auto" w:line="288" w:before="0" w:after="240"/>
        <w:ind w:left="0" w:right="0" w:firstLine="1440"/>
        <w:jc w:val="left"/>
        <w:rPr/>
      </w:pPr>
      <w:r>
        <w:rPr>
          <w:rFonts w:ascii="Times New Roman;serif" w:hAnsi="Times New Roman;serif"/>
          <w:b w:val="false"/>
          <w:color w:val="000000"/>
          <w:sz w:val="22"/>
        </w:rPr>
        <w:t>(f)</w:t>
      </w:r>
      <w:r>
        <w:rPr>
          <w:color w:val="000000"/>
        </w:rPr>
        <w:t>“</w:t>
      </w:r>
      <w:r>
        <w:rPr>
          <w:rFonts w:ascii="Times New Roman;serif" w:hAnsi="Times New Roman;serif"/>
          <w:b w:val="false"/>
          <w:color w:val="000000"/>
          <w:sz w:val="22"/>
          <w:u w:val="single"/>
        </w:rPr>
        <w:t>Code</w:t>
      </w:r>
      <w:r>
        <w:rPr>
          <w:color w:val="000000"/>
        </w:rPr>
        <w:t xml:space="preserve">” </w:t>
      </w:r>
      <w:r>
        <w:rPr>
          <w:rFonts w:ascii="Times New Roman;serif" w:hAnsi="Times New Roman;serif"/>
          <w:b w:val="false"/>
          <w:color w:val="000000"/>
          <w:sz w:val="22"/>
        </w:rPr>
        <w:t>shall mean the Internal Revenue Code of 1986, as amended.</w:t>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4"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left"/>
        <w:rPr/>
      </w:pPr>
      <w:r>
        <w:rPr>
          <w:rFonts w:ascii="Times New Roman;serif" w:hAnsi="Times New Roman;serif"/>
          <w:b w:val="false"/>
          <w:color w:val="000000"/>
          <w:sz w:val="22"/>
        </w:rPr>
        <w:t>(g)</w:t>
      </w:r>
      <w:r>
        <w:rPr>
          <w:color w:val="000000"/>
        </w:rPr>
        <w:t>“</w:t>
      </w:r>
      <w:r>
        <w:rPr>
          <w:rFonts w:ascii="Times New Roman;serif" w:hAnsi="Times New Roman;serif"/>
          <w:b w:val="false"/>
          <w:color w:val="000000"/>
          <w:sz w:val="22"/>
          <w:u w:val="single"/>
        </w:rPr>
        <w:t>Committee</w:t>
      </w:r>
      <w:r>
        <w:rPr>
          <w:color w:val="000000"/>
        </w:rPr>
        <w:t xml:space="preserve">” </w:t>
      </w:r>
      <w:r>
        <w:rPr>
          <w:rFonts w:ascii="Times New Roman;serif" w:hAnsi="Times New Roman;serif"/>
          <w:b w:val="false"/>
          <w:color w:val="000000"/>
          <w:sz w:val="22"/>
        </w:rPr>
        <w:t>shall mean the Compensation Committee of the Board of Directors or such other Stock Purchase Plan Committee appointed by the Board from time to time and acting in accordance with the terms of the Plan.</w:t>
      </w:r>
    </w:p>
    <w:p>
      <w:pPr>
        <w:pStyle w:val="TextBody"/>
        <w:bidi w:val="0"/>
        <w:spacing w:lineRule="auto" w:line="288" w:before="0" w:after="240"/>
        <w:ind w:left="0" w:right="0" w:firstLine="1440"/>
        <w:jc w:val="left"/>
        <w:rPr/>
      </w:pPr>
      <w:r>
        <w:rPr>
          <w:rFonts w:ascii="Times New Roman;serif" w:hAnsi="Times New Roman;serif"/>
          <w:b w:val="false"/>
          <w:color w:val="000000"/>
          <w:sz w:val="22"/>
        </w:rPr>
        <w:t>(h)</w:t>
      </w:r>
      <w:r>
        <w:rPr>
          <w:color w:val="000000"/>
        </w:rPr>
        <w:t>“</w:t>
      </w:r>
      <w:r>
        <w:rPr>
          <w:rFonts w:ascii="Times New Roman;serif" w:hAnsi="Times New Roman;serif"/>
          <w:b w:val="false"/>
          <w:color w:val="000000"/>
          <w:sz w:val="22"/>
          <w:u w:val="single"/>
        </w:rPr>
        <w:t>Common Stock</w:t>
      </w:r>
      <w:r>
        <w:rPr>
          <w:color w:val="000000"/>
        </w:rPr>
        <w:t xml:space="preserve">” </w:t>
      </w:r>
      <w:r>
        <w:rPr>
          <w:rFonts w:ascii="Times New Roman;serif" w:hAnsi="Times New Roman;serif"/>
          <w:b w:val="false"/>
          <w:color w:val="000000"/>
          <w:sz w:val="22"/>
        </w:rPr>
        <w:t>shall mean shares of the Company's common stock with a par value of $0.01 per share.</w:t>
      </w:r>
    </w:p>
    <w:p>
      <w:pPr>
        <w:pStyle w:val="TextBody"/>
        <w:bidi w:val="0"/>
        <w:spacing w:lineRule="auto" w:line="288" w:before="0" w:after="240"/>
        <w:ind w:left="0" w:right="0" w:firstLine="1440"/>
        <w:jc w:val="left"/>
        <w:rPr/>
      </w:pPr>
      <w:r>
        <w:rPr>
          <w:rFonts w:ascii="Times New Roman;serif" w:hAnsi="Times New Roman;serif"/>
          <w:b w:val="false"/>
          <w:color w:val="000000"/>
          <w:sz w:val="22"/>
        </w:rPr>
        <w:t>(i)</w:t>
      </w:r>
      <w:r>
        <w:rPr>
          <w:color w:val="000000"/>
        </w:rPr>
        <w:t>“</w:t>
      </w:r>
      <w:r>
        <w:rPr>
          <w:rFonts w:ascii="Times New Roman;serif" w:hAnsi="Times New Roman;serif"/>
          <w:b w:val="false"/>
          <w:color w:val="000000"/>
          <w:sz w:val="22"/>
          <w:u w:val="single"/>
        </w:rPr>
        <w:t>Effective Date</w:t>
      </w:r>
      <w:r>
        <w:rPr>
          <w:color w:val="000000"/>
        </w:rPr>
        <w:t xml:space="preserve">” </w:t>
      </w:r>
      <w:r>
        <w:rPr>
          <w:rFonts w:ascii="Times New Roman;serif" w:hAnsi="Times New Roman;serif"/>
          <w:b w:val="false"/>
          <w:color w:val="000000"/>
          <w:sz w:val="22"/>
        </w:rPr>
        <w:t>shall have the meaning set forth in the preamble.</w:t>
      </w:r>
    </w:p>
    <w:p>
      <w:pPr>
        <w:pStyle w:val="TextBody"/>
        <w:bidi w:val="0"/>
        <w:spacing w:lineRule="auto" w:line="288" w:before="0" w:after="240"/>
        <w:ind w:left="0" w:right="0" w:firstLine="1440"/>
        <w:jc w:val="left"/>
        <w:rPr/>
      </w:pPr>
      <w:r>
        <w:rPr>
          <w:rFonts w:ascii="Times New Roman;serif" w:hAnsi="Times New Roman;serif"/>
          <w:b w:val="false"/>
          <w:color w:val="000000"/>
          <w:sz w:val="22"/>
        </w:rPr>
        <w:t>(j)</w:t>
      </w:r>
      <w:r>
        <w:rPr>
          <w:color w:val="000000"/>
        </w:rPr>
        <w:t>“</w:t>
      </w:r>
      <w:r>
        <w:rPr>
          <w:rFonts w:ascii="Times New Roman;serif" w:hAnsi="Times New Roman;serif"/>
          <w:b w:val="false"/>
          <w:color w:val="000000"/>
          <w:sz w:val="22"/>
          <w:u w:val="single"/>
        </w:rPr>
        <w:t>Eligible Employees</w:t>
      </w:r>
      <w:r>
        <w:rPr>
          <w:color w:val="000000"/>
        </w:rPr>
        <w:t xml:space="preserve">” </w:t>
      </w:r>
      <w:r>
        <w:rPr>
          <w:rFonts w:ascii="Times New Roman;serif" w:hAnsi="Times New Roman;serif"/>
          <w:b w:val="false"/>
          <w:color w:val="000000"/>
          <w:sz w:val="22"/>
        </w:rPr>
        <w:t>shall mean all persons employed by (i) the Company or (ii) any subsidiary corporation of the Company (as defined in Section 424(f) of the Code) that has been designated by the Board of Directors, or the Committee if one has been appointed, from time to time as eligible to be a participating subsidiary under the Plan, but excluding: (i) Persons whose customary employment is less than twenty hours per week or five months or less per year; and (ii) Persons who are deemed for purposes of Section 423(b)(3) of the Code to own stock possessing 5% or more of the total combined voting power or value of all classes of stock of the Company, its parent or a subsidiary. For purposes of the Plan, employment will be treated as continuing intact while a Participant is on military leave, sick leave, or other bona fide leave of absence, for up to 90 days or so long as the Participant's right to re-employment is guaranteed either by statute or by contract, if longer than 90 days.</w:t>
      </w:r>
    </w:p>
    <w:p>
      <w:pPr>
        <w:pStyle w:val="TextBody"/>
        <w:bidi w:val="0"/>
        <w:spacing w:lineRule="auto" w:line="288" w:before="0" w:after="240"/>
        <w:ind w:left="0" w:right="0" w:firstLine="1440"/>
        <w:jc w:val="left"/>
        <w:rPr/>
      </w:pPr>
      <w:r>
        <w:rPr>
          <w:rFonts w:ascii="Times New Roman;serif" w:hAnsi="Times New Roman;serif"/>
          <w:b w:val="false"/>
          <w:color w:val="000000"/>
          <w:sz w:val="22"/>
        </w:rPr>
        <w:t>(k)</w:t>
      </w:r>
      <w:r>
        <w:rPr>
          <w:color w:val="000000"/>
        </w:rPr>
        <w:t>“</w:t>
      </w:r>
      <w:r>
        <w:rPr>
          <w:rFonts w:ascii="Times New Roman;serif" w:hAnsi="Times New Roman;serif"/>
          <w:b w:val="false"/>
          <w:color w:val="000000"/>
          <w:sz w:val="22"/>
          <w:u w:val="single"/>
        </w:rPr>
        <w:t>Exercise Date</w:t>
      </w:r>
      <w:r>
        <w:rPr>
          <w:color w:val="000000"/>
        </w:rPr>
        <w:t xml:space="preserve">” </w:t>
      </w:r>
      <w:r>
        <w:rPr>
          <w:rFonts w:ascii="Times New Roman;serif" w:hAnsi="Times New Roman;serif"/>
          <w:b w:val="false"/>
          <w:color w:val="000000"/>
          <w:sz w:val="22"/>
        </w:rPr>
        <w:t>shall mean the last day of a Purchase Period; provided, however, that if such date is not a business day, “Exercise Date” shall mean the immediately preceding business day.</w:t>
      </w:r>
    </w:p>
    <w:p>
      <w:pPr>
        <w:pStyle w:val="TextBody"/>
        <w:bidi w:val="0"/>
        <w:spacing w:lineRule="auto" w:line="288" w:before="0" w:after="240"/>
        <w:ind w:left="0" w:right="0" w:firstLine="1440"/>
        <w:jc w:val="left"/>
        <w:rPr/>
      </w:pPr>
      <w:r>
        <w:rPr>
          <w:rFonts w:ascii="Times New Roman;serif" w:hAnsi="Times New Roman;serif"/>
          <w:b w:val="false"/>
          <w:color w:val="000000"/>
          <w:sz w:val="22"/>
        </w:rPr>
        <w:t>(l)</w:t>
      </w:r>
      <w:r>
        <w:rPr>
          <w:color w:val="000000"/>
        </w:rPr>
        <w:t>“</w:t>
      </w:r>
      <w:r>
        <w:rPr>
          <w:rFonts w:ascii="Times New Roman;serif" w:hAnsi="Times New Roman;serif"/>
          <w:b w:val="false"/>
          <w:color w:val="000000"/>
          <w:sz w:val="22"/>
          <w:u w:val="single"/>
        </w:rPr>
        <w:t>Participant</w:t>
      </w:r>
      <w:r>
        <w:rPr>
          <w:color w:val="000000"/>
        </w:rPr>
        <w:t xml:space="preserve">” </w:t>
      </w:r>
      <w:r>
        <w:rPr>
          <w:rFonts w:ascii="Times New Roman;serif" w:hAnsi="Times New Roman;serif"/>
          <w:b w:val="false"/>
          <w:color w:val="000000"/>
          <w:sz w:val="22"/>
        </w:rPr>
        <w:t>shall mean an Eligible Employee who elects to participate in the Plan under Section 6 hereunder.</w:t>
      </w:r>
    </w:p>
    <w:p>
      <w:pPr>
        <w:pStyle w:val="TextBody"/>
        <w:bidi w:val="0"/>
        <w:spacing w:lineRule="auto" w:line="288" w:before="0" w:after="240"/>
        <w:ind w:left="0" w:right="0" w:firstLine="1440"/>
        <w:jc w:val="left"/>
        <w:rPr/>
      </w:pPr>
      <w:r>
        <w:rPr>
          <w:rFonts w:ascii="Times New Roman;serif" w:hAnsi="Times New Roman;serif"/>
          <w:b w:val="false"/>
          <w:color w:val="000000"/>
          <w:sz w:val="22"/>
        </w:rPr>
        <w:t>(m)</w:t>
      </w:r>
      <w:r>
        <w:rPr>
          <w:rFonts w:ascii="Times New Roman;serif" w:hAnsi="Times New Roman;serif"/>
          <w:b w:val="false"/>
          <w:color w:val="000000"/>
          <w:sz w:val="22"/>
        </w:rPr>
        <w:t>Except as provided below, there shall be two “</w:t>
      </w:r>
      <w:r>
        <w:rPr>
          <w:rFonts w:ascii="Times New Roman;serif" w:hAnsi="Times New Roman;serif"/>
          <w:b w:val="false"/>
          <w:color w:val="000000"/>
          <w:sz w:val="22"/>
          <w:u w:val="single"/>
        </w:rPr>
        <w:t>Purchase Periods</w:t>
      </w:r>
      <w:r>
        <w:rPr>
          <w:color w:val="000000"/>
        </w:rPr>
        <w:t xml:space="preserve">” </w:t>
      </w:r>
      <w:r>
        <w:rPr>
          <w:rFonts w:ascii="Times New Roman;serif" w:hAnsi="Times New Roman;serif"/>
          <w:b w:val="false"/>
          <w:color w:val="000000"/>
          <w:sz w:val="22"/>
        </w:rPr>
        <w:t>in each full calendar year during which the Plan is in effect, one commencing on November 1st of each calendar year and continuing through April 30 of such calendar year, and the second commencing on May 1st of each calendar year and continuing through October 31st of such calendar year. The last Purchase Period shall end on October 31, 2036.</w:t>
      </w:r>
    </w:p>
    <w:p>
      <w:pPr>
        <w:pStyle w:val="TextBody"/>
        <w:bidi w:val="0"/>
        <w:spacing w:lineRule="auto" w:line="288" w:before="0" w:after="240"/>
        <w:ind w:left="0" w:right="0" w:firstLine="1440"/>
        <w:jc w:val="left"/>
        <w:rPr/>
      </w:pPr>
      <w:r>
        <w:rPr>
          <w:rFonts w:ascii="Times New Roman;serif" w:hAnsi="Times New Roman;serif"/>
          <w:b w:val="false"/>
          <w:color w:val="000000"/>
          <w:sz w:val="22"/>
        </w:rPr>
        <w:t>(n)</w:t>
      </w:r>
      <w:r>
        <w:rPr>
          <w:color w:val="000000"/>
        </w:rPr>
        <w:t>“</w:t>
      </w:r>
      <w:r>
        <w:rPr>
          <w:rFonts w:ascii="Times New Roman;serif" w:hAnsi="Times New Roman;serif"/>
          <w:b w:val="false"/>
          <w:color w:val="000000"/>
          <w:sz w:val="22"/>
          <w:u w:val="single"/>
        </w:rPr>
        <w:t>Purchase Price</w:t>
      </w:r>
      <w:r>
        <w:rPr>
          <w:color w:val="000000"/>
        </w:rPr>
        <w:t xml:space="preserve">” </w:t>
      </w:r>
      <w:r>
        <w:rPr>
          <w:rFonts w:ascii="Times New Roman;serif" w:hAnsi="Times New Roman;serif"/>
          <w:b w:val="false"/>
          <w:color w:val="000000"/>
          <w:sz w:val="22"/>
        </w:rPr>
        <w:t>shall mean the lower (i) 85% of the fair market value of a share of Common Stock for the first business day of the relevant Purchase Period, or (ii) 85% of such value on the relevant Exercise Date. If the shares of the Common Stock are listed on any national securities exchange, the fair market value per share of Common Stock on a particular day shall be the closing price, if any, on the largest such exchange. If there are no sales of the shares of Common Stock on such particular day, the fair market value of a share of Common Stock shall be determined by the fair market value of a share of Common Stock on the nearest date prior to the Exercise Date. If the fair market value cannot be determined under the preceding sentences, it shall be determined in good faith by the Committee.</w:t>
      </w:r>
    </w:p>
    <w:p>
      <w:pPr>
        <w:pStyle w:val="TextBody"/>
        <w:bidi w:val="0"/>
        <w:spacing w:lineRule="auto" w:line="288" w:before="0" w:after="240"/>
        <w:jc w:val="left"/>
        <w:rPr/>
      </w:pPr>
      <w:r>
        <w:rPr>
          <w:rFonts w:ascii="Times New Roman;serif" w:hAnsi="Times New Roman;serif"/>
          <w:b/>
          <w:color w:val="000000"/>
          <w:sz w:val="22"/>
        </w:rPr>
        <w:t>3.</w:t>
      </w:r>
      <w:r>
        <w:rPr>
          <w:rFonts w:ascii="Times New Roman;serif" w:hAnsi="Times New Roman;serif"/>
          <w:b/>
          <w:color w:val="000000"/>
          <w:sz w:val="22"/>
        </w:rPr>
        <w:t>Grant of Option to Purchase Shares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Each Eligible Employee shall be granted an option effective on the first day of each Purchase Period to purchase shares of Common Stock. The term of the option shall be the length of the Purchase Period. The number of shares subject to each option shall be the quotient of the aggregate payroll deductions in the </w:t>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60655"/>
                <wp:effectExtent l="0" t="0" r="0" b="0"/>
                <wp:wrapNone/>
                <wp:docPr id="25" name="Frame2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Purchase Period authorized by each Participant in accordance with Section 6 divided by the Purchase Price, but in no event greater than 1,600 shares per option. Notwithstanding the foregoing, (i) no employee shall be granted an option which permits the right to purchase shares under the Plan and under all other Code Section 423(b) employee stock purchase plans of the Company or any parent or subsidiary corporation to accrue at a rate which exceeds in any one calendar year $25,000 of the fair market value of the Common Stock as of the date the option to purchase is granted.</w:t>
      </w:r>
    </w:p>
    <w:p>
      <w:pPr>
        <w:pStyle w:val="TextBody"/>
        <w:bidi w:val="0"/>
        <w:spacing w:lineRule="auto" w:line="288" w:before="0" w:after="240"/>
        <w:jc w:val="left"/>
        <w:rPr/>
      </w:pPr>
      <w:r>
        <w:rPr>
          <w:rFonts w:ascii="Times New Roman;serif" w:hAnsi="Times New Roman;serif"/>
          <w:b/>
          <w:color w:val="000000"/>
          <w:sz w:val="22"/>
        </w:rPr>
        <w:t>4.</w:t>
      </w:r>
      <w:r>
        <w:rPr>
          <w:rFonts w:ascii="Times New Roman;serif" w:hAnsi="Times New Roman;serif"/>
          <w:b/>
          <w:color w:val="000000"/>
          <w:sz w:val="22"/>
        </w:rPr>
        <w:t>Shares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There shall be 3,200,000 shares of Common Stock reserved for issuance to and purchase by Participants under the Plan, subject to adjustment as herein provided. The shares of Common Stock subject to the Plan shall be shares of authorized but unissued Common Stock. Shares of Common Stock not purchased under an option terminated pursuant to the provisions of the Plan may again be subject to options granted under the Plan.</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The aggregate number of shares of Common Stock which may be purchased pursuant to options granted hereunder, the number of shares of Common Stock covered by each outstanding option, the maximum number of shares that may be granted in any Purchase Period and the purchase price for each such option shall by appropriately adjusted for any increase or decrease in the number of outstanding shares of Common Stock resulting from a stock split or other subdivision or consolidation of shares of Common Stock or for other capital adjustments or payments of stock dividends or distributions or other increases or decreases in the outstanding shares of Common Stock effected without receipt of consideration by the Company.</w:t>
      </w:r>
    </w:p>
    <w:p>
      <w:pPr>
        <w:pStyle w:val="TextBody"/>
        <w:bidi w:val="0"/>
        <w:spacing w:lineRule="auto" w:line="288" w:before="0" w:after="240"/>
        <w:jc w:val="left"/>
        <w:rPr/>
      </w:pPr>
      <w:r>
        <w:rPr>
          <w:rFonts w:ascii="Times New Roman;serif" w:hAnsi="Times New Roman;serif"/>
          <w:b w:val="false"/>
          <w:color w:val="000000"/>
          <w:sz w:val="22"/>
        </w:rPr>
        <w:t>If the Board of Directors or the Committee determines that on a given Exercise Date the number of shares with respect to which options are to be exercised may exceed: (a) the number of shares then available for sale under the Plan; or (b) the number of shares available for sale under the Plan on the first day of one or more of the Purchase Periods in which such Exercise Date is to occur (each, an “</w:t>
      </w:r>
      <w:r>
        <w:rPr>
          <w:rFonts w:ascii="Times New Roman;serif" w:hAnsi="Times New Roman;serif"/>
          <w:b w:val="false"/>
          <w:color w:val="000000"/>
          <w:sz w:val="22"/>
          <w:u w:val="single"/>
        </w:rPr>
        <w:t>Offering Date</w:t>
      </w:r>
      <w:r>
        <w:rPr>
          <w:color w:val="000000"/>
        </w:rPr>
        <w:t>”</w:t>
      </w:r>
      <w:r>
        <w:rPr>
          <w:rFonts w:ascii="Times New Roman;serif" w:hAnsi="Times New Roman;serif"/>
          <w:b w:val="false"/>
          <w:color w:val="000000"/>
          <w:sz w:val="22"/>
        </w:rPr>
        <w:t>), the Board of Directors or the Committee may make a pro rata allocation of the shares remaining available for purchase on such Offering Date or Exercise Date, as applicable, and will either continue the Purchase Period then in effect or terminate any one or more Purchase Periods then in effect pursuant to Section 17, below. Such allocation method will be “bottom up,” with the result that all option exercises for one (1) share will be satisfied first, followed by all exercises for two (2) shares, and so on, until all available shares have been exhausted. Any amount remaining in a Participant’s payroll account following such allocation will be returned to the Participant and will not be carried over to any future Purchase Period.</w:t>
      </w:r>
    </w:p>
    <w:p>
      <w:pPr>
        <w:pStyle w:val="TextBody"/>
        <w:bidi w:val="0"/>
        <w:spacing w:lineRule="auto" w:line="288" w:before="0" w:after="240"/>
        <w:jc w:val="left"/>
        <w:rPr/>
      </w:pPr>
      <w:r>
        <w:rPr>
          <w:rFonts w:ascii="Times New Roman;serif" w:hAnsi="Times New Roman;serif"/>
          <w:b/>
          <w:color w:val="000000"/>
          <w:sz w:val="22"/>
        </w:rPr>
        <w:t>5.</w:t>
      </w:r>
      <w:r>
        <w:rPr>
          <w:rFonts w:ascii="Times New Roman;serif" w:hAnsi="Times New Roman;serif"/>
          <w:b/>
          <w:color w:val="000000"/>
          <w:sz w:val="22"/>
        </w:rPr>
        <w:t>Administration</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The Plan shall be administered by the Board of Directors or a Stock Purchase Plan Committee appointed from time to time by the Board of Directors. All members of the Committee shall serve at the discretion of the Board. The Board of Directors or the Committee, if one has been appointed, is vested with full discretionary authority and control to administer the Plan, including determining eligibility, construing the terms of the Plan, remedying any ambiguities or inconsistencies, supplying any omissions, and making, administering and interpreting such equitable rules and regulations regarding the Plan as it may deem advisable, including, without limitation, adopting sub-plans applicable to particular participating subsidiaries of the Company or locations, which sub-plans may be designed to be outside the scope of Section 423 of the Code. The Board of Directors’, or the Committee’s, if one has been appointed, determinations as to the interpretation and operation of the Plan shall be final and conclusive. No member </w:t>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60655"/>
                <wp:effectExtent l="0" t="0" r="0" b="0"/>
                <wp:wrapNone/>
                <wp:docPr id="26" name="Frame2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of the Board of Directors or the Committee shall be liable for any action or determination made in good faith with respect to the Plan or any option granted under the Plan. The Board of Directors or the Committee may designate separate Purchase Periods under the Plan (the terms of which need not be identical) in which Eligible Employees of one or more participating subsidiaries will participate, even if the dates of the applicable Purchase Periods of each such offering are identical. The Board of Directors or the Committee may delegate, to the maximum extent permitted under applicable law or legal requirements, any or all of its authority under this Plan to such officer(s) or other employees of the Company as the Board of Directors or the Committee may designate. Notwithstanding any such delegation of authority, the Board of Directors or the Committee may itself take any action under the Plan in its discretion at any time.</w:t>
      </w:r>
    </w:p>
    <w:p>
      <w:pPr>
        <w:pStyle w:val="TextBody"/>
        <w:bidi w:val="0"/>
        <w:spacing w:lineRule="auto" w:line="288" w:before="0" w:after="240"/>
        <w:jc w:val="left"/>
        <w:rPr/>
      </w:pPr>
      <w:r>
        <w:rPr>
          <w:rFonts w:ascii="Times New Roman;serif" w:hAnsi="Times New Roman;serif"/>
          <w:b/>
          <w:color w:val="000000"/>
          <w:sz w:val="22"/>
        </w:rPr>
        <w:t>6.</w:t>
      </w:r>
      <w:r>
        <w:rPr>
          <w:rFonts w:ascii="Times New Roman;serif" w:hAnsi="Times New Roman;serif"/>
          <w:b/>
          <w:color w:val="000000"/>
          <w:sz w:val="22"/>
        </w:rPr>
        <w:t>Election to Participate</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An Eligible Employee may elect to become a Participant in the Plan for a Purchase Period by completing a “Stock Purchase Agreement” form at least ten (10) days (or such shorter period as the Board of Directors or the Committee may specify in writing) prior to the first day of the Purchase Period for which the election is made. Such Stock Purchase Agreement shall be in such form as shall be determined by the Board of Directors or the Committee. The election to participate shall be effective for the Purchase Period for which it is made and shall continue to be in effect for subsequent Purchase Periods unless and until a Participant files a notice of cancellation under Section 9. There is no limit on the number of Purchase Periods for which an Eligible Employee may elect to become a Participant in the Plan. In the Stock Purchase Agreement, the Eligible Employee shall authorize regular payroll deductions of any full percentage of the Basic Compensation of the Eligible Employee, but in no event less than two percent (2%) nor more than fifteen percent (15%) of the Basic Compensation of the Eligible Employee. An Eligible Employee may not change this authorization except as otherwise provided in Section 9. Options granted to Eligible Employees who have failed to execute a Stock Purchase Agreement within the time periods prescribed by the Plan will automatically lapse.</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Notwithstanding a Participant’s election in the applicable Stock Purchase Agreement, the Company may reduce a Participant’s payroll deductions to prevent a Participant from exceeding the limitations set forth in Section 3.</w:t>
      </w:r>
    </w:p>
    <w:p>
      <w:pPr>
        <w:pStyle w:val="TextBody"/>
        <w:bidi w:val="0"/>
        <w:spacing w:lineRule="auto" w:line="288" w:before="0" w:after="240"/>
        <w:jc w:val="left"/>
        <w:rPr/>
      </w:pPr>
      <w:r>
        <w:rPr>
          <w:rFonts w:ascii="Times New Roman;serif" w:hAnsi="Times New Roman;serif"/>
          <w:b/>
          <w:color w:val="000000"/>
          <w:sz w:val="22"/>
        </w:rPr>
        <w:t>7.</w:t>
      </w:r>
      <w:r>
        <w:rPr>
          <w:rFonts w:ascii="Times New Roman;serif" w:hAnsi="Times New Roman;serif"/>
          <w:b/>
          <w:color w:val="000000"/>
          <w:sz w:val="22"/>
        </w:rPr>
        <w:t>Employee Stock Purchase Account</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An Employee Stock Purchase Account will be established for each Participant in the Plan for bookkeeping purposes, and payroll deductions made under Section 6 will be credited to such Accounts. However, prior to the purchase of shares in accordance with Section 8 or withdrawal from or termination of the Plan in accordance with the provisions hereof, the Company may use for any valid corporate purpose all amounts deducted from a Participant's wages under the Plan and credited for bookkeeping purposes to the Participant’s Account.</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The Company shall be under no obligation to pay interest on funds credited to a Participant's Account, whether upon purchase of shares in accordance with Section 8 or upon distribution in the event of withdrawal from or termination of the Plan as herein provided.</w: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60655"/>
                <wp:effectExtent l="0" t="0" r="0" b="0"/>
                <wp:wrapNone/>
                <wp:docPr id="27" name="Frame2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color w:val="000000"/>
          <w:sz w:val="22"/>
        </w:rPr>
        <w:t>8.</w:t>
      </w:r>
      <w:r>
        <w:rPr>
          <w:rFonts w:ascii="Times New Roman;serif" w:hAnsi="Times New Roman;serif"/>
          <w:b/>
          <w:color w:val="000000"/>
          <w:sz w:val="22"/>
        </w:rPr>
        <w:t>Purchase of Shares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Each Eligible Employee who is a Participant in the Plan automatically and without any act on the part of the Eligible Employee will be deemed to have exercised the Eligible Employee’s option on each Exercise Date to the extent that the balance then in the Eligible Employee’s Account under the Plan is sufficient to purchase at the Purchase Price whole shares of the Common Stock subject to the Eligible Employee’s option. Any balance remaining in the Participant's Account which represents less than the Purchase Price of a whole share shall be carried forward and credited for use in the next Purchase Period. If the Employee chooses not to participate in the next Purchase Period, any balance will be refunded to the Employee in cash. Notwithstanding the foregoing, any balance remaining in a Participant's Account at the end of a Purchase Period as a result of aggregate payroll deductions having exceeded the limitations set forth in Section 3 shall be refunded to the Participant in cash without interest.</w:t>
      </w:r>
    </w:p>
    <w:p>
      <w:pPr>
        <w:pStyle w:val="TextBody"/>
        <w:bidi w:val="0"/>
        <w:spacing w:lineRule="auto" w:line="288" w:before="0" w:after="240"/>
        <w:jc w:val="left"/>
        <w:rPr/>
      </w:pPr>
      <w:r>
        <w:rPr>
          <w:rFonts w:ascii="Times New Roman;serif" w:hAnsi="Times New Roman;serif"/>
          <w:b/>
          <w:color w:val="000000"/>
          <w:sz w:val="22"/>
        </w:rPr>
        <w:t>9.</w:t>
      </w:r>
      <w:r>
        <w:rPr>
          <w:rFonts w:ascii="Times New Roman;serif" w:hAnsi="Times New Roman;serif"/>
          <w:b/>
          <w:color w:val="000000"/>
          <w:sz w:val="22"/>
        </w:rPr>
        <w:t>Withdrawal</w:t>
      </w:r>
    </w:p>
    <w:p>
      <w:pPr>
        <w:pStyle w:val="TextBody"/>
        <w:bidi w:val="0"/>
        <w:spacing w:lineRule="auto" w:line="288" w:before="0" w:after="240"/>
        <w:jc w:val="left"/>
        <w:rPr/>
      </w:pPr>
      <w:r>
        <w:rPr>
          <w:rFonts w:ascii="Times New Roman;serif" w:hAnsi="Times New Roman;serif"/>
          <w:b w:val="false"/>
          <w:color w:val="000000"/>
          <w:sz w:val="22"/>
        </w:rPr>
        <w:t>A Participant who has elected to authorize payroll deductions for the purchase of shares of Common Stock may cancel the Participant’s election by written notice of cancellation delivered to the office or person designated by the Company to receive Stock Purchase Agreements (“</w:t>
      </w:r>
      <w:r>
        <w:rPr>
          <w:rFonts w:ascii="Times New Roman;serif" w:hAnsi="Times New Roman;serif"/>
          <w:b w:val="false"/>
          <w:color w:val="000000"/>
          <w:sz w:val="22"/>
          <w:u w:val="single"/>
        </w:rPr>
        <w:t>Cancellation</w:t>
      </w:r>
      <w:r>
        <w:rPr>
          <w:color w:val="000000"/>
        </w:rPr>
        <w:t>”</w:t>
      </w:r>
      <w:r>
        <w:rPr>
          <w:rFonts w:ascii="Times New Roman;serif" w:hAnsi="Times New Roman;serif"/>
          <w:b w:val="false"/>
          <w:color w:val="000000"/>
          <w:sz w:val="22"/>
        </w:rPr>
        <w:t>), but any such notice of Cancellation must be so delivered not later than ten (10) days before the relevant Exercise Date.</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A Participant will receive in cash, as soon as practicable after delivery of the notice of Cancellation, the amount credited to the Participant’s Account. Any Participant who so withdraws from the Plan may again become a Participant at the start of the next Purchase Period in accordance with Section 6.</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Upon dissolution or liquidation of the Company or a merger or consolidation in which the Company is not the surviving entity every option outstanding hereunder shall terminate, in which event each Participant shall be refunded the amount of cash then in the Participant’s Account.</w:t>
      </w:r>
    </w:p>
    <w:p>
      <w:pPr>
        <w:pStyle w:val="TextBody"/>
        <w:bidi w:val="0"/>
        <w:spacing w:lineRule="auto" w:line="288" w:before="0" w:after="240"/>
        <w:jc w:val="left"/>
        <w:rPr/>
      </w:pPr>
      <w:r>
        <w:rPr>
          <w:rFonts w:ascii="Times New Roman;serif" w:hAnsi="Times New Roman;serif"/>
          <w:b/>
          <w:color w:val="000000"/>
          <w:sz w:val="22"/>
        </w:rPr>
        <w:t>10.</w:t>
      </w:r>
      <w:r>
        <w:rPr>
          <w:rFonts w:ascii="Times New Roman;serif" w:hAnsi="Times New Roman;serif"/>
          <w:b/>
          <w:color w:val="000000"/>
          <w:sz w:val="22"/>
        </w:rPr>
        <w:t>Issuance of Stock Certificates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The shares of Common Stock purchased by a Participant shall, for all purposes, be deemed to have been issued and sold at the close of business on the Exercise Date. Prior to that date none of the rights or privileges of a stockholder of the Company, including the right to vote or receive dividends, shall exist with respect to such shares.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Within a reasonable time after the Exercise Date, the Company shall either, as the Board of Directors or the Committee may direct, issue and deliver a certificate for, or make an entry on the Company’s books and records evidencing the transfer of, the number of shares of Common Stock purchased by a Participant for the Purchase Period. Such certificate or book entry shall be registered either in the Participant's name, jointly in the names of the Participant and the Participant’s spouse, or in the name of the Participant or the Participant’s spouse as guardian for their children, as the Participant shall designate in the Participant’s Stock Purchase Agreement. Such designation may be changed at any time by filing notice thereof with the party designated by the Company to receive such notices. The Board of Directors or the Committee may, at its discretion, choose to deliver shares of Common Stock purchased by Participants for a Purchase Period to a broker designated by the Board of Directors or the Committee to hold shares for the benefit of the Participants.</w:t>
      </w:r>
    </w:p>
    <w:p>
      <w:pPr>
        <w:pStyle w:val="TextBody"/>
        <w:bidi w:val="0"/>
        <w:spacing w:before="0" w:after="2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60655"/>
                <wp:effectExtent l="0" t="0" r="0" b="0"/>
                <wp:wrapNone/>
                <wp:docPr id="28" name="Frame2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color w:val="000000"/>
          <w:sz w:val="22"/>
        </w:rPr>
        <w:t>11.</w:t>
      </w:r>
      <w:r>
        <w:rPr>
          <w:rFonts w:ascii="Times New Roman;serif" w:hAnsi="Times New Roman;serif"/>
          <w:b/>
          <w:color w:val="000000"/>
          <w:sz w:val="22"/>
        </w:rPr>
        <w:t>Termination of Employment</w:t>
      </w:r>
    </w:p>
    <w:p>
      <w:pPr>
        <w:pStyle w:val="TextBody"/>
        <w:bidi w:val="0"/>
        <w:spacing w:lineRule="auto" w:line="288" w:before="0" w:after="240"/>
        <w:ind w:left="0" w:right="0" w:firstLine="1440"/>
        <w:jc w:val="left"/>
        <w:rPr/>
      </w:pPr>
      <w:r>
        <w:rPr>
          <w:rFonts w:ascii="Times New Roman;serif" w:hAnsi="Times New Roman;serif"/>
          <w:b w:val="false"/>
          <w:color w:val="000000"/>
          <w:sz w:val="22"/>
        </w:rPr>
        <w:t>(a)</w:t>
      </w:r>
      <w:r>
        <w:rPr>
          <w:rFonts w:ascii="Times New Roman;serif" w:hAnsi="Times New Roman;serif"/>
          <w:b w:val="false"/>
          <w:color w:val="000000"/>
          <w:sz w:val="22"/>
        </w:rPr>
        <w:t>Upon a Participant's termination of employment for any reason, other than death, no payroll deduction may be made from any compensation due to the Participant, and the entire balance credited to the Participant’s Account shall be automatically refunded.</w:t>
      </w:r>
    </w:p>
    <w:p>
      <w:pPr>
        <w:pStyle w:val="TextBody"/>
        <w:bidi w:val="0"/>
        <w:spacing w:lineRule="auto" w:line="288" w:before="0" w:after="240"/>
        <w:ind w:left="0" w:right="0" w:firstLine="1440"/>
        <w:jc w:val="left"/>
        <w:rPr/>
      </w:pPr>
      <w:r>
        <w:rPr>
          <w:rFonts w:ascii="Times New Roman;serif" w:hAnsi="Times New Roman;serif"/>
          <w:b w:val="false"/>
          <w:color w:val="000000"/>
          <w:sz w:val="22"/>
        </w:rPr>
        <w:t>(b)</w:t>
      </w:r>
      <w:r>
        <w:rPr>
          <w:rFonts w:ascii="Times New Roman;serif" w:hAnsi="Times New Roman;serif"/>
          <w:b w:val="false"/>
          <w:color w:val="000000"/>
          <w:sz w:val="22"/>
        </w:rPr>
        <w:t>Upon the death of a Participant, no payroll deduction shall be made from any compensation due to the Participant at time of death, and the entire balance in the deceased Participant's Account shall be paid in cash to the Participant's designated beneficiary, if any, under a group insurance plan of the Company covering such employee, or otherwise to the Participant’s estate.</w:t>
      </w:r>
    </w:p>
    <w:p>
      <w:pPr>
        <w:pStyle w:val="TextBody"/>
        <w:bidi w:val="0"/>
        <w:spacing w:lineRule="auto" w:line="288" w:before="0" w:after="240"/>
        <w:jc w:val="left"/>
        <w:rPr/>
      </w:pPr>
      <w:r>
        <w:rPr>
          <w:rFonts w:ascii="Times New Roman;serif" w:hAnsi="Times New Roman;serif"/>
          <w:b/>
          <w:color w:val="000000"/>
          <w:sz w:val="22"/>
        </w:rPr>
        <w:t>12.</w:t>
      </w:r>
      <w:r>
        <w:rPr>
          <w:rFonts w:ascii="Times New Roman;serif" w:hAnsi="Times New Roman;serif"/>
          <w:b/>
          <w:color w:val="000000"/>
          <w:sz w:val="22"/>
        </w:rPr>
        <w:t>Rights not Transferable</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The right to purchase shares of Common Stock under this Plan is exercisable only by the Participant during the Participant’s lifetime and is not transferable by the Participant. If a Participant attempts to transfer the Participant’s right to purchase shares under the Plan, the Participant shall be deemed to have requested withdrawal from the Plan and the provisions of Section 9 hereof shall apply with respect to such Participant.</w:t>
      </w:r>
    </w:p>
    <w:p>
      <w:pPr>
        <w:pStyle w:val="TextBody"/>
        <w:bidi w:val="0"/>
        <w:spacing w:lineRule="auto" w:line="288" w:before="0" w:after="240"/>
        <w:jc w:val="left"/>
        <w:rPr/>
      </w:pPr>
      <w:r>
        <w:rPr>
          <w:rFonts w:ascii="Times New Roman;serif" w:hAnsi="Times New Roman;serif"/>
          <w:b/>
          <w:color w:val="000000"/>
          <w:sz w:val="22"/>
        </w:rPr>
        <w:t>13.</w:t>
      </w:r>
      <w:r>
        <w:rPr>
          <w:rFonts w:ascii="Times New Roman;serif" w:hAnsi="Times New Roman;serif"/>
          <w:b/>
          <w:color w:val="000000"/>
          <w:sz w:val="22"/>
        </w:rPr>
        <w:t>No Guarantee of Continued Employment</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Granting of an option under this Plan shall imply no right of continued employment with the Company for any Eligible Employee.</w:t>
      </w:r>
    </w:p>
    <w:p>
      <w:pPr>
        <w:pStyle w:val="TextBody"/>
        <w:bidi w:val="0"/>
        <w:spacing w:lineRule="auto" w:line="288" w:before="0" w:after="240"/>
        <w:jc w:val="left"/>
        <w:rPr/>
      </w:pPr>
      <w:r>
        <w:rPr>
          <w:rFonts w:ascii="Times New Roman;serif" w:hAnsi="Times New Roman;serif"/>
          <w:b/>
          <w:color w:val="000000"/>
          <w:sz w:val="22"/>
        </w:rPr>
        <w:t>14.</w:t>
      </w:r>
      <w:r>
        <w:rPr>
          <w:rFonts w:ascii="Times New Roman;serif" w:hAnsi="Times New Roman;serif"/>
          <w:b/>
          <w:color w:val="000000"/>
          <w:sz w:val="22"/>
        </w:rPr>
        <w:t>Notice</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Any notice which an Eligible Employee or Participant files pursuant to this Plan shall be in writing and shall be delivered personally or by mail addressed to Haemonetics Corporation, 125 Summer Street, Boston, Massachusetts 02110 Attn: General Counsel and Corporate Secretary. Any notice to a Participant or an Eligible Employee shall be conspicuously posted in the Company's principal office or shall be mailed addressed to the Participant or Eligible Employee at the address designated in the Stock Purchase Agreement or in a subsequent writing.</w:t>
      </w:r>
    </w:p>
    <w:p>
      <w:pPr>
        <w:pStyle w:val="TextBody"/>
        <w:bidi w:val="0"/>
        <w:spacing w:lineRule="auto" w:line="288" w:before="0" w:after="240"/>
        <w:jc w:val="left"/>
        <w:rPr/>
      </w:pPr>
      <w:r>
        <w:rPr>
          <w:rFonts w:ascii="Times New Roman;serif" w:hAnsi="Times New Roman;serif"/>
          <w:b/>
          <w:color w:val="000000"/>
          <w:sz w:val="22"/>
        </w:rPr>
        <w:t>15.</w:t>
      </w:r>
      <w:r>
        <w:rPr>
          <w:rFonts w:ascii="Times New Roman;serif" w:hAnsi="Times New Roman;serif"/>
          <w:b/>
          <w:color w:val="000000"/>
          <w:sz w:val="22"/>
        </w:rPr>
        <w:t>Application of Funds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All funds deducted from a Participant's wages in payment for shares purchased or to be purchased under this Plan may be used for any valid corporate purpose provided that the Participant's Account shall be credited with the amount of all payroll deductions as provided in Section 7.</w:t>
      </w:r>
    </w:p>
    <w:p>
      <w:pPr>
        <w:pStyle w:val="TextBody"/>
        <w:bidi w:val="0"/>
        <w:spacing w:lineRule="auto" w:line="288" w:before="0" w:after="240"/>
        <w:jc w:val="left"/>
        <w:rPr/>
      </w:pPr>
      <w:r>
        <w:rPr>
          <w:rFonts w:ascii="Times New Roman;serif" w:hAnsi="Times New Roman;serif"/>
          <w:b/>
          <w:color w:val="000000"/>
          <w:sz w:val="22"/>
        </w:rPr>
        <w:t>16.</w:t>
      </w:r>
      <w:r>
        <w:rPr>
          <w:rFonts w:ascii="Times New Roman;serif" w:hAnsi="Times New Roman;serif"/>
          <w:b/>
          <w:color w:val="000000"/>
          <w:sz w:val="22"/>
        </w:rPr>
        <w:t>Government Approvals or Consents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This Plan and any offering and sales to Eligible Employees under it are subject to any governmental approvals or consents that may be or become applicable in connection therewith. Subject to the provisions of Section 17, the Board of Directors of the Company may make such changes in the Plan and include such terms in any offering under this Plan as may be necessary or desirable, in the opinion of counsel, to comply with the rules or regulations of any governmental authority, or to be eligible for tax benefits under the Code or the laws of any state.</w:t>
      </w:r>
    </w:p>
    <w:p>
      <w:pPr>
        <w:pStyle w:val="TextBody"/>
        <w:bidi w:val="0"/>
        <w:spacing w:before="0" w:after="2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60655"/>
                <wp:effectExtent l="0" t="0" r="0" b="0"/>
                <wp:wrapNone/>
                <wp:docPr id="29" name="Frame2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color w:val="000000"/>
          <w:sz w:val="22"/>
        </w:rPr>
        <w:t>17.</w:t>
      </w:r>
      <w:r>
        <w:rPr>
          <w:rFonts w:ascii="Times New Roman;serif" w:hAnsi="Times New Roman;serif"/>
          <w:b/>
          <w:color w:val="000000"/>
          <w:sz w:val="22"/>
        </w:rPr>
        <w:t>Amendment of the Plan</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The Board of Directors may, without the consent of the Participants, amend the Plan at any time, provided that no such action shall adversely affect options theretofore granted hereunder, and provided that no such action by the Board of Directors without approval of the Company's stockholders may: (a) increase the total number of shares of Common Stock which may be purchased by all Participants; or (b) change the class of corporations whose employees may be eligible to receive options under the Plan.</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For purposes of this Section 17, administrative changes to the Plan’s administration, including changes to the length of the Purchase Period and the establishment or revisions of foreign currency exchange ratios, and termination of the Plan by the Board of Directors pursuant to Section 18, shall not be deemed to be an action which adversely affects options granted under the Plan.</w:t>
      </w:r>
    </w:p>
    <w:p>
      <w:pPr>
        <w:pStyle w:val="TextBody"/>
        <w:bidi w:val="0"/>
        <w:spacing w:lineRule="auto" w:line="288" w:before="0" w:after="240"/>
        <w:jc w:val="left"/>
        <w:rPr/>
      </w:pPr>
      <w:r>
        <w:rPr>
          <w:rFonts w:ascii="Times New Roman;serif" w:hAnsi="Times New Roman;serif"/>
          <w:b/>
          <w:color w:val="000000"/>
          <w:sz w:val="22"/>
        </w:rPr>
        <w:t>18.</w:t>
      </w:r>
      <w:r>
        <w:rPr>
          <w:rFonts w:ascii="Times New Roman;serif" w:hAnsi="Times New Roman;serif"/>
          <w:b/>
          <w:color w:val="000000"/>
          <w:sz w:val="22"/>
        </w:rPr>
        <w:t>Term of the Plan</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The Plan, as amended, shall become effective on the Effective Date and continue in effect through December 31, 2036, provided, however, that the Board of Directors shall have the right to terminate the Plan at any time. In the event of the expiration of the Plan or its termination, all options then outstanding under the Plan shall automatically be cancelled and the entire amount credited to the Account of each Participant hereunder shall be refunded to each such Participant.</w:t>
      </w:r>
    </w:p>
    <w:p>
      <w:pPr>
        <w:pStyle w:val="TextBody"/>
        <w:bidi w:val="0"/>
        <w:spacing w:lineRule="auto" w:line="288" w:before="0" w:after="240"/>
        <w:jc w:val="left"/>
        <w:rPr/>
      </w:pPr>
      <w:r>
        <w:rPr>
          <w:rFonts w:ascii="Times New Roman;serif" w:hAnsi="Times New Roman;serif"/>
          <w:b/>
          <w:color w:val="000000"/>
          <w:sz w:val="22"/>
        </w:rPr>
        <w:t>19.</w:t>
      </w:r>
      <w:r>
        <w:rPr>
          <w:rFonts w:ascii="Times New Roman;serif" w:hAnsi="Times New Roman;serif"/>
          <w:b/>
          <w:color w:val="000000"/>
          <w:sz w:val="22"/>
        </w:rPr>
        <w:t>Withholding of Additional Income Taxes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By electing to participate in the Plan, each Participant acknowledges that the Company is required to withhold taxes with respect to the amounts deducted from the Participant's compensation and accumulated for the benefit of the Participant under the Plan and each Participant agrees that the Company may deduct additional amounts from the Participant's compensation, when amounts are added to the Participant's account, used to purchase Common Stock or refunded, in order to satisfy such withholding obligation. Each Participant further acknowledges that when Common Stock is purchased under the Plan, the Company may be required to withhold taxes with respect to all or a portion of the difference between the fair market value of the Common Stock purchased and its purchase price, and each Participant agrees that such taxes may be withheld from compensation otherwise payable to such Participant. It is intended that tax withholding will be accomplished in such a manner that the full amount of payroll deductions elected by the Participant under Section 6 will be used to purchase Common Stock. However, if amounts sufficient to satisfy applicable tax withholding obligations have not been withheld from compensation otherwise payable to any Participant, then, notwithstanding any other provisions of the Plan, the Company may withhold such taxes from the Participant's accumulated payroll deductions and apply the net amount to the purchase of Common Stock, unless the Participant pays to the Company, prior to the exercise date, an amount sufficient to satisfy such withholding obligations. Each Participant further acknowledges that the Company may be required to withhold taxes in connection with the disposition of stock acquired under the Plan and agrees that the Company may take whatever action it considers appropriate to satisfy such withholding requirements, including deducting from compensation otherwise payable to such Participant an amount sufficient to satisfy such withholding requirements or conditioning any disposition of Common Stock by the Participant upon the payment to the Company of an amount sufficient to satisfy such withholding requirements.</w:t>
      </w:r>
    </w:p>
    <w:p>
      <w:pPr>
        <w:pStyle w:val="TextBody"/>
        <w:bidi w:val="0"/>
        <w:spacing w:before="0" w:after="2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60655"/>
                <wp:effectExtent l="0" t="0" r="0" b="0"/>
                <wp:wrapNone/>
                <wp:docPr id="30" name="Frame3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color w:val="000000"/>
          <w:sz w:val="22"/>
        </w:rPr>
        <w:t>20.</w:t>
      </w:r>
      <w:r>
        <w:rPr>
          <w:rFonts w:ascii="Times New Roman;serif" w:hAnsi="Times New Roman;serif"/>
          <w:b/>
          <w:color w:val="000000"/>
          <w:sz w:val="22"/>
        </w:rPr>
        <w:t>Corporate Transactions</w:t>
      </w:r>
    </w:p>
    <w:p>
      <w:pPr>
        <w:pStyle w:val="TextBody"/>
        <w:bidi w:val="0"/>
        <w:spacing w:lineRule="auto" w:line="288" w:before="0" w:after="240"/>
        <w:ind w:left="0" w:right="0" w:firstLine="1440"/>
        <w:jc w:val="left"/>
        <w:rPr/>
      </w:pPr>
      <w:r>
        <w:rPr>
          <w:rFonts w:ascii="Times New Roman;serif" w:hAnsi="Times New Roman;serif"/>
          <w:b w:val="false"/>
          <w:color w:val="000000"/>
          <w:sz w:val="22"/>
        </w:rPr>
        <w:t>(a)</w:t>
      </w:r>
      <w:r>
        <w:rPr>
          <w:rFonts w:ascii="Times New Roman;serif" w:hAnsi="Times New Roman;serif"/>
          <w:b w:val="false"/>
          <w:color w:val="000000"/>
          <w:sz w:val="22"/>
        </w:rPr>
        <w:t>In the event of a proposed Corporate Transaction (as defined below), each option under the Plan will be assumed by such successor corporation or a parent or subsidiary of such successor corporation, unless the Board of Directors or the Committee, in the exercise of its sole discretion and in lieu of such assumption, determines to (x) terminate the Plan as of the end of the Purchase Period immediately preceding the effective date of the Corporate Transaction and promptly refund to Participants all payroll deductions accumulated through such effective date or (y) shorten the Purchase Period then in progress by setting a new Exercise Date (the “</w:t>
      </w:r>
      <w:r>
        <w:rPr>
          <w:rFonts w:ascii="Times New Roman;serif" w:hAnsi="Times New Roman;serif"/>
          <w:b w:val="false"/>
          <w:color w:val="000000"/>
          <w:sz w:val="22"/>
          <w:u w:val="single"/>
        </w:rPr>
        <w:t>New Exercise Date</w:t>
      </w:r>
      <w:r>
        <w:rPr>
          <w:color w:val="000000"/>
        </w:rPr>
        <w:t>”</w:t>
      </w:r>
      <w:r>
        <w:rPr>
          <w:rFonts w:ascii="Times New Roman;serif" w:hAnsi="Times New Roman;serif"/>
          <w:b w:val="false"/>
          <w:color w:val="000000"/>
          <w:sz w:val="22"/>
        </w:rPr>
        <w:t>). If the Board of Directors or the Committee determines to shorten the Purchase Period then in progress, the Board of Directors or the Committee will notify each Participant in writing at least ten (10) business days prior to the New Exercise Date, that the Exercise Date for the Participant’s option has been changed to the New Exercise Date and that either:</w:t>
      </w:r>
    </w:p>
    <w:p>
      <w:pPr>
        <w:pStyle w:val="TextBody"/>
        <w:bidi w:val="0"/>
        <w:spacing w:lineRule="auto" w:line="288" w:before="0" w:after="240"/>
        <w:ind w:left="0" w:right="0" w:firstLine="2160"/>
        <w:jc w:val="left"/>
        <w:rPr/>
      </w:pPr>
      <w:r>
        <w:rPr>
          <w:rFonts w:ascii="Times New Roman;serif" w:hAnsi="Times New Roman;serif"/>
          <w:b w:val="false"/>
          <w:color w:val="000000"/>
          <w:sz w:val="22"/>
        </w:rPr>
        <w:t>(i)</w:t>
      </w:r>
      <w:r>
        <w:rPr>
          <w:rFonts w:ascii="Times New Roman;serif" w:hAnsi="Times New Roman;serif"/>
          <w:b w:val="false"/>
          <w:color w:val="000000"/>
          <w:sz w:val="22"/>
        </w:rPr>
        <w:t>the Participant’s option will be exercised automatically on the New Exercise Date, unless prior to such date the Participant has withdrawn from the Purchase Period as provided in Section 9; or</w:t>
      </w:r>
    </w:p>
    <w:p>
      <w:pPr>
        <w:pStyle w:val="TextBody"/>
        <w:bidi w:val="0"/>
        <w:spacing w:lineRule="auto" w:line="288" w:before="0" w:after="240"/>
        <w:ind w:left="0" w:right="0" w:firstLine="2160"/>
        <w:jc w:val="left"/>
        <w:rPr/>
      </w:pPr>
      <w:r>
        <w:rPr>
          <w:rFonts w:ascii="Times New Roman;serif" w:hAnsi="Times New Roman;serif"/>
          <w:b w:val="false"/>
          <w:color w:val="000000"/>
          <w:sz w:val="22"/>
        </w:rPr>
        <w:t>(ii)</w:t>
      </w:r>
      <w:r>
        <w:rPr>
          <w:rFonts w:ascii="Times New Roman;serif" w:hAnsi="Times New Roman;serif"/>
          <w:b w:val="false"/>
          <w:color w:val="000000"/>
          <w:sz w:val="22"/>
        </w:rPr>
        <w:t>the Company will pay to the Participant on the New Exercise Date an amount in cash, cash equivalents, or property as determined by the Board of Directors or the Committee that is equal to the excess, if any, of (x) the fair market value of the shares subject to the option over (y) the Purchase Price due had the Participant’s option been exercised automatically under Subsection (a)(i) above. In addition, all remaining accumulated payroll deduction amounts will be returned to the Participant.</w:t>
      </w:r>
    </w:p>
    <w:p>
      <w:pPr>
        <w:pStyle w:val="TextBody"/>
        <w:bidi w:val="0"/>
        <w:spacing w:lineRule="auto" w:line="288" w:before="0" w:after="240"/>
        <w:ind w:left="0" w:right="0" w:firstLine="1440"/>
        <w:jc w:val="left"/>
        <w:rPr/>
      </w:pPr>
      <w:r>
        <w:rPr>
          <w:rFonts w:ascii="Times New Roman;serif" w:hAnsi="Times New Roman;serif"/>
          <w:b w:val="false"/>
          <w:color w:val="000000"/>
          <w:sz w:val="22"/>
        </w:rPr>
        <w:t>(b)</w:t>
      </w:r>
      <w:r>
        <w:rPr>
          <w:rFonts w:ascii="Times New Roman;serif" w:hAnsi="Times New Roman;serif"/>
          <w:b w:val="false"/>
          <w:color w:val="000000"/>
          <w:sz w:val="22"/>
        </w:rPr>
        <w:t>For purposes of this Section 20, an option granted under the Plan will be deemed to be assumed if, in connection with the Corporate Transaction, the option is replaced with a comparable option with respect to shares of capital stock of the successor corporation or parent thereof. The determination of option comparability will be made by the Board of Directors or the Committee prior to the Corporate Transaction and its determination will be final, binding and conclusive on all persons.</w:t>
      </w:r>
    </w:p>
    <w:p>
      <w:pPr>
        <w:pStyle w:val="TextBody"/>
        <w:bidi w:val="0"/>
        <w:spacing w:lineRule="auto" w:line="288" w:before="0" w:after="240"/>
        <w:ind w:left="0" w:right="0" w:firstLine="1440"/>
        <w:jc w:val="left"/>
        <w:rPr/>
      </w:pPr>
      <w:r>
        <w:rPr>
          <w:rFonts w:ascii="Times New Roman;serif" w:hAnsi="Times New Roman;serif"/>
          <w:b w:val="false"/>
          <w:color w:val="000000"/>
          <w:sz w:val="22"/>
        </w:rPr>
        <w:t>(c)</w:t>
      </w:r>
      <w:r>
        <w:rPr>
          <w:color w:val="000000"/>
        </w:rPr>
        <w:t>“</w:t>
      </w:r>
      <w:r>
        <w:rPr>
          <w:rFonts w:ascii="Times New Roman;serif" w:hAnsi="Times New Roman;serif"/>
          <w:b w:val="false"/>
          <w:color w:val="000000"/>
          <w:sz w:val="22"/>
          <w:u w:val="single"/>
        </w:rPr>
        <w:t>Corporate Transaction</w:t>
      </w:r>
      <w:r>
        <w:rPr>
          <w:color w:val="000000"/>
        </w:rPr>
        <w:t xml:space="preserve">” </w:t>
      </w:r>
      <w:r>
        <w:rPr>
          <w:rFonts w:ascii="Times New Roman;serif" w:hAnsi="Times New Roman;serif"/>
          <w:b w:val="false"/>
          <w:color w:val="000000"/>
          <w:sz w:val="22"/>
        </w:rPr>
        <w:t>means the earliest to occur of the following events: (i) a person, or any two or more persons acting as a group, and all affiliates of such person or persons, who prior to such time owned less than thirty-five percent (35%) of the then outstanding shares of Common Stock, shall acquire such additional shares of Common Stock in one or more transactions, or series of transactions, such that following such transaction or transactions such person or group and affiliates beneficially own thirty-five percent (35%) or more of Common Stock outstanding; (ii) closing of the sale of all or substantially all of the assets of the Company on a consolidated basis to an unrelated person or entity, and; (iii) there is a consummation of any merger, reorganization, consolidation or share exchange unless the persons who were the beneficial owners of the outstanding shares of Common Stock immediately before the consummation of such transaction beneficially own more than 50% of the outstanding shares of the common stock of the successor or survivor entity in such transaction immediately following the consummation of such transaction. For purposes of this Section 20(c)(iii), the percentage of the beneficially owned shares of the successor or survivor entity described above shall be determined exclusively by reference to the shares of the successor or survivor entity which result from the beneficial ownership of shares of common stock of the Company by the persons described above immediately before the consummation of such transaction.</w:t>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60655"/>
                <wp:effectExtent l="0" t="0" r="0" b="0"/>
                <wp:wrapNone/>
                <wp:docPr id="31" name="Frame3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color w:val="000000"/>
          <w:sz w:val="22"/>
        </w:rPr>
        <w:t>21.</w:t>
      </w:r>
      <w:r>
        <w:rPr>
          <w:rFonts w:ascii="Times New Roman;serif" w:hAnsi="Times New Roman;serif"/>
          <w:b/>
          <w:color w:val="000000"/>
          <w:sz w:val="22"/>
        </w:rPr>
        <w:t>General</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Except as specifically provided in a retirement or other benefit plan of the Company or a participating subsidiary of the Company, participation in the Plan will not be deemed compensation for purposes of computing benefits or contributions under any retirement plan of the Company or a participating subsidiary of the Company, and will not affect any benefits under any other benefit plan of any kind or any benefit plan subsequently instituted under which the availability or amount of benefits is related to level of compensation. The Plan is not a “Retirement Plan” or “Welfare Plan” under the Employee Retirement Income Security Act of 1974, as amended. Whenever the context of this Plan permits, the masculine gender shall include the feminine and neuter genders.</w:t>
      </w:r>
    </w:p>
    <w:tbl>
      <w:tblPr>
        <w:tblW w:w="10205" w:type="dxa"/>
        <w:jc w:val="left"/>
        <w:tblInd w:w="0" w:type="dxa"/>
        <w:tblLayout w:type="fixed"/>
        <w:tblCellMar>
          <w:top w:w="28" w:type="dxa"/>
          <w:left w:w="28" w:type="dxa"/>
          <w:bottom w:w="28" w:type="dxa"/>
          <w:right w:w="28" w:type="dxa"/>
        </w:tblCellMar>
      </w:tblPr>
      <w:tblGrid>
        <w:gridCol w:w="723"/>
        <w:gridCol w:w="636"/>
        <w:gridCol w:w="638"/>
        <w:gridCol w:w="2829"/>
        <w:gridCol w:w="2224"/>
        <w:gridCol w:w="3155"/>
      </w:tblGrid>
      <w:tr>
        <w:trPr/>
        <w:tc>
          <w:tcPr>
            <w:tcW w:w="723"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829" w:type="dxa"/>
            <w:tcBorders/>
            <w:vAlign w:val="center"/>
          </w:tcPr>
          <w:p>
            <w:pPr>
              <w:pStyle w:val="TableContents"/>
              <w:bidi w:val="0"/>
              <w:spacing w:before="0" w:after="283"/>
              <w:jc w:val="left"/>
              <w:rPr>
                <w:sz w:val="4"/>
                <w:szCs w:val="4"/>
              </w:rPr>
            </w:pPr>
            <w:r>
              <w:rPr>
                <w:sz w:val="4"/>
                <w:szCs w:val="4"/>
              </w:rPr>
            </w:r>
          </w:p>
        </w:tc>
        <w:tc>
          <w:tcPr>
            <w:tcW w:w="2224" w:type="dxa"/>
            <w:tcBorders/>
            <w:vAlign w:val="center"/>
          </w:tcPr>
          <w:p>
            <w:pPr>
              <w:pStyle w:val="TableContents"/>
              <w:bidi w:val="0"/>
              <w:spacing w:before="0" w:after="283"/>
              <w:jc w:val="left"/>
              <w:rPr>
                <w:sz w:val="4"/>
                <w:szCs w:val="4"/>
              </w:rPr>
            </w:pPr>
            <w:r>
              <w:rPr>
                <w:sz w:val="4"/>
                <w:szCs w:val="4"/>
              </w:rPr>
            </w:r>
          </w:p>
        </w:tc>
        <w:tc>
          <w:tcPr>
            <w:tcW w:w="3155" w:type="dxa"/>
            <w:tcBorders/>
            <w:vAlign w:val="center"/>
          </w:tcPr>
          <w:p>
            <w:pPr>
              <w:pStyle w:val="TableContents"/>
              <w:bidi w:val="0"/>
              <w:spacing w:before="0" w:after="283"/>
              <w:jc w:val="left"/>
              <w:rPr>
                <w:sz w:val="4"/>
                <w:szCs w:val="4"/>
              </w:rPr>
            </w:pPr>
            <w:r>
              <w:rPr>
                <w:sz w:val="4"/>
                <w:szCs w:val="4"/>
              </w:rPr>
            </w:r>
          </w:p>
        </w:tc>
      </w:tr>
      <w:tr>
        <w:trPr/>
        <w:tc>
          <w:tcPr>
            <w:tcW w:w="199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Plan Amendments</w:t>
            </w:r>
          </w:p>
        </w:tc>
        <w:tc>
          <w:tcPr>
            <w:tcW w:w="820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Purpose of Amendments</w:t>
            </w:r>
          </w:p>
        </w:tc>
      </w:tr>
      <w:tr>
        <w:trPr/>
        <w:tc>
          <w:tcPr>
            <w:tcW w:w="199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As amended December 3, 2012 </w:t>
            </w:r>
          </w:p>
        </w:tc>
        <w:tc>
          <w:tcPr>
            <w:tcW w:w="820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To adjust available shares under Section 4 to reflect share dividend.</w:t>
            </w:r>
          </w:p>
        </w:tc>
      </w:tr>
      <w:tr>
        <w:trPr/>
        <w:tc>
          <w:tcPr>
            <w:tcW w:w="199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amended April 7, 2016</w:t>
            </w:r>
          </w:p>
        </w:tc>
        <w:tc>
          <w:tcPr>
            <w:tcW w:w="820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To increase the number of shares available under the Plan, extend the Plan’s term and make administrative revisions, including updated price calculations and treatment in a change of control transaction.</w:t>
            </w:r>
          </w:p>
        </w:tc>
      </w:tr>
      <w:tr>
        <w:trPr/>
        <w:tc>
          <w:tcPr>
            <w:tcW w:w="199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amended May 15, 2026</w:t>
            </w:r>
          </w:p>
        </w:tc>
        <w:tc>
          <w:tcPr>
            <w:tcW w:w="8208"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To extend the Plan’s term and make administrative revisions, including an updated definition of “Basic Compensation”.</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48" w:before="0" w:after="0"/>
        <w:jc w:val="right"/>
        <w:rPr>
          <w:rFonts w:ascii="Times New Roman;serif" w:hAnsi="Times New Roman;serif"/>
          <w:b/>
          <w:color w:val="000000"/>
          <w:sz w:val="22"/>
        </w:rPr>
      </w:pPr>
      <w:r>
        <w:rPr>
          <w:rFonts w:ascii="Times New Roman;serif" w:hAnsi="Times New Roman;serif"/>
          <w:b/>
          <w:color w:val="000000"/>
          <w:sz w:val="22"/>
        </w:rPr>
        <w:t>Exhibit 99.1</w:t>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60655"/>
                <wp:effectExtent l="0" t="0" r="0" b="0"/>
                <wp:wrapNone/>
                <wp:docPr id="32" name="Frame3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drawing>
          <wp:inline distT="0" distB="0" distL="0" distR="0">
            <wp:extent cx="2162175" cy="190500"/>
            <wp:effectExtent l="0" t="0" r="0" b="0"/>
            <wp:docPr id="3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 descr=""/>
                    <pic:cNvPicPr>
                      <a:picLocks noChangeAspect="1" noChangeArrowheads="1"/>
                    </pic:cNvPicPr>
                  </pic:nvPicPr>
                  <pic:blipFill>
                    <a:blip r:embed="rId2"/>
                    <a:stretch>
                      <a:fillRect/>
                    </a:stretch>
                  </pic:blipFill>
                  <pic:spPr bwMode="auto">
                    <a:xfrm>
                      <a:off x="0" y="0"/>
                      <a:ext cx="2162175" cy="190500"/>
                    </a:xfrm>
                    <a:prstGeom prst="rect">
                      <a:avLst/>
                    </a:prstGeom>
                  </pic:spPr>
                </pic:pic>
              </a:graphicData>
            </a:graphic>
          </wp:inline>
        </w:drawing>
      </w:r>
    </w:p>
    <w:p>
      <w:pPr>
        <w:pStyle w:val="TextBody"/>
        <w:bidi w:val="0"/>
        <w:spacing w:before="0" w:after="0"/>
        <w:jc w:val="left"/>
        <w:rPr/>
      </w:pPr>
      <w:r>
        <w:rPr/>
      </w:r>
    </w:p>
    <w:tbl>
      <w:tblPr>
        <w:tblW w:w="9913" w:type="dxa"/>
        <w:jc w:val="center"/>
        <w:tblInd w:w="0" w:type="dxa"/>
        <w:tblLayout w:type="fixed"/>
        <w:tblCellMar>
          <w:top w:w="28" w:type="dxa"/>
          <w:left w:w="28" w:type="dxa"/>
          <w:bottom w:w="28" w:type="dxa"/>
          <w:right w:w="28" w:type="dxa"/>
        </w:tblCellMar>
      </w:tblPr>
      <w:tblGrid>
        <w:gridCol w:w="1928"/>
        <w:gridCol w:w="1692"/>
        <w:gridCol w:w="1704"/>
        <w:gridCol w:w="1340"/>
        <w:gridCol w:w="1340"/>
        <w:gridCol w:w="1909"/>
      </w:tblGrid>
      <w:tr>
        <w:trPr/>
        <w:tc>
          <w:tcPr>
            <w:tcW w:w="1928"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909"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Investor Contacts</w:t>
            </w:r>
          </w:p>
        </w:tc>
        <w:tc>
          <w:tcPr>
            <w:tcW w:w="4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Media Contact</w:t>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Olga Guyette, Vice President-Investor Relations &amp; Treasury</w:t>
            </w:r>
          </w:p>
        </w:tc>
        <w:tc>
          <w:tcPr>
            <w:tcW w:w="4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Josh Gitelson, Sr. Director-Global Communications</w:t>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(781) 356-9763</w:t>
            </w:r>
          </w:p>
        </w:tc>
        <w:tc>
          <w:tcPr>
            <w:tcW w:w="4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(781) 356-9776</w:t>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FF"/>
                <w:sz w:val="20"/>
                <w:u w:val="single"/>
              </w:rPr>
            </w:pPr>
            <w:r>
              <w:rPr>
                <w:rFonts w:ascii="Arial;sans-serif" w:hAnsi="Arial;sans-serif"/>
                <w:b w:val="false"/>
                <w:color w:val="0000FF"/>
                <w:sz w:val="20"/>
                <w:u w:val="single"/>
              </w:rPr>
              <w:t>olga.guyette@haemonetics.com</w:t>
            </w:r>
          </w:p>
        </w:tc>
        <w:tc>
          <w:tcPr>
            <w:tcW w:w="45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FF"/>
                <w:sz w:val="20"/>
                <w:u w:val="single"/>
              </w:rPr>
            </w:pPr>
            <w:r>
              <w:rPr>
                <w:rFonts w:ascii="Arial;sans-serif" w:hAnsi="Arial;sans-serif"/>
                <w:b w:val="false"/>
                <w:color w:val="0000FF"/>
                <w:sz w:val="20"/>
                <w:u w:val="single"/>
              </w:rPr>
              <w:t>josh.gitelson@haemonetics.com</w:t>
            </w:r>
          </w:p>
        </w:tc>
      </w:tr>
      <w:tr>
        <w:trPr/>
        <w:tc>
          <w:tcPr>
            <w:tcW w:w="5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David Trenk, Sr. Manager-Investor Relations</w:t>
            </w:r>
          </w:p>
        </w:tc>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(203) 733-4987</w:t>
            </w:r>
          </w:p>
        </w:tc>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FF"/>
                <w:sz w:val="20"/>
                <w:u w:val="single"/>
              </w:rPr>
            </w:pPr>
            <w:r>
              <w:rPr>
                <w:rFonts w:ascii="Arial;sans-serif" w:hAnsi="Arial;sans-serif"/>
                <w:b w:val="false"/>
                <w:color w:val="0000FF"/>
                <w:sz w:val="20"/>
                <w:u w:val="single"/>
              </w:rPr>
              <w:t>david.trenk@haemonetics.com</w:t>
            </w:r>
          </w:p>
        </w:tc>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Martin Madaus Elected to Haemonetics Board of Directors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BOSTON, July 28, 2026</w:t>
      </w:r>
      <w:r>
        <w:rPr>
          <w:color w:val="000000"/>
        </w:rPr>
        <w:t> </w:t>
      </w:r>
      <w:r>
        <w:rPr>
          <w:rFonts w:ascii="Arial;sans-serif" w:hAnsi="Arial;sans-serif"/>
          <w:b w:val="false"/>
          <w:color w:val="000000"/>
          <w:sz w:val="20"/>
        </w:rPr>
        <w:t>-- Haemonetics Corporation (NYSE: HAE) a global medical technology company focused on delivering innovative medical solutions to drive better patient outcomes, announced today that Martin Madaus has been elected to the Company’s Board of Directors, effective July 24,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Dr. Madaus brings more than 30 years of leadership experience in the diagnostics and life sciences tools industries, having helped drive corporate strategy, commercial growth and operational transformation as both a chief executive officer and a board member. He currently serves as Senior Operating Executive at The Carlyle Group, where since 2019 he has advised on healthcare investments and portfolio company performance. Previously, Dr. Madaus served as Chairman and Chief Executive Officer of Ortho Clinical Diagnostics, Inc. (now QuidelOrtho Corporation), a global provider of in vitro diagnostics, where he led the company’s business turnaround following its carve-out from Johnson &amp; Johnson. Earlier, as Chairman, President and Chief Executive Officer of Millipore Corporation, he led the company's transformation into a leading life sciences company, culminating in its acquisition by Merck KGaA in 2010. Before Millipore, Dr. Madaus served as President and Chief Executive Officer of Roche Diagnostics North America.</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addition to his executive leadership experience, Dr. Madaus is an active board leader and currently serves as Chair of the Board of Repligen Corporation and as a member of the board of directors of Azenta, Inc. He holds a Doctor of Veterinary Medicine from the University of Munich in Germany and a Ph.D. in Veterinary Medicine from the Veterinary School of Hanover in Germany.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"Martin has built and transformed some of the world's leading healthcare companies and brings deep operational, commercial and strategic leadership experience to our Board," said Ellen Zane, Chair of Haemonetics' Board of Directors. "His track record of leading complex global organizations, driving operational excellence and creating shareholder value will be invaluable as Haemonetics continues to execute its strategy, expand its leadership across attractive end markets and deliver long-term value for patients, customers and shareholders."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ABOUT HAEMONETICS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Haemonetics is a global medical technology company dedicated to improving the quality, effectiveness and efficiency of health care. Our Apheresis business features proprietary technologies designed to enhance safety, yield, donor satisfaction and operational efficiency for plasma and blood collectors around the world. Our MedSurg business offers Blood Management Technologies to help inform treatment decisions and optimize the management of blood products, and Interventional Technologies, including advanced vascular closure systems and sensor-guided technologies, designed to drive procedural effectiveness and elevate the patient experience. To learn more about Haemonetics, visit </w:t>
      </w:r>
      <w:r>
        <w:rPr>
          <w:rFonts w:ascii="Arial;sans-serif" w:hAnsi="Arial;sans-serif"/>
          <w:b w:val="false"/>
          <w:color w:val="ED002F"/>
          <w:sz w:val="20"/>
        </w:rPr>
        <w:t>www.haemonetics.com</w:t>
      </w:r>
      <w:r>
        <w:rPr>
          <w:rFonts w:ascii="Arial;sans-serif" w:hAnsi="Arial;sans-serif"/>
          <w:b w:val="false"/>
          <w:color w:val="000000"/>
          <w:sz w:val="20"/>
        </w:rPr>
        <w: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50520"/>
                <wp:effectExtent l="0" t="0" r="0" b="0"/>
                <wp:wrapNone/>
                <wp:docPr id="34" name="Frame3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righ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31</Pages>
  <Words>16891</Words>
  <Characters>89006</Characters>
  <CharactersWithSpaces>105473</CharactersWithSpaces>
  <Paragraphs>452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