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0"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28, 2024</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4200" w:right="1420" w:hanging="3956"/>
        <w:spacing w:after="0" w:line="520" w:lineRule="auto"/>
        <w:tabs>
          <w:tab w:leader="none" w:pos="66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001-14041</w:t>
      </w: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HAEMONETICS CORPORATION</w:t>
      </w:r>
    </w:p>
    <w:p>
      <w:pPr>
        <w:spacing w:after="0" w:line="72"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00" w:type="dxa"/>
            <w:vAlign w:val="bottom"/>
          </w:tcPr>
          <w:p>
            <w:pPr>
              <w:spacing w:after="0"/>
              <w:rPr>
                <w:sz w:val="20"/>
                <w:szCs w:val="20"/>
                <w:color w:val="auto"/>
              </w:rPr>
            </w:pPr>
          </w:p>
        </w:tc>
      </w:tr>
      <w:tr>
        <w:trPr>
          <w:trHeight w:val="313"/>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04-2882273</w:t>
            </w:r>
          </w:p>
        </w:tc>
      </w:tr>
      <w:tr>
        <w:trPr>
          <w:trHeight w:val="189"/>
        </w:trPr>
        <w:tc>
          <w:tcPr>
            <w:tcW w:w="6380" w:type="dxa"/>
            <w:vAlign w:val="bottom"/>
          </w:tcPr>
          <w:p>
            <w:pPr>
              <w:jc w:val="center"/>
              <w:ind w:right="3431"/>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50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638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9"/>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297"/>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9"/>
              </w:rPr>
              <w:t>(781) 848-7100</w:t>
            </w:r>
          </w:p>
        </w:tc>
        <w:tc>
          <w:tcPr>
            <w:tcW w:w="1500" w:type="dxa"/>
            <w:vAlign w:val="bottom"/>
          </w:tcPr>
          <w:p>
            <w:pPr>
              <w:spacing w:after="0"/>
              <w:rPr>
                <w:sz w:val="24"/>
                <w:szCs w:val="24"/>
                <w:color w:val="auto"/>
              </w:rPr>
            </w:pPr>
          </w:p>
        </w:tc>
      </w:tr>
      <w:tr>
        <w:trPr>
          <w:trHeight w:val="210"/>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500" w:type="dxa"/>
            <w:vAlign w:val="bottom"/>
          </w:tcPr>
          <w:p>
            <w:pPr>
              <w:spacing w:after="0"/>
              <w:rPr>
                <w:sz w:val="18"/>
                <w:szCs w:val="18"/>
                <w:color w:val="auto"/>
              </w:rPr>
            </w:pPr>
          </w:p>
        </w:tc>
      </w:tr>
    </w:tbl>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2"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4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2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HAE</w:t>
            </w:r>
          </w:p>
        </w:tc>
        <w:tc>
          <w:tcPr>
            <w:tcW w:w="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9" w:lineRule="exact"/>
        <w:rPr>
          <w:sz w:val="24"/>
          <w:szCs w:val="24"/>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7"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760"/>
              <w:spacing w:after="0"/>
              <w:rPr>
                <w:sz w:val="20"/>
                <w:szCs w:val="20"/>
                <w:color w:val="auto"/>
              </w:rPr>
            </w:pPr>
            <w:r>
              <w:rPr>
                <w:rFonts w:ascii="Wingdings" w:cs="Wingdings" w:eastAsia="Wingdings" w:hAnsi="Wingdings"/>
                <w:sz w:val="22"/>
                <w:szCs w:val="22"/>
                <w:b w:val="1"/>
                <w:bCs w:val="1"/>
                <w:color w:val="auto"/>
              </w:rPr>
              <w:t>x</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0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4" w:lineRule="exact"/>
        <w:rPr>
          <w:sz w:val="24"/>
          <w:szCs w:val="24"/>
          <w:color w:val="auto"/>
        </w:rPr>
      </w:pPr>
    </w:p>
    <w:p>
      <w:pPr>
        <w:ind w:right="206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of $0.01 par value common stock outstanding as of February 3, 2025: 50,237,466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20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0" w:type="dxa"/>
            <w:vAlign w:val="bottom"/>
            <w:gridSpan w:val="25"/>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ITEM 1. Financial Statements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Income and Comprehensive Income - Three and Nine Months Ended December 28,</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8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2024 and December 30, 2023</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 - December 28, 2024 and Consolidated Balance Sheet - March 30, 2024</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w:t>
            </w:r>
            <w:r>
              <w:rPr>
                <w:rFonts w:ascii="Times New Roman" w:cs="Times New Roman" w:eastAsia="Times New Roman" w:hAnsi="Times New Roman"/>
                <w:sz w:val="18"/>
                <w:szCs w:val="18"/>
                <w:u w:val="single" w:color="auto"/>
                <w:color w:val="0E32E1"/>
              </w:rPr>
              <w:t>’</w:t>
            </w:r>
            <w:r>
              <w:rPr>
                <w:rFonts w:ascii="Times New Roman" w:cs="Times New Roman" w:eastAsia="Times New Roman" w:hAnsi="Times New Roman"/>
                <w:sz w:val="18"/>
                <w:szCs w:val="18"/>
                <w:color w:val="0000FF"/>
              </w:rPr>
              <w:t xml:space="preserve"> Equity - Three and Nine Months Ended December 28, 2024 and</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top w:val="single" w:sz="8" w:color="0000FF"/>
              <w:bottom w:val="single" w:sz="8" w:color="0000FF"/>
            </w:tcBorders>
            <w:gridSpan w:val="3"/>
          </w:tcPr>
          <w:p>
            <w:pPr>
              <w:spacing w:after="0" w:line="136" w:lineRule="exact"/>
              <w:rPr>
                <w:sz w:val="20"/>
                <w:szCs w:val="20"/>
                <w:color w:val="auto"/>
              </w:rPr>
            </w:pPr>
            <w:r>
              <w:rPr>
                <w:rFonts w:ascii="Times New Roman" w:cs="Times New Roman" w:eastAsia="Times New Roman" w:hAnsi="Times New Roman"/>
                <w:sz w:val="15"/>
                <w:szCs w:val="15"/>
                <w:color w:val="0000FF"/>
              </w:rPr>
              <w:t>December 30, 2023</w:t>
            </w:r>
          </w:p>
        </w:tc>
        <w:tc>
          <w:tcPr>
            <w:tcW w:w="3180" w:type="dxa"/>
            <w:vAlign w:val="bottom"/>
            <w:tcBorders>
              <w:top w:val="single" w:sz="8" w:color="0000FF"/>
            </w:tcBorders>
            <w:gridSpan w:val="11"/>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2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 Nine Months Ended December 28, 2024 and December 30, 2023</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75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66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6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ITEM 4. Controls and Procedures</w:t>
            </w:r>
          </w:p>
        </w:tc>
        <w:tc>
          <w:tcPr>
            <w:tcW w:w="2700" w:type="dxa"/>
            <w:vAlign w:val="bottom"/>
            <w:tcBorders>
              <w:top w:val="single" w:sz="8" w:color="0000FF"/>
            </w:tcBorders>
            <w:gridSpan w:val="8"/>
          </w:tcPr>
          <w:p>
            <w:pPr>
              <w:spacing w:after="0"/>
              <w:rPr>
                <w:sz w:val="24"/>
                <w:szCs w:val="24"/>
                <w:color w:val="auto"/>
              </w:rPr>
            </w:pPr>
          </w:p>
        </w:tc>
        <w:tc>
          <w:tcPr>
            <w:tcW w:w="488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7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1. Legal Proceedings</w:t>
            </w:r>
          </w:p>
        </w:tc>
        <w:tc>
          <w:tcPr>
            <w:tcW w:w="744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1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10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52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ITEM 2. Unregistered Sales of Equity Securities and Use of Proceeds</w:t>
            </w:r>
          </w:p>
        </w:tc>
        <w:tc>
          <w:tcPr>
            <w:tcW w:w="492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3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708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5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766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1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rPr>
              <w:t>ITEM 6. Exhibits</w:t>
            </w:r>
          </w:p>
        </w:tc>
        <w:tc>
          <w:tcPr>
            <w:tcW w:w="8060" w:type="dxa"/>
            <w:vAlign w:val="bottom"/>
            <w:gridSpan w:val="1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860" w:type="dxa"/>
            <w:vAlign w:val="bottom"/>
            <w:gridSpan w:val="2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60" w:type="dxa"/>
            <w:vAlign w:val="bottom"/>
            <w:gridSpan w:val="2"/>
          </w:tcPr>
          <w:p>
            <w:pPr>
              <w:spacing w:after="0"/>
              <w:rPr>
                <w:sz w:val="24"/>
                <w:szCs w:val="24"/>
                <w:color w:val="auto"/>
              </w:rPr>
            </w:pPr>
          </w:p>
        </w:tc>
        <w:tc>
          <w:tcPr>
            <w:tcW w:w="1140" w:type="dxa"/>
            <w:vAlign w:val="bottom"/>
            <w:tcBorders>
              <w:top w:val="single" w:sz="8" w:color="0000FF"/>
            </w:tcBorders>
            <w:gridSpan w:val="2"/>
          </w:tcPr>
          <w:p>
            <w:pPr>
              <w:spacing w:after="0"/>
              <w:rPr>
                <w:sz w:val="24"/>
                <w:szCs w:val="24"/>
                <w:color w:val="auto"/>
              </w:rPr>
            </w:pPr>
          </w:p>
        </w:tc>
        <w:tc>
          <w:tcPr>
            <w:tcW w:w="6380" w:type="dxa"/>
            <w:vAlign w:val="bottom"/>
            <w:gridSpan w:val="18"/>
          </w:tcPr>
          <w:p>
            <w:pPr>
              <w:jc w:val="right"/>
              <w:ind w:right="192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left="360" w:right="166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INCOME AND COMPREHENSIVE INCOME (Unaudited in thousands, except per share data)</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5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965,765</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450,123</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515,642</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38,578</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320,518</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w:t>
            </w: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380,702</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134,940</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128,451</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31,260</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97,191</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70"/>
        </w:trPr>
        <w:tc>
          <w:tcPr>
            <w:tcW w:w="5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50,679</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51,394</w:t>
            </w:r>
          </w:p>
        </w:tc>
      </w:tr>
      <w:tr>
        <w:trPr>
          <w:trHeight w:val="270"/>
        </w:trPr>
        <w:tc>
          <w:tcPr>
            <w:tcW w:w="5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4"/>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103,190</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28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30,</w:t>
            </w:r>
          </w:p>
        </w:tc>
        <w:tc>
          <w:tcPr>
            <w:tcW w:w="0" w:type="dxa"/>
            <w:vAlign w:val="bottom"/>
          </w:tcPr>
          <w:p>
            <w:pPr>
              <w:spacing w:after="0"/>
              <w:rPr>
                <w:sz w:val="1"/>
                <w:szCs w:val="1"/>
                <w:color w:val="auto"/>
              </w:rPr>
            </w:pPr>
          </w:p>
        </w:tc>
      </w:tr>
      <w:tr>
        <w:trPr>
          <w:trHeight w:val="214"/>
        </w:trPr>
        <w:tc>
          <w:tcPr>
            <w:tcW w:w="7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$5,986 at December 28, 2024 and $5,695 at March 30, 2024</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206,562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317,202</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66,339</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1,005,868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768,903</w:t>
            </w:r>
          </w:p>
        </w:tc>
        <w:tc>
          <w:tcPr>
            <w:tcW w:w="0" w:type="dxa"/>
            <w:vAlign w:val="bottom"/>
          </w:tcPr>
          <w:p>
            <w:pPr>
              <w:spacing w:after="0"/>
              <w:rPr>
                <w:sz w:val="1"/>
                <w:szCs w:val="1"/>
                <w:color w:val="auto"/>
              </w:rPr>
            </w:pPr>
          </w:p>
        </w:tc>
      </w:tr>
      <w:tr>
        <w:trPr>
          <w:trHeight w:val="207"/>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311,362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less accumulated amortization of $311,596 at December 28, 2024 and $455,213 at March 30, 2024</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406,117</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565,082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136,388</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2,531,270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2,195,591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73,358</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80,708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136,088</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253,233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300,383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1,219,762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797,564</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75,041</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Common stock, $0.01 par value; Authorized — 150,000,000 shares; Issued and outstanding — 50,235,051 shares at</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28, 2024 and 50,787,859 shares at March 30, 2024</w:t>
            </w: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634,627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360,456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(35,632)</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906,860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959,959</w:t>
            </w:r>
          </w:p>
        </w:tc>
        <w:tc>
          <w:tcPr>
            <w:tcW w:w="0" w:type="dxa"/>
            <w:vAlign w:val="bottom"/>
          </w:tcPr>
          <w:p>
            <w:pPr>
              <w:spacing w:after="0"/>
              <w:rPr>
                <w:sz w:val="1"/>
                <w:szCs w:val="1"/>
                <w:color w:val="auto"/>
              </w:rPr>
            </w:pPr>
          </w:p>
        </w:tc>
      </w:tr>
      <w:tr>
        <w:trPr>
          <w:trHeight w:val="212"/>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2,531,270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2,195,591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420" w:right="226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STOCKHOLDERS’ EQUITY (Unaudited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80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280" w:type="dxa"/>
            <w:vAlign w:val="bottom"/>
          </w:tcPr>
          <w:p>
            <w:pPr>
              <w:spacing w:after="0"/>
              <w:rPr>
                <w:sz w:val="5"/>
                <w:szCs w:val="5"/>
                <w:color w:val="auto"/>
              </w:rPr>
            </w:pPr>
          </w:p>
        </w:tc>
        <w:tc>
          <w:tcPr>
            <w:tcW w:w="920" w:type="dxa"/>
            <w:vAlign w:val="bottom"/>
          </w:tcPr>
          <w:p>
            <w:pPr>
              <w:jc w:val="right"/>
              <w:ind w:right="389"/>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30, 2024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634,627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360,456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959,959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(9,759)</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capped call related to convertible notes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7,628</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38,373</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0" w:type="dxa"/>
            <w:vAlign w:val="bottom"/>
          </w:tcPr>
          <w:p>
            <w:pPr>
              <w:spacing w:after="0"/>
              <w:rPr>
                <w:sz w:val="1"/>
                <w:szCs w:val="1"/>
                <w:color w:val="auto"/>
              </w:rPr>
            </w:pP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29,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51,153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560,881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386,642</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(42,667)</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905,368</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repurchased, including excise tax</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(75,241)</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6,857</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33,831</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w:t>
            </w: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28,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50,381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544,375</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368,536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(34,564)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878,851</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repurchased, including excise tax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12,761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5"/>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37,494</w:t>
            </w:r>
          </w:p>
        </w:tc>
        <w:tc>
          <w:tcPr>
            <w:tcW w:w="0" w:type="dxa"/>
            <w:vAlign w:val="bottom"/>
          </w:tcPr>
          <w:p>
            <w:pPr>
              <w:spacing w:after="0"/>
              <w:rPr>
                <w:sz w:val="1"/>
                <w:szCs w:val="1"/>
                <w:color w:val="auto"/>
              </w:rPr>
            </w:pPr>
          </w:p>
        </w:tc>
      </w:tr>
      <w:tr>
        <w:trPr>
          <w:trHeight w:val="196"/>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(20,937)</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28, 2024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569,629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392,230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906,860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78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4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80" w:type="dxa"/>
            <w:vAlign w:val="bottom"/>
          </w:tcPr>
          <w:p>
            <w:pPr>
              <w:spacing w:after="0"/>
              <w:rPr>
                <w:sz w:val="14"/>
                <w:szCs w:val="14"/>
                <w:color w:val="auto"/>
              </w:rPr>
            </w:pPr>
          </w:p>
        </w:tc>
        <w:tc>
          <w:tcPr>
            <w:tcW w:w="920" w:type="dxa"/>
            <w:vAlign w:val="bottom"/>
            <w:vMerge w:val="restart"/>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2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line="20" w:lineRule="exact"/>
              <w:rPr>
                <w:sz w:val="1"/>
                <w:szCs w:val="1"/>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1,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594,706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253,168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817,997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41,042</w:t>
            </w:r>
          </w:p>
        </w:tc>
        <w:tc>
          <w:tcPr>
            <w:tcW w:w="0" w:type="dxa"/>
            <w:vAlign w:val="bottom"/>
          </w:tcPr>
          <w:p>
            <w:pPr>
              <w:spacing w:after="0"/>
              <w:rPr>
                <w:sz w:val="1"/>
                <w:szCs w:val="1"/>
                <w:color w:val="auto"/>
              </w:rPr>
            </w:pPr>
          </w:p>
        </w:tc>
      </w:tr>
      <w:tr>
        <w:trPr>
          <w:trHeight w:val="196"/>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1,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609,610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284,017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864,616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24,908</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50,740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616,960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308,898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(32,705)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893,660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7,217</w:t>
            </w:r>
          </w:p>
        </w:tc>
        <w:tc>
          <w:tcPr>
            <w:tcW w:w="0" w:type="dxa"/>
            <w:vAlign w:val="bottom"/>
          </w:tcPr>
          <w:p>
            <w:pPr>
              <w:spacing w:after="0"/>
              <w:rPr>
                <w:sz w:val="1"/>
                <w:szCs w:val="1"/>
                <w:color w:val="auto"/>
              </w:rPr>
            </w:pPr>
          </w:p>
        </w:tc>
      </w:tr>
      <w:tr>
        <w:trPr>
          <w:trHeight w:val="195"/>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30,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50,785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627,094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340,099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(24,382)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943,319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21"/>
        </w:trPr>
        <w:tc>
          <w:tcPr>
            <w:tcW w:w="7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60" w:type="dxa"/>
            <w:vAlign w:val="bottom"/>
          </w:tcPr>
          <w:p>
            <w:pPr>
              <w:spacing w:after="0"/>
              <w:rPr>
                <w:sz w:val="10"/>
                <w:szCs w:val="10"/>
                <w:color w:val="auto"/>
              </w:rPr>
            </w:pPr>
          </w:p>
        </w:tc>
        <w:tc>
          <w:tcPr>
            <w:tcW w:w="1320" w:type="dxa"/>
            <w:vAlign w:val="bottom"/>
          </w:tcPr>
          <w:p>
            <w:pPr>
              <w:jc w:val="right"/>
              <w:ind w:right="340"/>
              <w:spacing w:after="0" w:line="122" w:lineRule="exact"/>
              <w:rPr>
                <w:sz w:val="20"/>
                <w:szCs w:val="20"/>
                <w:color w:val="auto"/>
              </w:rPr>
            </w:pPr>
            <w:r>
              <w:rPr>
                <w:rFonts w:ascii="Times New Roman" w:cs="Times New Roman" w:eastAsia="Times New Roman" w:hAnsi="Times New Roman"/>
                <w:sz w:val="13"/>
                <w:szCs w:val="13"/>
                <w:b w:val="1"/>
                <w:bCs w:val="1"/>
                <w:color w:val="auto"/>
              </w:rPr>
              <w:t>December 30,</w:t>
            </w:r>
          </w:p>
        </w:tc>
      </w:tr>
      <w:tr>
        <w:trPr>
          <w:trHeight w:val="166"/>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3"/>
        </w:trPr>
        <w:tc>
          <w:tcPr>
            <w:tcW w:w="7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109,698</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97,191</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items: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69,576</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fair value inventory step-up</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20,912</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10,419</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repurchase of convertible senior notes,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Inventory reserve adjustment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6,904</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Gains on sales of property, plant and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benefit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non-cash operating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w:t>
            </w: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operating assets and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accounts receivable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(27,743)</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inventories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(40,721)</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prepaid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other assets and other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(15,619)</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w:t>
            </w:r>
          </w:p>
        </w:tc>
      </w:tr>
      <w:tr>
        <w:trPr>
          <w:trHeight w:val="207"/>
        </w:trPr>
        <w:tc>
          <w:tcPr>
            <w:tcW w:w="7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117,670</w:t>
            </w:r>
          </w:p>
        </w:tc>
      </w:tr>
      <w:tr>
        <w:trPr>
          <w:trHeight w:val="21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(31,440)</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transfers from inventory to property, plant and equipment for Haemonetics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(25,171)</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(243,852)</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(10,129)</w:t>
            </w:r>
          </w:p>
        </w:tc>
      </w:tr>
      <w:tr>
        <w:trPr>
          <w:trHeight w:val="212"/>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(309,333)</w:t>
            </w: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convertible notes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convertible senior notes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capped call related to convertible notes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 loan borrowings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Term loan redemption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revolving facility</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on revolving facility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term loan borrowings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issuance costs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repurchases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r>
      <w:tr>
        <w:trPr>
          <w:trHeight w:val="213"/>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w:t>
            </w:r>
          </w:p>
        </w:tc>
      </w:tr>
      <w:tr>
        <w:trPr>
          <w:trHeight w:val="21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used to net share settle employee equity awards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12"/>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101,659</w:t>
            </w:r>
          </w:p>
        </w:tc>
      </w:tr>
      <w:tr>
        <w:trPr>
          <w:trHeight w:val="213"/>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1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(90,488)</w:t>
            </w:r>
          </w:p>
        </w:tc>
      </w:tr>
      <w:tr>
        <w:trPr>
          <w:trHeight w:val="213"/>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284,466</w:t>
            </w:r>
          </w:p>
        </w:tc>
      </w:tr>
      <w:tr>
        <w:trPr>
          <w:trHeight w:val="237"/>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320,846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193,978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right="8760" w:firstLine="8"/>
        <w:spacing w:after="0" w:line="565" w:lineRule="auto"/>
        <w:tabs>
          <w:tab w:leader="none" w:pos="1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Basis of Presentation</w:t>
      </w:r>
    </w:p>
    <w:p>
      <w:pPr>
        <w:spacing w:after="0" w:line="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nine months ended December 28, 2024 are not necessarily indicative of the results that may be expected for the full fiscal year ending March 29, 2025 or any other interim period. These unaudited condensed consolidated financial statements should be read in conjunction with the audited consolidated financial statements and footnotes included in the Annual Report on Form 10-K for the fiscal year ended March 30, 2024.</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or for the nine months ended December 28, 2024, except for those discussed in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7120" w:firstLine="8"/>
        <w:spacing w:after="0" w:line="51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Standards to be Implemented</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Codification (“ASC”) Update No. 2023-07, Segment Reporting (Topic 280). The new guidance requires public entities to provide expanded disclosures over significant segment expenses and additional disclosures related to the chief operating decision maker. ASC Update No. 2023-07 is effective for fiscal years beginning after December 15, 2023 and interim periods within fiscal years beginning after December 15, 2024, with early adoption permitted. The new guidance is applicable to Haemonetics beginning with the fiscal 2025 Annual Report on Form 10-K. The Company is currently evaluating the impact to its interim and annual report disclosures.</w:t>
      </w:r>
    </w:p>
    <w:p>
      <w:pPr>
        <w:spacing w:after="0" w:line="21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ASC Update No. 2023-09, Income Taxes (Topic 740). ASC Update No. 2023-09 requires public entities to provide detailed income tax disclosures, including rate reconciliations and disaggregated income tax payment information, on an annual basis. The updated guidance is effective for fiscal years beginning after December 15, 2024 and early adoption is permitted. ASC Update No. 2023-09 is applicable to Haemonetics beginning with the fiscal 2026 Annual Report on Form 10-K and the Company is currently evaluating the impact to its annual report disclosures.</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ASC Update No. 2024-03, Income Statement - Reporting Comprehensive Income - Expense Disaggregation Disclosures (Subtopic 220-40). ASC Update No. 2024-03 requires detailed cost and expense information disaggregated in the financial statement notes. The updated guidance is effective for fiscal years beginning after December 15, 2026 and interim reporting periods within annual reporting periods beginning after December 15, 2027, with early adoption permitted. ASC Update No. 2024-03 is applicable to Haemonetics beginning with the fiscal 2028 Annual Report on Form 10-K and the Company is currently evaluating the impact to its interim and annual report disclosures.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DIVESTITURES AND STRATEGIC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Attune Medical</w:t>
      </w:r>
    </w:p>
    <w:p>
      <w:pPr>
        <w:spacing w:after="0" w:line="25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On March 5, 2024, the Company entered into a definitive agreement to acquire Advanced Cooling Therapy, Inc., d/b/a Attune Medical (“Attune Medical”), the manufacturer of the ensoETM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proactive esophageal cooling device, pursuant to which, among other things, the Company agreed to acquire all of the issued and outstanding common shares of Attune Medical. On April 1, 2024, the Company completed its acquisition of Attune Medical for total consideration of $187.7 million, which included an upfront cash payment of $162.0 million, or $150.5 million net of cash acquired, the fair value of contingent consideration of $25.3 million, and $0.4 million of working capital adjustments. The contingent consideration is based on sales growth over the next three years, which is uncapped, and the achievement of certain other milestones. The Company financed the acquisition through a combination of cash on hand and borrowings under its senior unsecured revolving credit facility.</w:t>
      </w:r>
    </w:p>
    <w:p>
      <w:pPr>
        <w:spacing w:after="0" w:line="2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Company’s addition of the Esophageal Protection product line through its acquisition of Attune Medical expands the Hospital business unit’s presence in electrophysiology and complements its Vascular Closure product line within Interventional Technologies, which is included in the Hospital reportable segment.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spacing w:after="0" w:line="20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purchase price of $176.2 million, net of $11.5 million of cash acquired, consists of the amounts presented below, which represent the final determination of the fair value of the identifiable assets acquired and liabilities assumed: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1, 2024</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56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207,246</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5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6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56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31,040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176,206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0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56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was valued using the excess earnings method. Customer contracts and related relationships were valued using the distributor method. The trademark was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Attune Medical, the Company recognized goodwill of $70.3 million based on expected synergies from integration into our Hospital business. The goodwill is not deductible for tax purposes and relates entirely to the Hospital reportable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6"/>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1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vMerge w:val="continue"/>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Rates used in Purchase</w:t>
            </w:r>
          </w:p>
        </w:tc>
        <w:tc>
          <w:tcPr>
            <w:tcW w:w="0" w:type="dxa"/>
            <w:vAlign w:val="bottom"/>
          </w:tcPr>
          <w:p>
            <w:pPr>
              <w:spacing w:after="0"/>
              <w:rPr>
                <w:sz w:val="1"/>
                <w:szCs w:val="1"/>
                <w:color w:val="auto"/>
              </w:rPr>
            </w:pPr>
          </w:p>
        </w:tc>
      </w:tr>
      <w:tr>
        <w:trPr>
          <w:trHeight w:val="198"/>
        </w:trPr>
        <w:tc>
          <w:tcPr>
            <w:tcW w:w="6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105,800</w:t>
            </w:r>
          </w:p>
        </w:tc>
        <w:tc>
          <w:tcPr>
            <w:tcW w:w="1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recorded a long-term net deferred tax liability of $26.2 million primarily related to fair value adjustments recorded associated with definite-lived intangible assets and inventory in which there is no tax basis, partially offset by deferred tax assets primarily related to net operating losses acquired.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2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incurred $9.8 million of acquisition-related costs during the first quarter of fiscal 2025 in connection with the Attune Medical acquisition. These costs related to legal and other professional fees, which were recognized in selling, general and administrative on the Condensed Consolidated Statements of Income.</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results of Attune Medical from the date the acquisition was completed. Pro forma financial information has not been presented as the acquisition is not material to the Company’s overall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OpSens Inc.</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total consideration of approximately $254.5 million, or $243.9 million, net of cash acquired. The Company financed the acquisition through a combination of cash on hand and borrowings under its senior unsecured revolving credit facility.</w:t>
      </w:r>
    </w:p>
    <w:p>
      <w:pPr>
        <w:spacing w:after="0" w:line="210"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OpSens offers commercially and clinically validated optical technology for use primarily in interventional cardiology. OpSens’ core products include the SavvyWire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sensor-guided 3-in-1 guidewire for TAVR procedures, advancing the workflow of the procedure and enabling potentially shorter hospital stays for patients; and the OptoWire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spacing w:after="0" w:line="20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purchase price of $243.9 million, net of $10.6 million of cash acquired, consists of the amounts presented below, which represent the final determination of the fair value of the identifiable assets acquired and liabilities assumed: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12, 2023</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279,230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35,378</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OpSens, the Company recognized goodwill of $79.4 million based on expected synergies from integration into our Hospital business. The goodwill is not deductible for tax purposes and relates entirely to the Hospital reportable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9"/>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1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Rates used in Purchase</w:t>
            </w: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172,000</w:t>
            </w:r>
          </w:p>
        </w:tc>
        <w:tc>
          <w:tcPr>
            <w:tcW w:w="1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recorded a net long-term deferred tax liability of $14.8 million, primarily as a result of fair value adjustments recorded associated with definite-lived intangible assets and inventory in which there is no tax basis.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2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incurred $6.6 million of acquisition-related costs for fiscal 2024 in connection with the OpSens acquisition. These costs related to legal and other professional fees, which were recognized in selling, general and administrative on the Condensed Consolidated Statements of Income.</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results of OpSens from the date the acquisition was completed. Pro forma financial information has not been presented as the acquisition is not material to the Company’s overall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the Whole Blood Product Line</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3, 2024, the Company announced that it had entered into a definitive agreement to sell its Whole Blood product line and related assets within its Blood Center business unit to GVS, S.p.A (“GVS”), a manufacturer of filter solutions for applications in the healthcare and life sciences sectors. The divested assets include the Company’s complete portfolio of proprietary whole blood collection, processing and filtration solutions, along with the Company’s manufacturing facility in Covina, California where certain of these products are produced, and related equipment and assets located at the Company’s manufacturing facility in Tijuana, Mexico. On January 13, 2024, subsequent to the third quarter ended December 28, 2024, the Company completed the transaction with GVS for total cash consideration of up to $67.8 million, which includes $45.3 million upfront and up to $22.5 million in contingent consideration, based on sales growth over the next three years and the achievement of certain other milestones. As the related assets are considered held for sale as of December 28, 2024, the Company has reclassified $34.7 million of inventory, $7.3 million of property, plant and equipment, $4.5 million of goodwill and $0.5 million of accrued liabilities to Prepaid expenses and other current assets and other current liabilities in the Condensed Consolidated Balance Sheets, which were previously included in the Blood Center reportable segment.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part of the Company’s business development activities, it holds strategic investments in certain entities. As of December 28, 2024, the Company has made total investments in Vivasure Medical LTD (“Vivasure”) of €35 million. The investments include both preferred stock and a special share that allows the Company to acquire Vivasure in accordance with an agreement between the parties. In addition, the Company made certain other strategic investments totaling $14.0 million and $7.6 million during fiscal 2025 and 2024, respectively. The Company’s strategic investments are classified as other long-term assets on the Company’s Condensed Consolidated Balance Sheets and the Company has not recorded any material adjustments to the carrying value of the Company’s strategic investments during three and nine months ended December 28, 2024 and December 30,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28, 2024, the Company had $33.3 million of transaction price allocated to remaining performance obligations related to executed contracts with an original duration of one year or more. The Company expects to recognize approximately 75% of this amount as revenue within the next twelve months and the remaining balance thereafter.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28, 2024 and March 30, 2024, the Company had contract liabilities of $35.6 million and $31.2 million, respectively. During the three and nine months ended December 28, 2024, the Company recognized $4.9 million and $26.7 million of revenue, respectively, that was included in the above March 30, 2024 contract liability balance. Contract liabilities are classified as other current liabilities on the Condensed Consolidated Balance Sheet. As of December 28, 2024 and March 30, 2024, the Company’s contract assets were immaterial.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Program</w:t>
      </w:r>
    </w:p>
    <w:p>
      <w:pPr>
        <w:spacing w:after="0" w:line="25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expects to incur aggregate charges of approximately $85.0 million by the end of fiscal 2025 under the program. The majority of charges will result in cash outlays, including severance and other employee costs, and will be incurred as the specific actions required to execute these initiatives are identified and approved. During the three and nine months ended December 28, 2024, the Company incurred $1.9 million and $6.0 million, respectively, of restructuring and restructuring related costs under this program. During the three and nine months ended December 30, 2023, the Company incurred $2.6 million and $6.8 million, respectively, of restructuring and restructuring related costs under this program. Total cumulative charges under this program are $83.0 million through December 28,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Rationalization Initiatives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2023, the Company announced its plans to end of life the ClotPro analyzer system within the Hospital business unit and certain products within the Blood Center business unit, primarily in Whole Blood, including the associated manufacturing operations and closure of certain other facilities. In the three and nine months ended December 28, 2024, the Company incurred $3.1 million and $12.5 million of expenses, respectively, of restructuring and restructuring related costs in connection with these portfolio rationalization initiatives. In both the three and nine months ended December 30, 2023, the Company incurred $7.8 million of restructuring and related costs related to these portfolio rationalization initiatives.</w:t>
      </w:r>
    </w:p>
    <w:p>
      <w:pPr>
        <w:spacing w:after="0" w:line="2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restructuring reserves related to the portfolio rationalization initiatives and the 2020 Program for the nine months ended December 28, 2024, which relates to employee severance, other employee costs, inventory reserves and lease termination fees: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Rationalization</w:t>
            </w:r>
          </w:p>
        </w:tc>
        <w:tc>
          <w:tcPr>
            <w:tcW w:w="22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2020 Program</w:t>
            </w:r>
          </w:p>
        </w:tc>
        <w:tc>
          <w:tcPr>
            <w:tcW w:w="36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r>
      <w:tr>
        <w:trPr>
          <w:trHeight w:val="248"/>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restructuring costs by line item within our accompanying unaudited Condensed Consolidated Statements of Income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3"/>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28, 2024, the Company had a restructuring liability of $4.6 million, all of which is payable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restructuring expenses included in the table above, the Company also incurred costs that do not constitute restructuring costs under ASC 420, </w:t>
      </w:r>
      <w:r>
        <w:rPr>
          <w:rFonts w:ascii="Times New Roman" w:cs="Times New Roman" w:eastAsia="Times New Roman" w:hAnsi="Times New Roman"/>
          <w:sz w:val="18"/>
          <w:szCs w:val="18"/>
          <w:i w:val="1"/>
          <w:iCs w:val="1"/>
          <w:color w:val="auto"/>
        </w:rPr>
        <w:t>Exit and Disposal Cost Obligations,</w:t>
      </w:r>
      <w:r>
        <w:rPr>
          <w:rFonts w:ascii="Times New Roman" w:cs="Times New Roman" w:eastAsia="Times New Roman" w:hAnsi="Times New Roman"/>
          <w:sz w:val="18"/>
          <w:szCs w:val="18"/>
          <w:color w:val="auto"/>
        </w:rPr>
        <w:t xml:space="preserve"> and which the Company instead refers to as restructuring related costs. These costs consist primarily of expenditures directly related to the restructuring 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restructuring and restructuring related costs by reportable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related costs</w:t>
            </w: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restructuring and restructuring related costs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4,983</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1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 Company’s effective tax rate is adversely impacted by non-deductible expenses including executive compensation and transaction costs.</w:t>
      </w:r>
    </w:p>
    <w:p>
      <w:pPr>
        <w:spacing w:after="0" w:line="20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For the three and nine months ended December 28, 2024, the Company reported income tax expense of $12.4 million and $31.6 million, respectively, representing effective tax rates of 24.9% and 22.4%. The effective tax rate for the nine months ended December 28, 2024 includes $3.3 million of discrete tax benefit, primarily related to stock compensation windfalls. The discrete benefit also includes other items such as provision to return differences.</w:t>
      </w:r>
    </w:p>
    <w:p>
      <w:pPr>
        <w:spacing w:after="0" w:line="18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December 30, 2023, the Company reported income tax expense of $12.8 million and $31.3 million, respectively, representing effective tax rates of 29.0% and 24.3%, respectively. The effective tax rate for the nine months ended December 30, 2023 includes $1.1 million of discrete tax benefit, of which $2.6 million relates to stock compensation windfalls, partially offset by other discrete items.</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decrease in the reported tax rate for the three months ended December 28, 2024, compared to the same period in fiscal 2024, relates primarily to the decrease in non-deductible acquisition-related expenses. The decrease in the reported tax rate for the nine months ended December 28, 2024, compared to the same period in fiscal 2024, relates primarily to increased discrete tax benefits year-over-year and decreased non-deductible acquisition-related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6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50,679</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effect of common stock equivalents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outstanding convertible senior notes as determined under the net share settlement method. From the time of the issuance of the convertible senior notes, the average market price of the Company's common shares has been less than the applicable initial conversion prices, and consequently no shares have been included in diluted earnings per share for the conversion values of both convertible senior notes. For the three and nine months ended December 28, 2024, weighted average shares outstanding, assuming dilution, excludes the impact of $0.8 million anti-dilutive shares for both periods. For the three and nine months ended December 30, 2023, weighted average shares outstanding, assuming dilution, excludes the impact of $0.6 million anti-dilutive shares for both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August 2022, the Company announced that its Board of Directors had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21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October 2024, the Company completed a $75.0 million repurchase of its common stock pursuant to an accelerated share repurchase agreement (“ASR”) entered into with Citibank N.A. (“Citibank”) in August 2024. The total number of shares repurchased under the ASR was 1.0 million at an average price per share upon final settlement of $74.36. As of December 28, 2024, the total remaining authorization for repurchases of the Company's common stock under the share repurchase program was $150.0 million.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25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w:t>
      </w:r>
    </w:p>
    <w:p>
      <w:pPr>
        <w:sectPr>
          <w:pgSz w:w="11900" w:h="16838" w:orient="portrait"/>
          <w:cols w:equalWidth="0" w:num="1">
            <w:col w:w="11240"/>
          </w:cols>
          <w:pgMar w:left="320" w:top="121" w:right="339" w:bottom="1440" w:gutter="0" w:footer="0" w:header="0"/>
        </w:sectPr>
      </w:pP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Work-in-process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inventories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1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300" w:type="dxa"/>
            <w:vAlign w:val="bottom"/>
          </w:tcPr>
          <w:p>
            <w:pPr>
              <w:spacing w:after="0"/>
              <w:rPr>
                <w:sz w:val="12"/>
                <w:szCs w:val="12"/>
                <w:color w:val="auto"/>
              </w:rPr>
            </w:pPr>
          </w:p>
        </w:tc>
        <w:tc>
          <w:tcPr>
            <w:tcW w:w="1300" w:type="dxa"/>
            <w:vAlign w:val="bottom"/>
          </w:tcPr>
          <w:p>
            <w:pPr>
              <w:jc w:val="right"/>
              <w:ind w:right="396"/>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5"/>
        </w:trPr>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134,150</w:t>
            </w:r>
          </w:p>
        </w:tc>
      </w:tr>
      <w:tr>
        <w:trPr>
          <w:trHeight w:val="229"/>
        </w:trPr>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w:t>
            </w:r>
          </w:p>
        </w:tc>
      </w:tr>
      <w:tr>
        <w:trPr>
          <w:trHeight w:val="234"/>
        </w:trPr>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225,505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167,564</w:t>
            </w: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359,614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317,202</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-334010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-633730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0" w:space="720"/>
            <w:col w:w="3300"/>
          </w:cols>
          <w:pgMar w:left="320" w:top="121" w:right="339" w:bottom="1440" w:gutter="0" w:footer="0" w:header="0"/>
          <w:type w:val="continuous"/>
        </w:sectPr>
      </w:pPr>
    </w:p>
    <w:p>
      <w:pPr>
        <w:spacing w:after="0" w:line="11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2025, the Company announced the divestiture of its Whole Blood product line within its Blood Center business unit and all related assets and liabilities were recognized as held for sale. The related inventory has a value of $34.7 million, which has been reclassified to Prepaid expenses and other current assets in the Condensed Consolidated Balance Sheets.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300" w:type="dxa"/>
            <w:vAlign w:val="bottom"/>
          </w:tcPr>
          <w:p>
            <w:pPr>
              <w:spacing w:after="0"/>
              <w:rPr>
                <w:sz w:val="13"/>
                <w:szCs w:val="13"/>
                <w:color w:val="auto"/>
              </w:rPr>
            </w:pPr>
          </w:p>
        </w:tc>
        <w:tc>
          <w:tcPr>
            <w:tcW w:w="13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6"/>
        </w:trPr>
        <w:tc>
          <w:tcPr>
            <w:tcW w:w="7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124,338</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204,622</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129,979</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456,414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0" w:type="dxa"/>
            <w:vAlign w:val="bottom"/>
          </w:tcPr>
          <w:p>
            <w:pPr>
              <w:spacing w:after="0"/>
              <w:rPr>
                <w:sz w:val="1"/>
                <w:szCs w:val="1"/>
                <w:color w:val="auto"/>
              </w:rPr>
            </w:pPr>
          </w:p>
        </w:tc>
      </w:tr>
      <w:tr>
        <w:trPr>
          <w:trHeight w:val="223"/>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959,177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(647,815)</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311,362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December 28, 2024, depreciation expense was $15.2 million and $44.8 million, respectively. During the three and nine months ended December 30, 2023, depreciation expense was $14.2 million and $41.1 million, respectively.</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2025, the Company announced the divestiture of its Whole Blood product line within its Blood Center business unit and all related assets and liabilities were recognized as held for sale. The related property, plant and equipment has a gross value of $39.8 million and a net carrying value of $7.3 million, which has been reclassified to Prepaid expenses and other current assets in the Condensed Consolidated Balance Sheets.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2025, the Company received $19.9 million of cash upon the sale of a manufacturing facility and related assets that previously met held for sale criteria, which resulted in a gain of $14.1 million that was recorded in selling, general and administrative expenses on the Condensed Consolidated Statements of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Activity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estimated stand-alone selling prices. Operating lease revenue represents less than 3 percent of the Company’s total 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operating segment for fiscal 2025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Plasma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Blood Center</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Hospital</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March 30, 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565,082</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69,542</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 as of December 28, 2024</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28,741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547,482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605,266</w:t>
            </w: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decrease in goodwill of $19.2 million for purchase accounting adjustments was primarily related to the Company obtaining additional facts and information to finalize the pre-acquisition tax returns and associated analyses for OpSens. This resulted in the Company revising its estimate of the net deferred tax liability recorded as of the acquisition date. Refer to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 xml:space="preserve"> for additional information regarding the acquisitions of OpSens and Attune Medical.</w:t>
      </w:r>
    </w:p>
    <w:p>
      <w:pPr>
        <w:spacing w:after="0" w:line="5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2025, the Company announced the divestiture of its Whole Blood product line within its Blood Center business unit and all related assets and liabilities were recognized as held for sale. The related goodwill of $4.5 million has been reclassified to Prepaid expenses and other current assets in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intangible assets and the related accumulated amortization as of December 28, 2024 and March 30, 2024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28, 2024</w:t>
            </w:r>
          </w:p>
        </w:tc>
        <w:tc>
          <w:tcPr>
            <w:tcW w:w="2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other</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770,463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311,596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3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2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0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30, 2024</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285,878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other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843,096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455,213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387,883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During fiscal 2025, the Company acquired Attune Medical and recorded $96.1 million of developed technology, $7.8 million of customer contracts and related relationships and $1.9 million of trade name intangibles based on the purchase accounting valuation. Refer to Note 3, </w:t>
      </w:r>
      <w:r>
        <w:rPr>
          <w:rFonts w:ascii="Times New Roman" w:cs="Times New Roman" w:eastAsia="Times New Roman" w:hAnsi="Times New Roman"/>
          <w:sz w:val="18"/>
          <w:szCs w:val="18"/>
          <w:i w:val="1"/>
          <w:iCs w:val="1"/>
          <w:color w:val="auto"/>
        </w:rPr>
        <w:t>Acquisitions, Divestitures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Strategic Investments, </w:t>
      </w:r>
      <w:r>
        <w:rPr>
          <w:rFonts w:ascii="Times New Roman" w:cs="Times New Roman" w:eastAsia="Times New Roman" w:hAnsi="Times New Roman"/>
          <w:sz w:val="18"/>
          <w:szCs w:val="18"/>
          <w:color w:val="auto"/>
        </w:rPr>
        <w:t>for additional information regarding the acquisition.</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2025, the Company announced the commercialization of MVP XL and moved the related in-process research and development intangible asset to developed technologies and commenced amortization. In the second quarter of fiscal 2024, the Company recorded an intangible asset impairment charge of $10.4 million related to the intangibles acquired as part of the enicor GmbH acquisition completed in fiscal 2021 within the Hospital business unit.</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2025, the Company announced the divestiture of its Whole Blood product line within its Blood Center business unit and all related assets and liabilities were recognized as held for sale. The related intangible assets are fully amortized and have a net book value of zero. The gross intangible assets value is $185.6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include the value assigned to license rights and other developed technology, patents, customer contracts and relationships and trade names.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of these intangible assets are approximately 5 to 15 years.</w:t>
      </w:r>
    </w:p>
    <w:p>
      <w:pPr>
        <w:spacing w:after="0" w:line="2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December 28, 2024, amortization expense was $13.9 million and $42.6 million, respectively. During the three and nine months ended December 30, 2023, amortization expense was $9.3 million and $28.5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annual amortization expense on intangible assets for the next five years is estimated to be as follows: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w:t>
            </w:r>
          </w:p>
        </w:tc>
      </w:tr>
      <w:tr>
        <w:trPr>
          <w:trHeight w:val="230"/>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49,879</w:t>
            </w:r>
          </w:p>
        </w:tc>
      </w:tr>
      <w:tr>
        <w:trPr>
          <w:trHeight w:val="230"/>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47,931</w:t>
            </w:r>
          </w:p>
        </w:tc>
      </w:tr>
      <w:tr>
        <w:trPr>
          <w:trHeight w:val="229"/>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46,160</w:t>
            </w:r>
          </w:p>
        </w:tc>
      </w:tr>
      <w:tr>
        <w:trPr>
          <w:trHeight w:val="230"/>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NOTES PAYABLE AND 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494,813</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financing fees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261,971</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1,219,762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797,564</w:t>
            </w:r>
          </w:p>
        </w:tc>
      </w:tr>
      <w:tr>
        <w:trPr>
          <w:trHeight w:val="21"/>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Notes</w:t>
      </w:r>
    </w:p>
    <w:p>
      <w:pPr>
        <w:spacing w:after="0" w:line="25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March 2021, the Company issued $500.0 million aggregate principal amount of 0% convertible senior notes due 2026 (the “2026 Notes”). The 2026 Notes are governed by the terms of the Indenture between the Company and U.S. Bank National Association, as trustee. The 2026 Notes will mature on March 1, 2026, unless earlier converted, redeemed or repurchased. In the first quarter of fiscal 2025, the Company repurchased $200.0 million of the aggregate principal amount for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which was recorded in Interest and other income (expense), net on the Condensed Consolidated Statements of Income.</w:t>
      </w:r>
    </w:p>
    <w:p>
      <w:pPr>
        <w:spacing w:after="0" w:line="21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2025, the conditions allowing holders of the 2026 Notes to convert have not been met. The 2026 Notes were therefore not convertible as of December 28, 2024 and were classified as long-term debt on the Company’s Condensed Consolidated Balance Sheets.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28, 2024, the $300.0 million principal balance was netted down by $1.9 million of remaining debt issuance costs, resulting in a net convertible note payable of $298.1 million. Interest expense related to the 2026 Notes was $0.4 million and $1.4 million for the three and nine months ended December 28, 2024, respectively, which is entirely attributable to the amortization of the debt issuance costs. The remaining debt issuance costs are amortized at an effective interest rate of 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 Notes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28, 2024, the Company issued $700.0 million aggregate principal amount of 2.5% convertible senior notes due 2029 (the “2029 Notes”). The 2029 Notes are governed by the terms of the Indenture between the Company and U.S. Bank National Association, as trustee. The total net proceeds from the sale of the 2029 Notes, after deducting the initial purchasers’ discounts and debt issuance costs, were $682.8 million, with a portion of funds used to repay the entirety of the balance on the revolving credit facility under the Company’s second amended and restated credit agreement, to repurchase a portion of the Company’s 2026 Notes, to complete capped call transactions in connection with the issuance of the 2029 Notes, as described further below, with the remaining proceeds available for other working capital requirements. The 2029 Notes will mature on June 1, 2029, unless earlier converted, redeemed or repurchased.</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December 1, 2028 only under the following circumstances:</w:t>
      </w:r>
    </w:p>
    <w:p>
      <w:pPr>
        <w:spacing w:after="0" w:line="189" w:lineRule="exact"/>
        <w:rPr>
          <w:sz w:val="20"/>
          <w:szCs w:val="20"/>
          <w:color w:val="auto"/>
        </w:rPr>
      </w:pPr>
    </w:p>
    <w:p>
      <w:pPr>
        <w:ind w:left="660" w:right="1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beginning after September 30,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206"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day of that period, the trading price per $1,000 principal amount of the 2029 Notes for such trading day was less than 98% of the product of the last reported sale price of the Company’s common stock and the applicable conversion rate on such trading day;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right="1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related redemption date if the Company calls the 2029 Notes for redemption.</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or after December 1, 2028, until the close of business on the second scheduled trading day immediately preceding the maturity date, holders may convert all or a portion of their 2029 Notes, in multiples of $1,000 principal amount, at any time, regardless of the foregoing circumstances. The conversion rate for the 2029 Notes is 8.5385 shares of common stock per $1,000 principal amount of notes (which is equal to an initial conversion price of approximately $117.12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2029 Notes in connection with such make-whole adjustment event, such holder may be entitled to an increase in the conversion rate as described in the Indenture.</w:t>
      </w:r>
    </w:p>
    <w:p>
      <w:pPr>
        <w:spacing w:after="0" w:line="21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2025, the conditions allowing holders of the 2029 Notes to convert have not been met. The 2029 Notes were therefore not convertible as of December 28, 2024 and were classified as long-term debt on the Company’s consolidated balance sheets.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2029 Notes will be redeemable, in whole or in part, at the Company’s option at any time, and from time to time, on or after June 5, 2027 and on or before the 50th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2029 Notes to be redeemed, plus accrued and unpaid interest to, but excluding the redemption date. Upon the occurrence of certain fundamental changes involving the Company, holders of the 2029 Notes may require the Company to repurchase for cash all or part of their 2029 Notes at a repurchase price equal to 100% of the principal amount of the 2029 Notes to be repurchased, plus accrued and unpaid interest.</w:t>
      </w:r>
    </w:p>
    <w:p>
      <w:pPr>
        <w:spacing w:after="0" w:line="200" w:lineRule="exact"/>
        <w:rPr>
          <w:sz w:val="20"/>
          <w:szCs w:val="20"/>
          <w:color w:val="auto"/>
        </w:rPr>
      </w:pPr>
    </w:p>
    <w:p>
      <w:pPr>
        <w:spacing w:after="0" w:line="2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a result of the issuance of the 2029 Notes, the Company recorded debt issuance costs of $17.2 million, which will be amortized to interest expense over the contractual term of the 2029 Notes at an effective interest rate of 3.0%.</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December 28, 2024, the $700.0 million principal balance was netted down by $15.4 million of remaining debt issuance costs, resulting in a net convertible note payable of $684.6 million. Interest expense related to the 2029 Notes was $5.2 million and $12.1 million for the three and nine months ended December 28, 2024, respectively, which includes nominal interest expense and the amortization of the debt issuance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2029 Notes, the Company entered into capped call transactions with certain counterparties (“Capped Calls”). The Capped Calls each have an initial strike price of approximately $117.12 per share, subject to certain adjustments, which corresponds to the initial conversion price of the 2029 Notes. The Capped Calls have initial cap prices of $180.18 per share, subject to certain adjustments. The Capped Calls are expected to partially offset the potential dilution to the Company’s common stock upon any conversion of the 2029 Notes, with such offset subject to a cap based on the cap price. The Capped Calls cover, subject to anti-dilution adjustments, approximately 5.98 million shares of the Company’s common stock. For accounting purposes, the Capped Calls are separate transactions, and not part of the 2029 Notes. As these transactions meet certain accounting criteria, the Capped Calls are recorded in stockholders’ equity and are not accounted for as derivatives. The cost of $88.2 million incurred to purchase the Capped Calls was recorded as a reduction to additional paid-in capital and will not be remeasured.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43"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its credit facilities initially entered into in 2018 and extend their maturity date through June 2025. The amended and restated credit agreement provided for a $280.0 million senior unsecured term loan and a $420.0 million senior unsecured revolving credit facility (together, the “2022 Revised Credit Facilities”) with applicable interest rates during the period established using an annual rate equal to the Adjusted Term SOFR Rate plus an applicable rate ranging from 1.125% to 1.750% based on the Company’s consolidated net leverage ratio, as specified in the agreement.</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spacing w:after="0" w:line="23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2024 Revised Credit Facilities, the Company is required to maintain a consolidated leverage ratio not to exceed 4.0:1.0 or, on up to two occasions during the term of the facility, 4.5:1.0 for the four consecutive fiscal quarters ended immediately following acquisitions meeting certain criteria specified in the agreement.</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applied modification accounting for the credit facility refinancing, which resulted in the capitalization of an additional $5.9 million in lender fees and third-party costs. During the three and nine months ended December 28, 2024, the Company recognized $4.6 million and $16.6 million, respectively, of interest expense and amortization of debt issuance costs related to its credit facilities.</w:t>
      </w:r>
    </w:p>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December 28, 2024, $246.9 million was outstanding under the term loan with an effective interest rate of 6.1%, which was netted down by the $5.6 million of remaining debt discount, resulting in a net note payable of $241.3 million. The Company has scheduled principal payments of $6.3 million required during the 12 months following December 28, 2024. There were no outstanding borrowings under the revolving credit facilities at December 28, 2024. The Company also had $18.0 million of uncommitted operating lines of credit to fund its global operations under which there were no outstanding borrowings as of December 28, 2024.</w:t>
      </w: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the consolidated net leverage and interest coverage ratios specified in the 2024 Revised Credit Facilities as well as all other bank covenants as of December 28, 2024.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aggregate amount of debt maturities are as follows: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4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4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306,349</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4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4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4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w:t>
            </w:r>
          </w:p>
        </w:tc>
      </w:tr>
      <w:tr>
        <w:trPr>
          <w:trHeight w:val="23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905,210</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 AND FAIR VALUE MEASUREMENTS</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manufactures, markets and sells its products globally. During the three and nine months ended December 28, 2024, 26.1% and 26.0%, respectively, of the Company’s sales were generated outside the U.S. in local currencies. The Company also incurs certain manufacturing, marketing and selling costs in international markets in local currency.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and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Foreign Currency Hedge Contracts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of the Company’s designated foreign currency hedge contracts as of December 28, 2024 and March 30, 2024 were cash flow hedges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The Company records the effective portion of any change in the fair value of designated foreign currency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$45.5 million as of December 28, 2024 and $74.0 million as of March 30, 2024. At December 28, 2024, a loss of $1.1 million, net of tax, will be reclassified to earnings within the next twelve months. Substantially all currency cash flow hedges outstanding as of December 28, 2024 mature within twelve months.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Foreign Currency Contracts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$82.7 million as of December 28, 2024 and $39.9 million as of March 30,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mitigate the interest rate risk on the Company’s senior unsecured term loan, in September 2022, the Company entered into four interest rate swaps, two</w:t>
      </w:r>
    </w:p>
    <w:p>
      <w:pPr>
        <w:spacing w:after="0" w:line="3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of which expired in June 2023 and the remaining two were amended and extended in September 2024. The amendment and extension of the two interest rate swaps did not have a material impact on the Condensed Consolidated Financial Statements.</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Loans under the 2024 Revised Credit Facilities bear interest at an annual rate equal to the 1-month USD Term SOFR, plus an applicable rate ranging from 1.125% to 1.750% based on the Company’s consolidated net leverage ratio. As a result of the amendment and extension in September 2024, the two modified interest rate swaps have an average blended fixed interest rate of 3.31% plus the applicable rate on approximately 80% of the notional value of the unsecured term loan, until their maturity in April 2029. The Company has determined both of these interest rate swaps are effective and qualify for hedge accounting treatment.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December 28,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 Amount as</w:t>
            </w:r>
          </w:p>
        </w:tc>
        <w:tc>
          <w:tcPr>
            <w:tcW w:w="10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Designation Date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Interest</w:t>
            </w:r>
          </w:p>
        </w:tc>
        <w:tc>
          <w:tcPr>
            <w:tcW w:w="160" w:type="dxa"/>
            <w:vAlign w:val="bottom"/>
          </w:tcPr>
          <w:p>
            <w:pPr>
              <w:spacing w:after="0"/>
              <w:rPr>
                <w:sz w:val="13"/>
                <w:szCs w:val="13"/>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68"/>
        </w:trPr>
        <w:tc>
          <w:tcPr>
            <w:tcW w:w="2480" w:type="dxa"/>
            <w:vAlign w:val="bottom"/>
            <w:gridSpan w:val="2"/>
            <w:vMerge w:val="continue"/>
          </w:tcPr>
          <w:p>
            <w:pPr>
              <w:spacing w:after="0"/>
              <w:rPr>
                <w:sz w:val="5"/>
                <w:szCs w:val="5"/>
                <w:color w:val="auto"/>
              </w:rPr>
            </w:pPr>
          </w:p>
        </w:tc>
        <w:tc>
          <w:tcPr>
            <w:tcW w:w="1120" w:type="dxa"/>
            <w:vAlign w:val="bottom"/>
            <w:gridSpan w:val="2"/>
            <w:vMerge w:val="restart"/>
          </w:tcPr>
          <w:p>
            <w:pPr>
              <w:ind w:left="240"/>
              <w:spacing w:after="0" w:line="146"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5"/>
                <w:szCs w:val="5"/>
                <w:color w:val="auto"/>
              </w:rPr>
            </w:pPr>
          </w:p>
        </w:tc>
        <w:tc>
          <w:tcPr>
            <w:tcW w:w="1160" w:type="dxa"/>
            <w:vAlign w:val="bottom"/>
            <w:vMerge w:val="restart"/>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of December 28,</w:t>
            </w: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restart"/>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Value Assets</w:t>
            </w:r>
          </w:p>
        </w:tc>
        <w:tc>
          <w:tcPr>
            <w:tcW w:w="0" w:type="dxa"/>
            <w:vAlign w:val="bottom"/>
          </w:tcPr>
          <w:p>
            <w:pPr>
              <w:spacing w:after="0"/>
              <w:rPr>
                <w:sz w:val="1"/>
                <w:szCs w:val="1"/>
                <w:color w:val="auto"/>
              </w:rPr>
            </w:pPr>
          </w:p>
        </w:tc>
      </w:tr>
      <w:tr>
        <w:trPr>
          <w:trHeight w:val="79"/>
        </w:trPr>
        <w:tc>
          <w:tcPr>
            <w:tcW w:w="248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16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85"/>
        </w:trPr>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9/27/2024</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4/30/2029</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12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9/27/2024</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4/30/2029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3.30%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28, 2024, the Company recorded a gain of $3.4 million, net of tax, in accumulated other comprehensive loss to recognize the effective portion of the fair value of the swaps that qualify as cash flow hedges.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25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20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The Company has not experienced significant customer payment defaults, or identified other significant collectability concerns.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 forward of the allowance for credit losses: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29"/>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(recoveries)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25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6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7"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ind w:left="660" w:right="4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money market funds carried at fair value are classified within Level 1 of the fair value hierarchy because they are valued using quoted market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56"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 of the Company’s derivative instruments designated as cash flow hedges and those not designated as hedging instruments under ASC 815 in its unaudited Condensed Consolidated Statements of Income and Comprehensive Income for the nine months ended December 28, 2024:</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right="1080"/>
        <w:spacing w:after="0" w:line="316" w:lineRule="auto"/>
        <w:rPr>
          <w:sz w:val="20"/>
          <w:szCs w:val="20"/>
          <w:color w:val="auto"/>
        </w:rPr>
      </w:pPr>
      <w:r>
        <w:rPr>
          <w:rFonts w:ascii="Times New Roman" w:cs="Times New Roman" w:eastAsia="Times New Roman" w:hAnsi="Times New Roman"/>
          <w:sz w:val="14"/>
          <w:szCs w:val="14"/>
          <w:b w:val="1"/>
          <w:bCs w:val="1"/>
          <w:color w:val="auto"/>
        </w:rPr>
        <w:t xml:space="preserve">Derivative Instruments </w:t>
      </w: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688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ind w:left="20"/>
        <w:spacing w:after="0" w:line="237" w:lineRule="auto"/>
        <w:rPr>
          <w:sz w:val="20"/>
          <w:szCs w:val="20"/>
          <w:color w:val="auto"/>
        </w:rPr>
      </w:pPr>
      <w:r>
        <w:rPr>
          <w:rFonts w:ascii="Times New Roman" w:cs="Times New Roman" w:eastAsia="Times New Roman" w:hAnsi="Times New Roman"/>
          <w:sz w:val="18"/>
          <w:szCs w:val="18"/>
          <w:color w:val="auto"/>
        </w:rPr>
        <w:t>Designated foreign currency hedge contracts, net of tax</w:t>
      </w:r>
    </w:p>
    <w:p>
      <w:pPr>
        <w:spacing w:after="0" w:line="10" w:lineRule="exact"/>
        <w:rPr>
          <w:sz w:val="20"/>
          <w:szCs w:val="20"/>
          <w:color w:val="auto"/>
        </w:rPr>
      </w:pPr>
    </w:p>
    <w:p>
      <w:pPr>
        <w:ind w:left="20" w:right="140"/>
        <w:spacing w:after="0" w:line="237" w:lineRule="auto"/>
        <w:rPr>
          <w:sz w:val="20"/>
          <w:szCs w:val="20"/>
          <w:color w:val="auto"/>
        </w:rPr>
      </w:pPr>
      <w:r>
        <w:rPr>
          <w:rFonts w:ascii="Times New Roman" w:cs="Times New Roman" w:eastAsia="Times New Roman" w:hAnsi="Times New Roman"/>
          <w:sz w:val="18"/>
          <w:szCs w:val="18"/>
          <w:color w:val="auto"/>
        </w:rPr>
        <w:t>Non-designated foreign currency hedge contracts</w:t>
      </w:r>
    </w:p>
    <w:p>
      <w:pPr>
        <w:spacing w:after="0" w:line="10" w:lineRule="exact"/>
        <w:rPr>
          <w:sz w:val="20"/>
          <w:szCs w:val="20"/>
          <w:color w:val="auto"/>
        </w:rPr>
      </w:pPr>
    </w:p>
    <w:p>
      <w:pPr>
        <w:ind w:left="20" w:right="20"/>
        <w:spacing w:after="0" w:line="237" w:lineRule="auto"/>
        <w:rPr>
          <w:sz w:val="20"/>
          <w:szCs w:val="20"/>
          <w:color w:val="auto"/>
        </w:rPr>
      </w:pPr>
      <w:r>
        <w:rPr>
          <w:rFonts w:ascii="Times New Roman" w:cs="Times New Roman" w:eastAsia="Times New Roman" w:hAnsi="Times New Roman"/>
          <w:sz w:val="18"/>
          <w:szCs w:val="18"/>
          <w:color w:val="auto"/>
        </w:rPr>
        <w:t>Designated interest rate swaps, net of tax</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46"/>
        </w:trPr>
        <w:tc>
          <w:tcPr>
            <w:tcW w:w="1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5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1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Excluded from</w:t>
            </w: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48"/>
        </w:trPr>
        <w:tc>
          <w:tcPr>
            <w:tcW w:w="1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Accumulated Other</w:t>
            </w:r>
          </w:p>
        </w:tc>
        <w:tc>
          <w:tcPr>
            <w:tcW w:w="1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 into</w:t>
            </w: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Testing</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revenues, COGS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3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SG&amp;A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43"/>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-796925</wp:posOffset>
            </wp:positionV>
            <wp:extent cx="7098030"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26606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-265430</wp:posOffset>
            </wp:positionV>
            <wp:extent cx="709803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240"/>
            <w:col w:w="8440"/>
          </w:cols>
          <w:pgMar w:left="320" w:top="121" w:right="359" w:bottom="1440" w:gutter="0" w:footer="0" w:header="0"/>
          <w:type w:val="continuous"/>
        </w:sectPr>
      </w:pPr>
    </w:p>
    <w:p>
      <w:pPr>
        <w:spacing w:after="0" w:line="1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did not have fair value hedges or net investment hedges outstanding as of December 28, 2024 or March 30, 2024. As of December 28, 2024, no material deferred taxes were recognized for designated foreign currency hedges.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28, 2024,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derivative instruments as they appear in its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2024 and March 30, 2024: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 in Condensed Consolidated</w:t>
            </w:r>
          </w:p>
        </w:tc>
        <w:tc>
          <w:tcPr>
            <w:tcW w:w="240" w:type="dxa"/>
            <w:vAlign w:val="bottom"/>
          </w:tcPr>
          <w:p>
            <w:pPr>
              <w:spacing w:after="0"/>
              <w:rPr>
                <w:sz w:val="13"/>
                <w:szCs w:val="13"/>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3"/>
                <w:szCs w:val="13"/>
                <w:color w:val="auto"/>
              </w:rPr>
            </w:pPr>
          </w:p>
        </w:tc>
        <w:tc>
          <w:tcPr>
            <w:tcW w:w="162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40" w:type="dxa"/>
            <w:vAlign w:val="bottom"/>
          </w:tcPr>
          <w:p>
            <w:pPr>
              <w:spacing w:after="0"/>
              <w:rPr>
                <w:sz w:val="16"/>
                <w:szCs w:val="16"/>
                <w:color w:val="auto"/>
              </w:rPr>
            </w:pPr>
          </w:p>
        </w:tc>
        <w:tc>
          <w:tcPr>
            <w:tcW w:w="17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80" w:type="dxa"/>
            <w:vAlign w:val="bottom"/>
          </w:tcPr>
          <w:p>
            <w:pPr>
              <w:spacing w:after="0"/>
              <w:rPr>
                <w:sz w:val="16"/>
                <w:szCs w:val="16"/>
                <w:color w:val="auto"/>
              </w:rPr>
            </w:pPr>
          </w:p>
        </w:tc>
        <w:tc>
          <w:tcPr>
            <w:tcW w:w="16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68"/>
        </w:trPr>
        <w:tc>
          <w:tcPr>
            <w:tcW w:w="4600" w:type="dxa"/>
            <w:vAlign w:val="bottom"/>
            <w:gridSpan w:val="2"/>
            <w:vMerge w:val="continue"/>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December 28, 2024 and March 30,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6"/>
                <w:szCs w:val="16"/>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170,773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177,836</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23,133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24,699</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March 30, 2024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46,315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5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hedge contracts - </w:t>
      </w:r>
      <w:r>
        <w:rPr>
          <w:rFonts w:ascii="Times New Roman" w:cs="Times New Roman" w:eastAsia="Times New Roman" w:hAnsi="Times New Roman"/>
          <w:sz w:val="18"/>
          <w:szCs w:val="18"/>
          <w:color w:val="auto"/>
        </w:rPr>
        <w:t>The fair value of foreign currency hedge contracts was measured using significant other observable inputs and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swaps - </w:t>
      </w:r>
      <w:r>
        <w:rPr>
          <w:rFonts w:ascii="Times New Roman" w:cs="Times New Roman" w:eastAsia="Times New Roman" w:hAnsi="Times New Roman"/>
          <w:sz w:val="18"/>
          <w:szCs w:val="18"/>
          <w:color w:val="auto"/>
        </w:rPr>
        <w:t>The fair values of interest rate swaps are measured using the present value of expected future cash flows using market-based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contingent consideration liabilities is based on significant unobservable inputs, including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3 fair value measurements of contingent consideration liabilities include the following significant unobservable inputs: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9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tcPr>
          <w:p>
            <w:pPr>
              <w:spacing w:after="0"/>
              <w:rPr>
                <w:sz w:val="21"/>
                <w:szCs w:val="21"/>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Monte Carlo Simulation</w:t>
            </w:r>
          </w:p>
        </w:tc>
        <w:tc>
          <w:tcPr>
            <w:tcW w:w="2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6.3%</w:t>
            </w:r>
          </w:p>
        </w:tc>
        <w:tc>
          <w:tcPr>
            <w:tcW w:w="0" w:type="dxa"/>
            <w:vAlign w:val="bottom"/>
          </w:tcPr>
          <w:p>
            <w:pPr>
              <w:spacing w:after="0"/>
              <w:rPr>
                <w:sz w:val="1"/>
                <w:szCs w:val="1"/>
                <w:color w:val="auto"/>
              </w:rPr>
            </w:pPr>
          </w:p>
        </w:tc>
      </w:tr>
      <w:tr>
        <w:trPr>
          <w:trHeight w:val="108"/>
        </w:trPr>
        <w:tc>
          <w:tcPr>
            <w:tcW w:w="26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Model</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Projected year of payments</w:t>
            </w:r>
          </w:p>
        </w:tc>
        <w:tc>
          <w:tcPr>
            <w:tcW w:w="100" w:type="dxa"/>
            <w:vAlign w:val="bottom"/>
            <w:vMerge w:val="restart"/>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2025 - 2027</w:t>
            </w: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Monte Carlo Simulation</w:t>
            </w:r>
          </w:p>
        </w:tc>
        <w:tc>
          <w:tcPr>
            <w:tcW w:w="2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6.1%</w:t>
            </w:r>
          </w:p>
        </w:tc>
        <w:tc>
          <w:tcPr>
            <w:tcW w:w="0" w:type="dxa"/>
            <w:vAlign w:val="bottom"/>
          </w:tcPr>
          <w:p>
            <w:pPr>
              <w:spacing w:after="0"/>
              <w:rPr>
                <w:sz w:val="1"/>
                <w:szCs w:val="1"/>
                <w:color w:val="auto"/>
              </w:rPr>
            </w:pPr>
          </w:p>
        </w:tc>
      </w:tr>
      <w:tr>
        <w:trPr>
          <w:trHeight w:val="108"/>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Regulatory-based payment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2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162"/>
        </w:trPr>
        <w:tc>
          <w:tcPr>
            <w:tcW w:w="264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Model</w:t>
            </w:r>
          </w:p>
        </w:tc>
        <w:tc>
          <w:tcPr>
            <w:tcW w:w="2640" w:type="dxa"/>
            <w:vAlign w:val="bottom"/>
            <w:gridSpan w:val="2"/>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gridSpan w:val="2"/>
            <w:vMerge w:val="continue"/>
          </w:tcPr>
          <w:p>
            <w:pPr>
              <w:spacing w:after="0"/>
              <w:rPr>
                <w:sz w:val="6"/>
                <w:szCs w:val="6"/>
                <w:color w:val="auto"/>
              </w:rPr>
            </w:pPr>
          </w:p>
        </w:tc>
        <w:tc>
          <w:tcPr>
            <w:tcW w:w="2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00" w:type="dxa"/>
            <w:vAlign w:val="bottom"/>
            <w:vMerge w:val="restart"/>
            <w:shd w:val="clear" w:color="auto" w:fill="CCEEFF"/>
          </w:tcPr>
          <w:p>
            <w:pPr>
              <w:spacing w:after="0"/>
              <w:rPr>
                <w:sz w:val="6"/>
                <w:szCs w:val="6"/>
                <w:color w:val="auto"/>
              </w:rPr>
            </w:pPr>
          </w:p>
        </w:tc>
        <w:tc>
          <w:tcPr>
            <w:tcW w:w="1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2026 - 2028</w:t>
            </w:r>
          </w:p>
        </w:tc>
        <w:tc>
          <w:tcPr>
            <w:tcW w:w="0" w:type="dxa"/>
            <w:vAlign w:val="bottom"/>
          </w:tcPr>
          <w:p>
            <w:pPr>
              <w:spacing w:after="0"/>
              <w:rPr>
                <w:sz w:val="1"/>
                <w:szCs w:val="1"/>
                <w:color w:val="auto"/>
              </w:rPr>
            </w:pPr>
          </w:p>
        </w:tc>
      </w:tr>
      <w:tr>
        <w:trPr>
          <w:trHeight w:val="198"/>
        </w:trPr>
        <w:tc>
          <w:tcPr>
            <w:tcW w:w="2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Event-based payment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Monte Carlo Simulation</w:t>
            </w:r>
          </w:p>
        </w:tc>
        <w:tc>
          <w:tcPr>
            <w:tcW w:w="2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5.8%</w:t>
            </w:r>
          </w:p>
        </w:tc>
        <w:tc>
          <w:tcPr>
            <w:tcW w:w="0" w:type="dxa"/>
            <w:vAlign w:val="bottom"/>
          </w:tcPr>
          <w:p>
            <w:pPr>
              <w:spacing w:after="0"/>
              <w:rPr>
                <w:sz w:val="1"/>
                <w:szCs w:val="1"/>
                <w:color w:val="auto"/>
              </w:rPr>
            </w:pPr>
          </w:p>
        </w:tc>
      </w:tr>
      <w:tr>
        <w:trPr>
          <w:trHeight w:val="27"/>
        </w:trPr>
        <w:tc>
          <w:tcPr>
            <w:tcW w:w="2640" w:type="dxa"/>
            <w:vAlign w:val="bottom"/>
            <w:gridSpan w:val="2"/>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620" w:type="dxa"/>
            <w:vAlign w:val="bottom"/>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Model</w:t>
            </w: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64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2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00" w:type="dxa"/>
            <w:vAlign w:val="bottom"/>
            <w:vMerge w:val="restart"/>
            <w:shd w:val="clear" w:color="auto" w:fill="CCEEFF"/>
          </w:tcPr>
          <w:p>
            <w:pPr>
              <w:spacing w:after="0"/>
              <w:rPr>
                <w:sz w:val="10"/>
                <w:szCs w:val="10"/>
                <w:color w:val="auto"/>
              </w:rPr>
            </w:pPr>
          </w:p>
        </w:tc>
        <w:tc>
          <w:tcPr>
            <w:tcW w:w="1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54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fair value of contingent consideration associated with the Attune Medical acquisition was $23.1 million at December 28, 2024. As of December 28, 2024, $1.7 million was included in other current liabilities and $21.4 million was included in other long-term liabilities on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fair value of contingent consideration is included in the following table: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date fair value of contingent consideration</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fair values of the 2026 Notes and 2029 Notes were $282.0 million and $688.9 million as of December 28, 2024, respectively, which were determined by using the market price on the last trading day of the reporting period and are considered as level 2 in the fair value hierarchy.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unsecured term loan (which is carried at amortized cost), accounts receivable and accounts payable approximate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all matters. Legal costs are expensed as incurred.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fiscal 2021, a putative class action complaint was filed against the Company in the Circuit Court of Cook County, Illinois by Mary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Crumpton, on behalf of herself and similarly situated individuals. The Company removed the case to the United States District Court for the Northern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District Illinois. See </w:t>
      </w:r>
      <w:r>
        <w:rPr>
          <w:rFonts w:ascii="Times New Roman" w:cs="Times New Roman" w:eastAsia="Times New Roman" w:hAnsi="Times New Roman"/>
          <w:sz w:val="18"/>
          <w:szCs w:val="18"/>
          <w:i w:val="1"/>
          <w:iCs w:val="1"/>
          <w:color w:val="auto"/>
        </w:rPr>
        <w:t>Mary Crumpton v. Haemonetics Corporation, Case No. 1:21-cv-1402</w:t>
      </w:r>
      <w:r>
        <w:rPr>
          <w:rFonts w:ascii="Times New Roman" w:cs="Times New Roman" w:eastAsia="Times New Roman" w:hAnsi="Times New Roman"/>
          <w:sz w:val="18"/>
          <w:szCs w:val="18"/>
          <w:color w:val="auto"/>
        </w:rPr>
        <w:t>. In her complaint, the plaintiff asserts that between June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August 2018 she donated plasma at a center operated by one of the Company’s customers, that the center required her to scan her fingerprint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finger scanner that stored her fingerprint to identify her prior to plasma donation, and that the Company’s eQue donor management software sent 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biometric information to a Company-owned server to be collected and stored in a manner that violated her rights under the Illinois Biometric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Privacy Act (“BIPA”). The plaintiff seeks statutory damages, attorneys’ fees and injunctive and equitable relief. In March 2021, the Company moved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dismiss the complaint for lack of personal jurisdiction and concurrently filed a motion to dismiss for failure to state a claim and a motion to stay. In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 the court denied the Company’s motion to dismiss for lack of personal jurisdiction but did not address the merits of the Company’s other positions.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2023, the Company filed a second motion to dismiss the complaint, which is pending before the court. During the second quarter of fiscal 2024,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entered into a Memorandum of Understanding providing terms that would resolve the litigation and recorded an additional loss contingency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this matter. In the third quarter of fiscal 2024, the parties requested preliminary court approval of a final settlement agreement, which was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and the Company recorded an immaterial additional loss contingency related to settlement administration, resulting in an accrual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 million within other current liabilities in its consolidated balance sheets. In March 2024, notice of the settlement was mailed to class members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are now awaiting the complete administration of the settlement through the third-party administrator. In the first quarter of fiscal 2025,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payment of the $8.7 million settlement amount following the court’s final approval of the settlement agreement and dismissal of the matter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prejudice.</w:t>
      </w:r>
    </w:p>
    <w:p>
      <w:pPr>
        <w:spacing w:after="0" w:line="22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During the fourth quarter of fiscal 2024, a complaint was filed in the U.S. District Court for the District of Delaware by Knoninklijke Philips N.V. and IP2IPO Innovations, Ltd. (together, the “Plaintiffs”) against OpSens, OpSens Medical, Inc., a wholly-owned subsidiary of OpSens, and Haemonetics (1:24-cv-00206-CFC). The complaint alleges, inter alia, that OpSens’ interventional cardiology systems, including its OptoWire and OptoMonitor technology, infringe a single patent held by the Plaintiffs and seeks both injunctive relief and damages. The Company believes it has valid and meritorious defenses to the complaint and plans to vigorously defend against the complaint. During the first quarter of fiscal 2025, the Company recorded a loss contingency related to this matter, which did not have a material impact on its Condensed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Recall</w:t>
      </w:r>
    </w:p>
    <w:p>
      <w:pPr>
        <w:spacing w:after="0" w:line="254"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August 2023, the Company issued a voluntary recall of certain products within the Whole Blood portion of our Blood Center business unit sold to customers in the U.S. and certain foreign jurisdictions. In fiscal 2024, the Company recorded cumulative charges of $6.8 million related to inventory, returns and customer claims associated with this recall. Substantially all outstanding claims have been paid as of December 28,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120" w:type="dxa"/>
            <w:vAlign w:val="bottom"/>
          </w:tcPr>
          <w:p>
            <w:pPr>
              <w:spacing w:after="0"/>
              <w:rPr>
                <w:sz w:val="13"/>
                <w:szCs w:val="13"/>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36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 on Derivatives</w:t>
            </w: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30, 2024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(38,274)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(35,632)</w:t>
            </w:r>
          </w:p>
        </w:tc>
        <w:tc>
          <w:tcPr>
            <w:tcW w:w="0" w:type="dxa"/>
            <w:vAlign w:val="bottom"/>
          </w:tcPr>
          <w:p>
            <w:pPr>
              <w:spacing w:after="0"/>
              <w:rPr>
                <w:sz w:val="1"/>
                <w:szCs w:val="1"/>
                <w:color w:val="auto"/>
              </w:rPr>
            </w:pPr>
          </w:p>
        </w:tc>
      </w:tr>
      <w:tr>
        <w:trPr>
          <w:trHeight w:val="156"/>
        </w:trPr>
        <w:tc>
          <w:tcPr>
            <w:tcW w:w="45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w:t>
            </w:r>
          </w:p>
        </w:tc>
        <w:tc>
          <w:tcPr>
            <w:tcW w:w="0" w:type="dxa"/>
            <w:vAlign w:val="bottom"/>
          </w:tcPr>
          <w:p>
            <w:pPr>
              <w:spacing w:after="0"/>
              <w:rPr>
                <w:sz w:val="1"/>
                <w:szCs w:val="1"/>
                <w:color w:val="auto"/>
              </w:rPr>
            </w:pPr>
          </w:p>
        </w:tc>
      </w:tr>
      <w:tr>
        <w:trPr>
          <w:trHeight w:val="176"/>
        </w:trPr>
        <w:tc>
          <w:tcPr>
            <w:tcW w:w="4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loss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(55,501)</w:t>
            </w:r>
          </w:p>
        </w:tc>
        <w:tc>
          <w:tcPr>
            <w:tcW w:w="0" w:type="dxa"/>
            <w:vAlign w:val="bottom"/>
          </w:tcPr>
          <w:p>
            <w:pPr>
              <w:spacing w:after="0"/>
              <w:rPr>
                <w:sz w:val="1"/>
                <w:szCs w:val="1"/>
                <w:color w:val="auto"/>
              </w:rPr>
            </w:pPr>
          </w:p>
        </w:tc>
      </w:tr>
    </w:tbl>
    <w:p>
      <w:pPr>
        <w:ind w:left="220" w:hanging="160"/>
        <w:spacing w:after="0" w:line="233" w:lineRule="auto"/>
        <w:tabs>
          <w:tab w:leader="none" w:pos="22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-123825</wp:posOffset>
            </wp:positionV>
            <wp:extent cx="42259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ENTERPRISE-WIDE INFORMATION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and operating segments are as follows:</w:t>
      </w:r>
    </w:p>
    <w:p>
      <w:pPr>
        <w:spacing w:after="0" w:line="13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Center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w:t>
      </w:r>
    </w:p>
    <w:p>
      <w:pPr>
        <w:spacing w:after="0" w:line="2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below: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429,694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213,167</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325,003</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in constant currency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967,864</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336,250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1,030,225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965,765</w:t>
            </w:r>
          </w:p>
        </w:tc>
        <w:tc>
          <w:tcPr>
            <w:tcW w:w="0" w:type="dxa"/>
            <w:vAlign w:val="bottom"/>
          </w:tcPr>
          <w:p>
            <w:pPr>
              <w:spacing w:after="0"/>
              <w:rPr>
                <w:sz w:val="1"/>
                <w:szCs w:val="1"/>
                <w:color w:val="auto"/>
              </w:rPr>
            </w:pPr>
          </w:p>
        </w:tc>
      </w:tr>
    </w:tbl>
    <w:p>
      <w:pPr>
        <w:ind w:left="200" w:hanging="161"/>
        <w:spacing w:after="0" w:line="219" w:lineRule="auto"/>
        <w:tabs>
          <w:tab w:leader="none" w:pos="2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Beginning in fiscal 2025, the Company integrated service revenue within its three business units. Prior periods were conformed to current presentation.</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35"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-659130</wp:posOffset>
            </wp:positionV>
            <wp:extent cx="3257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234,190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81,244</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132,132</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447,566</w:t>
            </w:r>
          </w:p>
        </w:tc>
        <w:tc>
          <w:tcPr>
            <w:tcW w:w="0" w:type="dxa"/>
            <w:vAlign w:val="bottom"/>
          </w:tcPr>
          <w:p>
            <w:pPr>
              <w:spacing w:after="0"/>
              <w:rPr>
                <w:sz w:val="1"/>
                <w:szCs w:val="1"/>
                <w:color w:val="auto"/>
              </w:rPr>
            </w:pPr>
          </w:p>
        </w:tc>
      </w:tr>
      <w:tr>
        <w:trPr>
          <w:trHeight w:val="230"/>
        </w:trPr>
        <w:tc>
          <w:tcPr>
            <w:tcW w:w="60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(234,753)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(21,606)</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fair value inventory step-up</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Integration and transaction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0" w:type="dxa"/>
            <w:vAlign w:val="bottom"/>
          </w:tcPr>
          <w:p>
            <w:pPr>
              <w:spacing w:after="0"/>
              <w:rPr>
                <w:sz w:val="1"/>
                <w:szCs w:val="1"/>
                <w:color w:val="auto"/>
              </w:rPr>
            </w:pPr>
          </w:p>
        </w:tc>
      </w:tr>
      <w:tr>
        <w:trPr>
          <w:trHeight w:val="230"/>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Digital transformation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0" w:type="dxa"/>
            <w:vAlign w:val="bottom"/>
          </w:tcPr>
          <w:p>
            <w:pPr>
              <w:spacing w:after="0"/>
              <w:rPr>
                <w:sz w:val="1"/>
                <w:szCs w:val="1"/>
                <w:color w:val="auto"/>
              </w:rPr>
            </w:pPr>
          </w:p>
        </w:tc>
      </w:tr>
      <w:tr>
        <w:trPr>
          <w:trHeight w:val="230"/>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Write downs of certain assets and PCS2 related charges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MDR and IVDR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Litigation-related charges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134,940</w:t>
            </w:r>
          </w:p>
        </w:tc>
        <w:tc>
          <w:tcPr>
            <w:tcW w:w="0" w:type="dxa"/>
            <w:vAlign w:val="bottom"/>
          </w:tcPr>
          <w:p>
            <w:pPr>
              <w:spacing w:after="0"/>
              <w:rPr>
                <w:sz w:val="1"/>
                <w:szCs w:val="1"/>
                <w:color w:val="auto"/>
              </w:rPr>
            </w:pPr>
          </w:p>
        </w:tc>
      </w:tr>
    </w:tbl>
    <w:p>
      <w:pPr>
        <w:ind w:left="40" w:right="380" w:hanging="1"/>
        <w:spacing w:after="0" w:line="209" w:lineRule="auto"/>
        <w:tabs>
          <w:tab w:leader="none" w:pos="203"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-226060</wp:posOffset>
            </wp:positionV>
            <wp:extent cx="32575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business unit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408,695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430,056</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Apheresis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156,704</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Whole Blood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54,537</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211,241</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119,168</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205,300</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324,468</w:t>
            </w:r>
          </w:p>
        </w:tc>
        <w:tc>
          <w:tcPr>
            <w:tcW w:w="0" w:type="dxa"/>
            <w:vAlign w:val="bottom"/>
          </w:tcPr>
          <w:p>
            <w:pPr>
              <w:spacing w:after="0"/>
              <w:rPr>
                <w:sz w:val="1"/>
                <w:szCs w:val="1"/>
                <w:color w:val="auto"/>
              </w:rPr>
            </w:pPr>
          </w:p>
        </w:tc>
      </w:tr>
      <w:tr>
        <w:trPr>
          <w:trHeight w:val="148"/>
        </w:trPr>
        <w:tc>
          <w:tcPr>
            <w:tcW w:w="6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3"/>
                <w:szCs w:val="23"/>
                <w:b w:val="1"/>
                <w:bCs w:val="1"/>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336,250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1,030,225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965,765</w:t>
            </w:r>
          </w:p>
        </w:tc>
        <w:tc>
          <w:tcPr>
            <w:tcW w:w="0" w:type="dxa"/>
            <w:vAlign w:val="bottom"/>
          </w:tcPr>
          <w:p>
            <w:pPr>
              <w:spacing w:after="0"/>
              <w:rPr>
                <w:sz w:val="1"/>
                <w:szCs w:val="1"/>
                <w:color w:val="auto"/>
              </w:rPr>
            </w:pPr>
          </w:p>
        </w:tc>
      </w:tr>
    </w:tbl>
    <w:p>
      <w:pPr>
        <w:ind w:left="180" w:hanging="154"/>
        <w:spacing w:after="0" w:line="230" w:lineRule="auto"/>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Interventional Technologies includes Vascular Closure, Sensor Guided Technologies and Esophageal Protection product lines of the Hospital business unit.</w:t>
      </w:r>
    </w:p>
    <w:p>
      <w:pPr>
        <w:spacing w:after="0" w:line="24"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Blood Management Technologies includes Hemostasis Management, Cell Salvage and Transfusion Management product lines of the Hospital business unit.</w:t>
      </w:r>
    </w:p>
    <w:p>
      <w:pPr>
        <w:spacing w:after="0" w:line="23"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Beginning in fiscal 2025, the Company integrated service revenue within its three business units. Prior periods were conformed to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-398145</wp:posOffset>
            </wp:positionV>
            <wp:extent cx="32404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generated in the Company’s principle operating regions on a reported basis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6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724,222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41,609</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348,542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336,250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1,030,225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965,765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30, 2024. The following discussion may contain forward-looking statements and should be read in conjunction with the “Cautionary Statement Regarding Forward-Looking Information” in this discussion.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Haemonetics is a global healthcare company dedicated to providing a suite of innovative medical technology solutions that improve the quality, effectiveness and efficiency of care. We challenge ourselves to think big and make new possibilities a reality, so that our customers can make it matter for patients, every single day. Our technology addresses important medical markets: blood and plasma component collection, the surgical suite and hospital transfusion services.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red cells, platelets and whole blood. “Hospital” is comprised of Interventional Technologies, which includes Vascular Closure, Sensor Guided Technologies and Esophageal Protection products, and Blood Management Technologies, which includes Hemostasis Management, Cell Salvage and Transfusion Management products.</w:t>
      </w:r>
    </w:p>
    <w:p>
      <w:pPr>
        <w:spacing w:after="0" w:line="210"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 of the Whole Blood Product Line</w:t>
      </w:r>
    </w:p>
    <w:p>
      <w:pPr>
        <w:spacing w:after="0" w:line="2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December 3, 2024, we announced that we had entered into a definitive agreement to sell our Whole Blood product line and related assets within our Blood Center business unit to GVS, S.p.A (“GVS”), a manufacturer of filter solutions for applications in the healthcare and life sciences sectors. The divested assets include our complete portfolio of proprietary whole blood collection, processing and filtration solutions, along with our manufacturing facility in Covina, California where certain of these products are produced, and related equipment and assets located at our manufacturing facility in Tijuana, Mexico. On January 13, 2024, subsequent to the third quarter ended December 28, 2024, we completed the transaction with GVS for total cash consideration of up to $67.8 million, which includes $45.3 million upfront and up to $22.5 million in contingent consideration, based on sales growth over the next three years and the achievement of certain other milestones. As the related assets are considered held for sale as of December 28, 2024, we have reclassified $34.7 million of inventory, $7.3 million of property, plant and equipment, $4.5 million of goodwill and $0.5 million of accrued liabilities to Prepaid expenses and other current assets and Other current liabilities in the Condensed Consolidated Balance Sheets, which were previously included in our Blood Center reportable segment.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w:t>
      </w:r>
    </w:p>
    <w:p>
      <w:pPr>
        <w:spacing w:after="0" w:line="25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October 2024, we completed a $75.0 million repurchase of our common stock pursuant to an accelerated share repurchase agreement (“ASR”) entered into with Citibank N.A. (“Citibank”) in August 2024. The total number of shares repurchased under the ASR was 1.0 million at an average price per share upon final settlement of $74.36. As of December 28, 2024, the total remaining authorization for repurchases of our common stock under the share repurchase program was $150.0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Convertible Senior Notes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28, 2024, we issued $700.0 million aggregate principal amount of 2.5% convertible senior notes due 2029 (the “2029 Notes”). The 2029 Notes are governed by the terms of the Indenture between the Company and U.S. Bank National Association, as trustee. The total net proceeds from the sale of the 2029 Notes, after deducting the initial purchasers’ discounts and debt issuance costs, were $682.8 million, of which $230.0 million was used to repay the entirety of the balance on the revolving credit facility under the Company’s current credit agreement, $185.5 million was used to repurchase a portion of our existing 0% convertible senior notes due 2026 and $88.2 million was used to complete capped call transactions, with the remaining proceeds available for other working capital requirements. The 2029 Notes will mature on June 1, 2029, unless earlier converted, redeemed or repurchased.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and Repayment</w:t>
      </w:r>
    </w:p>
    <w:p>
      <w:pPr>
        <w:spacing w:after="0" w:line="254"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On April 30, 2024, we entered into a second amended and restated credit agreement with certain lenders to refinance our prior credit facilities and extend their maturity date through April 2029. The second amended and restated credit agreement provides for a $250.0 million senior unsecured term loan, the proceeds of which, along with $12.5 million of cash on hand, have been used to retire the balance of the term loan under our prior credit facilities, and a $750.0 million senior unsecured revolving credit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Attune Medical</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April 1, 2024, we completed our acquisition of Advanced Cooling Therapy, Inc., d/b/a Attune Medical (“Attune Medical”) for total consideration of $187.7 million, which included an upfront cash payment of $162.0 million, or $150.5 million net of cash acquired, the fair value of contingent consideration of $25.3 million, and $0.4 million of working capital adjustments. The contingent consideration is based on sales growth over the next three years, which is uncapped, and the achievement of certain other milestones. We financed the acquisition through a combination of cash on hand and borrowings under our senior unsecured revolving credit facility.</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addition of our Esophageal Protection product line through this acquisition expands our Hospital business unit’s presence in electrophysiology and complements its Vascular Closure product line within Interventional Technologies, which is included in the Hospital reportable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1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140" w:type="dxa"/>
            <w:vAlign w:val="bottom"/>
            <w:tcBorders>
              <w:top w:val="single" w:sz="8" w:color="auto"/>
            </w:tcBorders>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348,542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336,250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1,030,225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965,765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6.7 %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193,547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177,867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8.8 %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555,908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515,642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7.8 %</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52.9 %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54.0 %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53.4 %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134,518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131,889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405,426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380,702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59,029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45,978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150,482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134,940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11.5 %</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13.7 %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14.0 %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(9,112)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367.5 %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41.0 %</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Income before provision for income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13.4 %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49,917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44,029</w:t>
            </w:r>
          </w:p>
        </w:tc>
        <w:tc>
          <w:tcPr>
            <w:tcW w:w="1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141,334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128,451</w:t>
            </w:r>
          </w:p>
        </w:tc>
        <w:tc>
          <w:tcPr>
            <w:tcW w:w="1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31,636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31,260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29.0 %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24.3 %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37,494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31,241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109,698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97,191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12.9 %</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9.3 %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12.5 %</w:t>
            </w:r>
          </w:p>
        </w:tc>
        <w:tc>
          <w:tcPr>
            <w:tcW w:w="0" w:type="dxa"/>
            <w:vAlign w:val="bottom"/>
          </w:tcPr>
          <w:p>
            <w:pPr>
              <w:spacing w:after="0"/>
              <w:rPr>
                <w:sz w:val="1"/>
                <w:szCs w:val="1"/>
                <w:color w:val="auto"/>
              </w:rPr>
            </w:pPr>
          </w:p>
        </w:tc>
      </w:tr>
      <w:tr>
        <w:trPr>
          <w:trHeight w:val="23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21.3 %</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Net revenues increased 3.7% and 6.7% during the three and nine months ended December 28, 2024, respectively, as compared with the same periods of fiscal 2024. Without the effects of foreign exchange, net revenues increased 3.6% and 6.9% during the three and nine months ended December 28, 2024, respectively, as compared with the same periods of fiscal 2024. Revenue increases in Hospital, primarily related to recent acquisitions as well as volume and price benefits, drove the overall increase, partially offset by declines in both Plasma and Blood Center during the three and nine months ended December 28, 2024.</w:t>
      </w:r>
    </w:p>
    <w:p>
      <w:pPr>
        <w:spacing w:after="0" w:line="210"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Operating income increased 28.4% and 11.5% during the three and nine months ended December 28, 2024, respectively, as compared with the same periods of fiscal 2024. The increase during the three months ended December 28, 2024 was primarily due to operating leverage, decreased performance-based compensation, decreased portfolio rationalization costs and lower transaction and integration costs, partially offset by increased amortization of acquired intangible assets, write downs of certain assets and costs associated with the operations of recent acquisitions. The increase for the nine months ended December 28, 2024 was primarily due to operating leverage, decreased performance-based compensation and the gains realized on the sale of a manufacturing facility in the first quarter of fiscal 2025, partially offset by operating, transaction and integration costs related to recent acquisitions, increased amortization of acquired intangible assets and amortization of fair value inventory step-up.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1"/>
                <w:szCs w:val="11"/>
                <w:color w:val="auto"/>
              </w:rPr>
            </w:pPr>
          </w:p>
        </w:tc>
        <w:tc>
          <w:tcPr>
            <w:tcW w:w="1100" w:type="dxa"/>
            <w:vAlign w:val="bottom"/>
          </w:tcPr>
          <w:p>
            <w:pPr>
              <w:jc w:val="center"/>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2"/>
        </w:trPr>
        <w:tc>
          <w:tcPr>
            <w:tcW w:w="4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growth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250,804</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85,446</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348,542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336,250</w:t>
            </w:r>
          </w:p>
        </w:tc>
        <w:tc>
          <w:tcPr>
            <w:tcW w:w="15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3.7 %</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1"/>
                <w:szCs w:val="11"/>
                <w:color w:val="auto"/>
              </w:rPr>
            </w:pPr>
          </w:p>
        </w:tc>
        <w:tc>
          <w:tcPr>
            <w:tcW w:w="1100" w:type="dxa"/>
            <w:vAlign w:val="bottom"/>
          </w:tcPr>
          <w:p>
            <w:pPr>
              <w:jc w:val="center"/>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growth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724,222</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267,597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4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965,765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right="220" w:firstLine="6"/>
        <w:spacing w:after="0"/>
        <w:tabs>
          <w:tab w:leader="none" w:pos="152"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2"/>
          <w:szCs w:val="12"/>
          <w:i w:val="1"/>
          <w:iCs w:val="1"/>
          <w:color w:val="auto"/>
        </w:rPr>
        <w:t>Management’s Use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Non-GAAP Measures.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-106045</wp:posOffset>
            </wp:positionV>
            <wp:extent cx="1688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principal operations are in the United States, Europe, Japan and other parts of Asia. Our products are marketed in approximately 90 countries around the world through a combination of our direct sales force and independent distributors and agents. During the three and nine months ended December 28, 2024, our revenue generated outside the U.S. was 26.1% and 26.0% of total net revenues, respectively, as compared with 25.4% and 25.0%, respectively, during the three and nine months ended December 30, 2023. International sales are generally conducted in local currencies, primarily Japanese Yen, Euro and Chinese Yuan. Our results of operations are impacted by changes in foreign exchange rates, particularly in the value of the Yen and Euro relative to the U.S. Dollar. We have placed foreign currency hedges on certain foreign currencies to mitigate our exposure to foreign currency fluctuations.</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1"/>
                <w:szCs w:val="11"/>
                <w:color w:val="auto"/>
              </w:rPr>
            </w:pPr>
          </w:p>
        </w:tc>
        <w:tc>
          <w:tcPr>
            <w:tcW w:w="12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1"/>
                <w:szCs w:val="11"/>
                <w:color w:val="auto"/>
              </w:rPr>
            </w:pPr>
          </w:p>
        </w:tc>
        <w:tc>
          <w:tcPr>
            <w:tcW w:w="1100" w:type="dxa"/>
            <w:vAlign w:val="bottom"/>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20" w:type="dxa"/>
            <w:vAlign w:val="bottom"/>
          </w:tcPr>
          <w:p>
            <w:pPr>
              <w:jc w:val="center"/>
              <w:ind w:left="134"/>
              <w:spacing w:after="0" w:line="202" w:lineRule="exact"/>
              <w:rPr>
                <w:sz w:val="20"/>
                <w:szCs w:val="20"/>
                <w:color w:val="auto"/>
              </w:rPr>
            </w:pPr>
            <w:r>
              <w:rPr>
                <w:rFonts w:ascii="Times New Roman" w:cs="Times New Roman" w:eastAsia="Times New Roman" w:hAnsi="Times New Roman"/>
                <w:sz w:val="14"/>
                <w:szCs w:val="14"/>
                <w:b w:val="1"/>
                <w:bCs w:val="1"/>
                <w:color w:val="auto"/>
                <w:w w:val="98"/>
              </w:rPr>
              <w:t>growth</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147,641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15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72,379</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73,223</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116,230</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23.8 %</w:t>
            </w:r>
          </w:p>
        </w:tc>
        <w:tc>
          <w:tcPr>
            <w:tcW w:w="0" w:type="dxa"/>
            <w:vAlign w:val="bottom"/>
          </w:tcPr>
          <w:p>
            <w:pPr>
              <w:spacing w:after="0"/>
              <w:rPr>
                <w:sz w:val="1"/>
                <w:szCs w:val="1"/>
                <w:color w:val="auto"/>
              </w:rPr>
            </w:pPr>
          </w:p>
        </w:tc>
      </w:tr>
      <w:tr>
        <w:trPr>
          <w:trHeight w:val="149"/>
        </w:trPr>
        <w:tc>
          <w:tcPr>
            <w:tcW w:w="3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gridSpan w:val="2"/>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3"/>
                <w:szCs w:val="23"/>
                <w:b w:val="1"/>
                <w:bCs w:val="1"/>
                <w:color w:val="auto"/>
                <w:vertAlign w:val="superscript"/>
              </w:rPr>
              <w:t>(4)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336,250</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3"/>
            <w:vMerge w:val="restart"/>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1"/>
                <w:szCs w:val="11"/>
                <w:color w:val="auto"/>
              </w:rPr>
            </w:pPr>
          </w:p>
        </w:tc>
        <w:tc>
          <w:tcPr>
            <w:tcW w:w="12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1"/>
                <w:szCs w:val="11"/>
                <w:color w:val="auto"/>
              </w:rPr>
            </w:pPr>
          </w:p>
        </w:tc>
        <w:tc>
          <w:tcPr>
            <w:tcW w:w="1100" w:type="dxa"/>
            <w:vAlign w:val="bottom"/>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20" w:type="dxa"/>
            <w:vAlign w:val="bottom"/>
          </w:tcPr>
          <w:p>
            <w:pPr>
              <w:jc w:val="center"/>
              <w:ind w:left="134"/>
              <w:spacing w:after="0" w:line="202" w:lineRule="exact"/>
              <w:rPr>
                <w:sz w:val="20"/>
                <w:szCs w:val="20"/>
                <w:color w:val="auto"/>
              </w:rPr>
            </w:pPr>
            <w:r>
              <w:rPr>
                <w:rFonts w:ascii="Times New Roman" w:cs="Times New Roman" w:eastAsia="Times New Roman" w:hAnsi="Times New Roman"/>
                <w:sz w:val="14"/>
                <w:szCs w:val="14"/>
                <w:b w:val="1"/>
                <w:bCs w:val="1"/>
                <w:color w:val="auto"/>
                <w:w w:val="98"/>
              </w:rPr>
              <w:t>growth</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408,695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430,056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54,537</w:t>
            </w:r>
          </w:p>
        </w:tc>
        <w:tc>
          <w:tcPr>
            <w:tcW w:w="15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211,241</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205,300</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324,468</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28.5 %</w:t>
            </w:r>
          </w:p>
        </w:tc>
        <w:tc>
          <w:tcPr>
            <w:tcW w:w="0" w:type="dxa"/>
            <w:vAlign w:val="bottom"/>
          </w:tcPr>
          <w:p>
            <w:pPr>
              <w:spacing w:after="0"/>
              <w:rPr>
                <w:sz w:val="1"/>
                <w:szCs w:val="1"/>
                <w:color w:val="auto"/>
              </w:rPr>
            </w:pPr>
          </w:p>
        </w:tc>
      </w:tr>
      <w:tr>
        <w:trPr>
          <w:trHeight w:val="148"/>
        </w:trPr>
        <w:tc>
          <w:tcPr>
            <w:tcW w:w="3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gridSpan w:val="2"/>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3"/>
                <w:szCs w:val="23"/>
                <w:b w:val="1"/>
                <w:bCs w:val="1"/>
                <w:color w:val="auto"/>
                <w:vertAlign w:val="superscript"/>
              </w:rPr>
              <w:t>(4)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965,765</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0" w:right="160" w:firstLine="6"/>
        <w:spacing w:after="0"/>
        <w:tabs>
          <w:tab w:leader="none" w:pos="152"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2"/>
          <w:szCs w:val="12"/>
          <w:i w:val="1"/>
          <w:iCs w:val="1"/>
          <w:color w:val="auto"/>
        </w:rPr>
        <w:t>Management’s Use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Non-GAAP Measures.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6"/>
          <w:szCs w:val="16"/>
          <w:color w:val="auto"/>
          <w:vertAlign w:val="superscript"/>
        </w:rPr>
      </w:pPr>
    </w:p>
    <w:p>
      <w:pPr>
        <w:ind w:left="160" w:hanging="134"/>
        <w:spacing w:after="0" w:line="232" w:lineRule="auto"/>
        <w:tabs>
          <w:tab w:leader="none" w:pos="16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Interventional Technologies includes Vascular Closure, Sensor Guided Technologies and Esophageal Protection product lines of the Hospital business unit.</w:t>
      </w:r>
    </w:p>
    <w:p>
      <w:pPr>
        <w:spacing w:after="0" w:line="30" w:lineRule="exact"/>
        <w:rPr>
          <w:rFonts w:ascii="Times New Roman" w:cs="Times New Roman" w:eastAsia="Times New Roman" w:hAnsi="Times New Roman"/>
          <w:sz w:val="17"/>
          <w:szCs w:val="17"/>
          <w:color w:val="auto"/>
          <w:vertAlign w:val="superscript"/>
        </w:rPr>
      </w:pPr>
    </w:p>
    <w:p>
      <w:pPr>
        <w:ind w:left="160" w:hanging="134"/>
        <w:spacing w:after="0" w:line="211" w:lineRule="auto"/>
        <w:tabs>
          <w:tab w:leader="none" w:pos="16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Blood Management Technologies includes Hemostasis Management, Cell Salvage and Transfusion Management product lines of the Hospital business unit.</w:t>
      </w:r>
    </w:p>
    <w:p>
      <w:pPr>
        <w:spacing w:after="0" w:line="30" w:lineRule="exact"/>
        <w:rPr>
          <w:rFonts w:ascii="Times New Roman" w:cs="Times New Roman" w:eastAsia="Times New Roman" w:hAnsi="Times New Roman"/>
          <w:sz w:val="17"/>
          <w:szCs w:val="17"/>
          <w:color w:val="auto"/>
          <w:vertAlign w:val="superscript"/>
        </w:rPr>
      </w:pPr>
    </w:p>
    <w:p>
      <w:pPr>
        <w:ind w:left="180" w:hanging="154"/>
        <w:spacing w:after="0" w:line="189" w:lineRule="auto"/>
        <w:tabs>
          <w:tab w:leader="none" w:pos="18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Beginning in fiscal 2025, the Company integrated service revenue within its three business units. Prior periods were conformed to current presentation.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w:t>
      </w:r>
    </w:p>
    <w:p>
      <w:pPr>
        <w:spacing w:after="0" w:line="25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Plasma revenue decreased 9.1% and 5.0% during the three and nine months ended December 28, 2024, respectively, as compared with the same periods of fiscal 2024. Without the effects of foreign exchange, Plasma revenue decreased 9.1% and 5.0% during the three and nine months ended December 28, 2024, respectively, as compared with the same periods of fiscal 2024. The decreases during the three and nine months ended December 28, 2024 were primarily driven by lower sales volumes in North America, primarily relating to the previously announced customer transition of CSL Plasma, whose non-exclusive supply agreement with the Company is scheduled to expire in December 2025. We anticipate sales of approximately $100.0 million to CSL in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w:t>
      </w:r>
    </w:p>
    <w:p>
      <w:pPr>
        <w:spacing w:after="0" w:line="24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Blood Center revenue decreased 2.8% and 2.9% during the three and nine months ended December 28, 2024, respectively, as compared with the same periods of fiscal 2024. Without the effects of foreign exchange, Blood Center revenue decreased 2.8% and 1.9% during the three and nine months ended December 28, 2024, respectively, as compared with the same periods of fiscal 2024. The decreases during the three and nine months ended December 28, 2024 were primarily driven by declines in our Whole Blood business, which was divested in January 2025, subsequent to the end of the third fiscal quarter of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w:t>
      </w:r>
    </w:p>
    <w:p>
      <w:pPr>
        <w:spacing w:after="0" w:line="24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Hospital revenue increased 23.9% and 28.3% during the three and nine months ended December 28, 2024, respectively, as compared with the same periods of fiscal 2024. Without the effects of foreign exchange, Hospital revenue increased 23.8% and 28.5% during the three and nine months ended December 28, 2024, respectively, as compared with the same periods of fiscal 2024. The increases during the three and nine months ended December 28, 2024 were primarily attributable to the product lines within the Interventional Technologies franchise, including benefits from the recently acquired Sensor Guided Technologies and Esophageal Protection product lines and growth in Vascular Closure, as well as contributions from the product lines within the Blood Management Technologies franchise.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1"/>
                <w:szCs w:val="11"/>
                <w:color w:val="auto"/>
              </w:rPr>
            </w:pPr>
          </w:p>
        </w:tc>
        <w:tc>
          <w:tcPr>
            <w:tcW w:w="1100" w:type="dxa"/>
            <w:vAlign w:val="bottom"/>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42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1100" w:type="dxa"/>
            <w:vAlign w:val="bottom"/>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1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3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193,547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177,867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555,908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515,642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52.9 %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53.4 %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Gross profit increased 8.8% and 7.8% for the three and nine months ended December 28, 2024, respectively, as compared with the same periods of fiscal 2024. Without the effects of foreign exchange, gross profit increased 9.3% and 9.4% during the three and nine months ended December 28, 2024, respectively, as compared with the same periods of fiscal 2024. The increase during the three months ended December 28, 2024 was driven by increased revenues in the Hospital business, primarily volume as well as price, partially offset by the amortization of fair value inventory step-up related to the Attune Medical acquisition. The increase during the nine months ended December 28, 2024 was driven by increased revenues in the Hospital business and volume, mix and price, partially offset by amortization of fair value inventory step-up related to the Attune Medical acquisition, restructuring costs related to portfolio rationalization initiatives and foreign exchange.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34"/>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1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34"/>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14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7"/>
                <w:szCs w:val="17"/>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15,829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13,265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19.3 %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46,808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38,578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21.3 %</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106,459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111,713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321,653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320,518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33.2 %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33.2 %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12,230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6,911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77.0 %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36,965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21,606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71.1 %</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134,518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131,889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405,426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380,702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0" w:type="dxa"/>
            <w:vAlign w:val="bottom"/>
          </w:tcPr>
          <w:p>
            <w:pPr>
              <w:spacing w:after="0"/>
              <w:rPr>
                <w:sz w:val="1"/>
                <w:szCs w:val="1"/>
                <w:color w:val="auto"/>
              </w:rPr>
            </w:pPr>
          </w:p>
        </w:tc>
      </w:tr>
      <w:tr>
        <w:trPr>
          <w:trHeight w:val="236"/>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39.2 %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39.4 %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19.3% and 21.3% during the three and nine months ended December 28, 2024, respectively, as compared with the same periods of fiscal 2024. Without the effects of foreign exchange, research and development expenses increased 19.4% and 21.4% during the three and nine months ended December 28, 2024, respectively, as compared with the same periods of fiscal 2024. The increases during the three and nine months ended December 28, 2024 were primarily due to increased headcount as a result of recent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decreased 4.7% during the three months ended December 28, 2024 and increased 0.4% during the nine months ended December 28, 2024, as compared with the same periods of fiscal 2024. Without the effects of foreign exchange, selling, general, and administrative expenses decreased 5.0% during the three months ended December 28, 2024 and increased 0.4% during the nine months ended December 28, 2024, as compared with the same periods of fiscal 2024. The decrease during the three months ended December 28, 2024 was driven by decreased performance-based compensation, operating leverage and lower integration and transaction costs, partially offset by write downs of certain assets and costs associated with the operations of recent acquisitions. The increase during the nine months ended December 28, 2024 was primarily driven by digital transformation costs incurred as part of the upgrade of our enterprise resource planning system, transaction, integration and operating costs related to recent acquisitions and increased headcount, partially offset by gains realized on the sale of a manufacturing facility in the first quarter of fiscal 2025, decreases in impairment of intangible assets and decreases in litigation costs compared to the prior year period.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2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recognized amortization expense related to our acquired intangible assets of $12.2 million and $37.0 million during the three and nine months ended December 28, 2024, respectively, and $6.9 million and $21.6 million during the three and nine months ended December 30, 2023, respectively. The increases were primarily related to the amortization of the intangible assets acquired in conjunction with the recent acquisitions of OpSens and Attune Medical.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43"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Interest and other expense increased by $7.2 million and $2.7 million during the three and nine months ended December 28, 2024, respectively, as compared with the same periods of fiscal 2024. The increase during the three months ended December 28, 2024, as compared with the prior year period, was primarily driven by interest expense and amortization of deferred financing costs on the 2029 Notes issued in fiscal 2025 and foreign exchange. The increase during the nine months ended December 28, 2024 was primarily driven by interest expense and amortization of deferred financing costs on the 2029 Notes issued in fiscal 2025 as well as higher interest incurred on our revolving credit facilities, as compared with the same period of fiscal 2024, partially offset by the net gain on the repurchase of convertible notes during the first quarter of fiscal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transaction costs.</w:t>
      </w:r>
    </w:p>
    <w:p>
      <w:pPr>
        <w:spacing w:after="0" w:line="19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For the three and nine months ended December 28, 2024, the Company reported income tax expense of $12.4 million and $31.6 million, respectively, representing effective tax rates of 24.9% and 22.4%. The effective tax rate for the nine months ended December 28, 2024 includes $3.3 million of discrete tax benefit, primarily related to stock compensation windfalls. The discrete benefit also includes other items such as provision to return differences.</w:t>
      </w:r>
    </w:p>
    <w:p>
      <w:pPr>
        <w:spacing w:after="0" w:line="20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December 30, 2023, the Company reported income tax expense of $12.8 million and $31.3 million, respectively, representing effective tax rates of 29.0% and 24.3%, respectively. The effective tax rate for the nine months ended December 30, 2023 includes $1.1 million of discrete tax benefit, of which $2.6 million relates to stock compensation windfalls, partially offset by other discrete items.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decrease in the reported tax rate for the three months ended December 28, 2024, compared to the same period in fiscal 2024, relates primarily to the decrease in non-deductible acquisition-related expenses. The decrease in the reported tax rate for the nine months ended December 28, 2024, compared to the same period in fiscal 2024, relates primarily to increased discrete tax benefits year-over-year and decreased non-deductible acquisition-related expenses.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tcPr>
          <w:p>
            <w:pPr>
              <w:spacing w:after="0"/>
              <w:rPr>
                <w:sz w:val="13"/>
                <w:szCs w:val="13"/>
                <w:color w:val="auto"/>
              </w:rPr>
            </w:pPr>
          </w:p>
        </w:tc>
        <w:tc>
          <w:tcPr>
            <w:tcW w:w="13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752,635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ratio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debt position</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(903,991)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(628,993)</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sales outstanding (DSO)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turnover</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debt position is the sum of cash and cash equivalents less total debt.</w:t>
      </w:r>
    </w:p>
    <w:p>
      <w:pPr>
        <w:spacing w:after="0" w:line="21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convertible senior notes due March 1, 2026. Our expected cash outlays relate primarily to acquisitions, investments, capital expenditures, including enhancements to our North American manufacturing facilities, share repurchases, portfolio rationalization initiatives and cash principal and interest payments under our revised credit agreements. As of December 28, 2024, we had $320.8 million in cash and cash equivalents, the majority of which is held in the U.S. or in countries from which it can be repatriated to the U.S.</w:t>
      </w: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In the first quarter of fiscal 2025, the Company used a portion of its proceeds from the 2029 Notes to repurchase, for $185.5 million, $200.0 million of the $500.0 million aggregate principal amount of its 0% convertible senior notes due 2026 (the “2026 Notes”), resulting in a gain of $14.5 million related to the discount on repurchase. As the repurchase of the 2026 Notes met the criteria for extinguishment accounting, $1.9 million of unamortized debt issuance costs were allocated to the repurchase, resulting in a net gain of $12.6 million. As of December 28, 2024, the $300.0 million remaining principal balance on the 2026 Notes was netted down by $1.9 million of remaining debt issuance costs, resulting in a net convertible note payable of $298.1 million. Interest expense related to the 2026 Notes was $0.4 million and $1.4 million for the three and nine months ended December 28, 2024, respectively, which is entirely attributable to the amortization of the debt issuance costs. The remaining debt issuance costs are amortized at an effective interest rate of 0.5%.</w:t>
      </w:r>
    </w:p>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December 28, 2024, the $700.0 million principal balance of the 2029 Notes was netted down by $15.4 million of remaining debt issuance costs, resulting in a net convertible note payable of $684.6 million. Interest expense related to the 2029 Notes was $5.2 million and $12.1 million for the three and nine months ended December 28, 2024, respectively, which includes nominal interest expense and the amortization of the debt issuance costs.</w:t>
      </w:r>
    </w:p>
    <w:p>
      <w:pPr>
        <w:spacing w:after="0" w:line="204"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its credit facilities initially entered into in 2018 and extend their maturity date through June 2025. The amended and restated credit agreement provided for a $280.0 million senior unsecured term loan and a $420.0 million senior unsecured revolving credit facility (together, the “2022 Revised Credit Facilities”) with applicable interest rates during the period established using an annual rate equal to the Adjusted Term SOFR Rate plus an applicable rate ranging from 1.125% to 1.750% based on the Company’s consolidated net leverage ratio, as specified in the agreement.</w:t>
      </w:r>
    </w:p>
    <w:p>
      <w:pPr>
        <w:spacing w:after="0" w:line="21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On April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At December 28, 2024, $246.9 million was outstanding under the term loan with an effective interest rate of 6.1%. There were no outstanding borrowings under the revolving credit facilities at December 28, 2024. The Company also had $18.0 million of uncommitted operating lines of credit to fund its global operations under which there were no outstanding borrowings as of December 28,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scheduled principal payments of $1.6 million required during the remainder of fiscal 2025 related to its term loan.</w:t>
      </w:r>
    </w:p>
    <w:p>
      <w:pPr>
        <w:spacing w:after="0" w:line="252"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During fiscal 2022, our Board of Directors approved a revised Operational Excellence Program. We estimate that we will incur aggregate charges of approximately $85.0 million by the end of fiscal 2025 under the program in connection with the Operational Excellence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and nine months ended December 28, 2024, the Company incurred $1.9 million and $6.0 million, respectively, of restructuring and restructuring related costs under this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1"/>
                <w:szCs w:val="11"/>
                <w:color w:val="auto"/>
              </w:rPr>
            </w:pPr>
          </w:p>
        </w:tc>
        <w:tc>
          <w:tcPr>
            <w:tcW w:w="14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360" w:type="dxa"/>
            <w:vAlign w:val="bottom"/>
          </w:tcPr>
          <w:p>
            <w:pPr>
              <w:jc w:val="right"/>
              <w:ind w:right="295"/>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6"/>
        </w:trPr>
        <w:tc>
          <w:tcPr>
            <w:tcW w:w="7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117,670</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(309,333)</w:t>
            </w:r>
          </w:p>
        </w:tc>
        <w:tc>
          <w:tcPr>
            <w:tcW w:w="0" w:type="dxa"/>
            <w:vAlign w:val="bottom"/>
          </w:tcPr>
          <w:p>
            <w:pPr>
              <w:spacing w:after="0"/>
              <w:rPr>
                <w:sz w:val="1"/>
                <w:szCs w:val="1"/>
                <w:color w:val="auto"/>
              </w:rPr>
            </w:pPr>
          </w:p>
        </w:tc>
      </w:tr>
      <w:tr>
        <w:trPr>
          <w:trHeight w:val="229"/>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101,659</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(90,488)</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500" w:firstLine="8"/>
        <w:spacing w:after="0" w:line="362" w:lineRule="auto"/>
        <w:tabs>
          <w:tab w:leader="none" w:pos="132"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by $52.5 million during the nine months ended December 28, 2024, as compared with the nine months ended December 30, 2023. The decrease in cash provided by operating activities was primarily due to decreased accrued performance-based compensation, increased inventory balances and spend related to digital transformation costs incurred as part of the upgrade of our enterprise resource planning system, partially offset by collections of accounts receivable and increased net income.</w:t>
      </w:r>
    </w:p>
    <w:p>
      <w:pPr>
        <w:spacing w:after="0" w:line="207"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decreased by $129.4 million during the nine months ended December 28, 2024, as compared with the nine months ended December 30, 2023. The decrease in cash used in investing activities was primarily the result of the acquisition of OpSens Inc. completed during fiscal 2024 and the proceeds from the sales of property, plant and equipment in fiscal 2025, partially offset by the acquisition of Attune Medical in fiscal 2025.</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increased by $158.6 million during the nine months ended December 28, 2024, as compared with the nine months ended December 30, 2023, primarily due to the issuance of the 2029 Notes, partially offset by the repurchase of a portion of the 2026 Notes, proceeds on the revolving credit facility in the previous year, capped call transactions, share repurchases, payments on the revolving credit facility in the current year and debt issuance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1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have not incurred significant losses on trade accounts or other receivables. We continually evaluate all receivables for potential collection risks associated with the availability of government funding and reimbursement practices. If the financial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condition of customers or the countries’ healthcare systems deteriorate such that their ability to make payments is uncertain, allowances may be required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December 28, 2024, 26.1% and 26.0%,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Canadian Dollar, Swiss Franc and Mexican Peso.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to the Condensed Consolidated Financial Statements for a discussion of recently issued accounting pronouncements.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and market position and expenditures.</w:t>
      </w: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 For further discussion of these and other factors, see Item 1A. “Risk Factors” in our most recent Annual Report on Form 10-K (as supplemented by Part II, Item 1A. “Risks Factors” of our Quarterly Report on Form 10-Q for the first quarter ended June 29, 2024).</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long-term strategic and financial-improvement goals;</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risks for new and existing products, including material reductions in purchasing from or loss of a significant customer;</w:t>
      </w:r>
    </w:p>
    <w:p>
      <w:pPr>
        <w:spacing w:after="0" w:line="188" w:lineRule="exact"/>
        <w:rPr>
          <w:rFonts w:ascii="Times New Roman" w:cs="Times New Roman" w:eastAsia="Times New Roman" w:hAnsi="Times New Roman"/>
          <w:sz w:val="18"/>
          <w:szCs w:val="18"/>
          <w:color w:val="auto"/>
        </w:rPr>
      </w:pPr>
    </w:p>
    <w:p>
      <w:pPr>
        <w:ind w:left="660" w:right="500" w:hanging="328"/>
        <w:spacing w:after="0" w:line="312"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66" w:lineRule="exact"/>
        <w:rPr>
          <w:rFonts w:ascii="Times New Roman" w:cs="Times New Roman" w:eastAsia="Times New Roman" w:hAnsi="Times New Roman"/>
          <w:sz w:val="17"/>
          <w:szCs w:val="17"/>
          <w:color w:val="auto"/>
        </w:rPr>
      </w:pPr>
    </w:p>
    <w:p>
      <w:pPr>
        <w:ind w:left="660" w:right="7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safety concerns, leading to product recalls, withdrawals, regulatory action by the FDA (or similar non-U.S. regulatory agencies), reputational damage, declining sales or litigation;</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88"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expected strategic benefits and opportunities from completed or planned acquisitions, including the Company’s acquisitions of OpSens Inc. and Attune Medical, divestitures or other strategic investments by the Company may not be realized or may take longer to realize than expected;</w:t>
      </w:r>
    </w:p>
    <w:p>
      <w:pPr>
        <w:spacing w:after="0" w:line="20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trends toward healthcare cost containment, including the continued consolidation among healthcare providers and other market participants;</w:t>
      </w:r>
    </w:p>
    <w:p>
      <w:pPr>
        <w:spacing w:after="0" w:line="188"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spacing w:after="0" w:line="206"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anticipated benefits of restructuring programs that we have or may undertake, including the Operational Excellence Program and portfolio rationalization initiatives;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enhanced requirements to obtain regulatory approval in the U.S. and around the world and the associated timing and cost of product approval;</w:t>
      </w:r>
    </w:p>
    <w:p>
      <w:pPr>
        <w:spacing w:after="0" w:line="18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the impact of U.S. and foreign export and import restrictions and tariffs;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and international tax laws;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debt obligations and raise additional capital when desired on terms reasonably acceptable to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our convertible senior notes and related capped call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conditions in China, Taiwan, Russia, Ukraine, the Middle East and other foreign jurisdictions where we do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anticipated benefits from our investments in emerging economies;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foreign currency fluctuations and interest rate fluctuations on our net sales, expenses and resulting margins;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the outcome of patent litigation;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product liability and other litigation claims we may be subject to now or in the future;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key personnel;</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impacting our stock price and/or our share repurchase program, and the possibility that such share repurchase program may be delayed, suspended or discontinued;</w:t>
      </w:r>
    </w:p>
    <w:p>
      <w:pPr>
        <w:spacing w:after="0" w:line="188" w:lineRule="exact"/>
        <w:rPr>
          <w:rFonts w:ascii="Times New Roman" w:cs="Times New Roman" w:eastAsia="Times New Roman" w:hAnsi="Times New Roman"/>
          <w:sz w:val="18"/>
          <w:szCs w:val="18"/>
          <w:color w:val="auto"/>
        </w:rPr>
      </w:pPr>
    </w:p>
    <w:p>
      <w:pPr>
        <w:ind w:left="660" w:right="9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against our corporate responsibility initiatives and meet evolving stakeholder expectations concerning corporate responsibility matters;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threatened public health crises.</w:t>
      </w:r>
    </w:p>
    <w:p>
      <w:pPr>
        <w:spacing w:after="0" w:line="25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Investors should understand that it is not possible to predict or identify all such factors and should not consider the risks described above and in Item 1A. “Risk Factors” in our Annual Report on Form 10-K (as supplemented by Part II, Item 1A. “Risk Factors” of our Quarterly Report on Form 10-Q for the first quarter ended June 29, 2024)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exposures relative to market risk are due to foreign exchange risk and interest rate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estimate the change in the fair value of all forward contracts assuming both a 10% strengthening and weakening of the U.S. Dollar relative to all other major currencies. As of December 28, 2024, in the event of a 10% strengthening of the U.S. Dollar, the change in fair value of all forward contracts would result in a $5.3 million increase in the fair value of the forward contracts, whereas a 10% weakening of the U.S. Dollar would result in a $6.5 million decrease in the fair value of the forward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Our exposure to changes in interest rates is associated with borrowings under our credit facilities, all of which is variable rate debt. Total outstanding debt under our senior unsecured term loan as of December 28, 2024 was $246.9 million with an effective interest rate of 6.1% based on prevailing Term SOFR rates. An increase of 100 basis points in Term SOFR rates would result in additional annual interest expense of $0.4 million. As of December 28, 2024, the notional amount on our two active interest rate swap agreements to effectively convert borrowings under our 2024 Revised Credit Facilities from a variable rate to a fixed rate were $205.8 million. These interest rate swaps are intended to mitigate the exposure to fluctuations in interest rates and qualify for hedge accounting treatment as cash flow hedges.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conducted an evaluation, as of December 28, 2024,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Officer concluded that our disclosure controls and procedures were effective as of December 28,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December 28, 2024 that have materially affected, or are reasonably likely to materially affect, our internal control over financial reporting.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second quarter of fiscal 2024, we implemented the first phase of a new global enterprise resource planning (“ERP”) system, which will continue to be implemented in phases through fiscal 2026. The ERP will replace existing financial systems we have historically relied on. As each phase of the implementation occurs, we will reassess our processes and procedures, which may result in changes to our internal control over financial reporting.</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Unaudited Condensed Consolidated Financial Statements in this Quarterly Report on Form 10-Q, which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set forth in Part II, Item 1A. “Risk Factors” of our Quarterly Report on Form 10-Q for the first quarter ended June 29, 2024, there are no material changes from the Risk Factors previously disclosed in our Annual Report on Form 10-K for the fiscal year ended March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 August 2022, the Company announced that its Board of Directors had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w:t>
      </w:r>
    </w:p>
    <w:p>
      <w:pPr>
        <w:spacing w:after="0" w:line="204"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In October 2024, the Company completed a $75.0 million repurchase of its common stock pursuant to an ASR entered into with Citibank in August 2024. The total number of shares repurchased under the ASR was 1.0 million at an average price per share upon final settlement of $74.36. As of December 28, 2024, the total remaining authorization for repurchases of the Company's common stock under the share repurchase program was $150.0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Company’s share repurchases during the third quarter of fiscal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62"/>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r>
      <w:tr>
        <w:trPr>
          <w:trHeight w:val="148"/>
        </w:trPr>
        <w:tc>
          <w:tcPr>
            <w:tcW w:w="4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2"/>
                <w:szCs w:val="12"/>
                <w:color w:val="auto"/>
              </w:rPr>
            </w:pPr>
          </w:p>
        </w:tc>
        <w:tc>
          <w:tcPr>
            <w:tcW w:w="15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62"/>
        </w:trPr>
        <w:tc>
          <w:tcPr>
            <w:tcW w:w="4980" w:type="dxa"/>
            <w:vAlign w:val="bottom"/>
          </w:tcPr>
          <w:p>
            <w:pPr>
              <w:spacing w:after="0"/>
              <w:rPr>
                <w:sz w:val="14"/>
                <w:szCs w:val="14"/>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4"/>
                <w:szCs w:val="14"/>
                <w:color w:val="auto"/>
              </w:rPr>
            </w:pPr>
          </w:p>
        </w:tc>
        <w:tc>
          <w:tcPr>
            <w:tcW w:w="15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204"/>
        </w:trPr>
        <w:tc>
          <w:tcPr>
            <w:tcW w:w="49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40" w:type="dxa"/>
            <w:vAlign w:val="bottom"/>
          </w:tcPr>
          <w:p>
            <w:pPr>
              <w:spacing w:after="0"/>
              <w:rPr>
                <w:sz w:val="17"/>
                <w:szCs w:val="17"/>
                <w:color w:val="auto"/>
              </w:rPr>
            </w:pPr>
          </w:p>
        </w:tc>
        <w:tc>
          <w:tcPr>
            <w:tcW w:w="152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(in millions)($)</w:t>
            </w:r>
            <w:r>
              <w:rPr>
                <w:rFonts w:ascii="Times New Roman" w:cs="Times New Roman" w:eastAsia="Times New Roman" w:hAnsi="Times New Roman"/>
                <w:sz w:val="9"/>
                <w:szCs w:val="9"/>
                <w:color w:val="auto"/>
              </w:rPr>
              <w:t>(1)(2)</w:t>
            </w:r>
          </w:p>
        </w:tc>
      </w:tr>
      <w:tr>
        <w:trPr>
          <w:trHeight w:val="23"/>
        </w:trPr>
        <w:tc>
          <w:tcPr>
            <w:tcW w:w="4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2024 – October 26, 2024</w:t>
            </w: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150.0</w:t>
            </w: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27, 2024 – November 23, 2024</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209,494</w:t>
            </w:r>
          </w:p>
        </w:tc>
        <w:tc>
          <w:tcPr>
            <w:tcW w:w="144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71.60</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209,494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150.0</w:t>
            </w: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24, 2024 – December 28, 2024</w:t>
            </w: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209,494</w:t>
            </w:r>
          </w:p>
        </w:tc>
        <w:tc>
          <w:tcPr>
            <w:tcW w:w="1440" w:type="dxa"/>
            <w:vAlign w:val="bottom"/>
          </w:tcPr>
          <w:p>
            <w:pPr>
              <w:spacing w:after="0"/>
              <w:rPr>
                <w:sz w:val="21"/>
                <w:szCs w:val="21"/>
                <w:color w:val="auto"/>
              </w:rPr>
            </w:pPr>
          </w:p>
        </w:tc>
        <w:tc>
          <w:tcPr>
            <w:tcW w:w="1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209,494</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150.0</w:t>
            </w:r>
          </w:p>
        </w:tc>
      </w:tr>
      <w:tr>
        <w:trPr>
          <w:trHeight w:val="27"/>
        </w:trPr>
        <w:tc>
          <w:tcPr>
            <w:tcW w:w="49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28, 2024, none of our directors or officers (as defined under Rule 16a-1(f) under the Securities Exchange Act of 1934) adopted or terminated trading arrangements for the sale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800" w:right="280" w:hanging="768"/>
        <w:spacing w:after="0" w:line="237" w:lineRule="auto"/>
        <w:tabs>
          <w:tab w:leader="none" w:pos="780" w:val="left"/>
        </w:tabs>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Restated Articles of Organization of the Company, reflecting Articles of Amendment dated August 23, 1993, August 21, 2006, July 26, 2018 and July 25, 2019 (filed as Exhibit 3.1 to the Company’s Form 8-K dated July 29, 2019 and incorporated herein by reference).</w:t>
      </w:r>
    </w:p>
    <w:p>
      <w:pPr>
        <w:spacing w:after="0" w:line="280" w:lineRule="exact"/>
        <w:rPr>
          <w:sz w:val="20"/>
          <w:szCs w:val="20"/>
          <w:color w:val="auto"/>
        </w:rPr>
      </w:pPr>
    </w:p>
    <w:p>
      <w:pPr>
        <w:ind w:left="800" w:right="640" w:hanging="768"/>
        <w:spacing w:after="0" w:line="237" w:lineRule="auto"/>
        <w:tabs>
          <w:tab w:leader="none" w:pos="780" w:val="left"/>
        </w:tabs>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By-Laws of the Company, as amended through June 29, 2020 (filed as Exhibit 3.1 to the Company’s Form 8-K dated June 30, 2020 and incorporated herein by reference).</w:t>
      </w:r>
    </w:p>
    <w:p>
      <w:pPr>
        <w:spacing w:after="0" w:line="280" w:lineRule="exact"/>
        <w:rPr>
          <w:sz w:val="20"/>
          <w:szCs w:val="20"/>
          <w:color w:val="auto"/>
        </w:rPr>
      </w:pPr>
    </w:p>
    <w:p>
      <w:pPr>
        <w:ind w:left="800" w:right="3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Act of 2002, of Christopher A. Simon, President and Chief Executive Officer of the Company.</w:t>
      </w:r>
    </w:p>
    <w:p>
      <w:pPr>
        <w:spacing w:after="0" w:line="239" w:lineRule="exact"/>
        <w:rPr>
          <w:sz w:val="20"/>
          <w:szCs w:val="20"/>
          <w:color w:val="auto"/>
        </w:rPr>
      </w:pPr>
    </w:p>
    <w:p>
      <w:pPr>
        <w:ind w:left="8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of 2002, of James C. D'Arecca, Executive Vice President, Chief Financial Officer of the Company.</w:t>
      </w:r>
    </w:p>
    <w:p>
      <w:pPr>
        <w:spacing w:after="0" w:line="239" w:lineRule="exact"/>
        <w:rPr>
          <w:sz w:val="20"/>
          <w:szCs w:val="20"/>
          <w:color w:val="auto"/>
        </w:rPr>
      </w:pPr>
    </w:p>
    <w:p>
      <w:pPr>
        <w:ind w:left="800" w:right="6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Christopher A. Simon, President and Chief Executive Officer of the Company.</w:t>
      </w:r>
    </w:p>
    <w:p>
      <w:pPr>
        <w:spacing w:after="0" w:line="239" w:lineRule="exact"/>
        <w:rPr>
          <w:sz w:val="20"/>
          <w:szCs w:val="20"/>
          <w:color w:val="auto"/>
        </w:rPr>
      </w:pPr>
    </w:p>
    <w:p>
      <w:pPr>
        <w:ind w:left="800" w:right="12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James C. D'Arecca, Executive Vice President, Chief Financial Officer of the Company.</w:t>
      </w:r>
    </w:p>
    <w:p>
      <w:pPr>
        <w:spacing w:after="0" w:line="280" w:lineRule="exact"/>
        <w:rPr>
          <w:sz w:val="20"/>
          <w:szCs w:val="20"/>
          <w:color w:val="auto"/>
        </w:rPr>
      </w:pPr>
    </w:p>
    <w:p>
      <w:pPr>
        <w:ind w:left="800" w:right="40" w:hanging="779"/>
        <w:spacing w:after="0" w:line="236" w:lineRule="auto"/>
        <w:tabs>
          <w:tab w:leader="none" w:pos="78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The following materials from Haemonetics Corporation on Form 10-Q for the quarter ended December 28, 2024 formatted in inline Extensible Business Reporting Language (XBRL) includes: (i) Condensed Consolidated Statements of Income and Comprehensive Income, (ii) Condensed</w:t>
      </w:r>
    </w:p>
    <w:p>
      <w:pPr>
        <w:ind w:left="800" w:right="20"/>
        <w:spacing w:after="0" w:line="226" w:lineRule="auto"/>
        <w:rPr>
          <w:sz w:val="20"/>
          <w:szCs w:val="20"/>
          <w:color w:val="auto"/>
        </w:rPr>
      </w:pPr>
      <w:r>
        <w:rPr>
          <w:rFonts w:ascii="Times New Roman" w:cs="Times New Roman" w:eastAsia="Times New Roman" w:hAnsi="Times New Roman"/>
          <w:sz w:val="18"/>
          <w:szCs w:val="18"/>
          <w:color w:val="auto"/>
        </w:rPr>
        <w:t>Consolidated Balance Sheets, (iii) Condensed Consolidated Statement of Stockholders' Equity, (iv) Condensed Consolidated Statements of Cash Flows, and (v) Notes to Condensed Consolidated Financial Statements.</w:t>
      </w:r>
    </w:p>
    <w:p>
      <w:pPr>
        <w:spacing w:after="0" w:line="26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25" w:lineRule="exact"/>
        <w:rPr>
          <w:sz w:val="20"/>
          <w:szCs w:val="20"/>
          <w:color w:val="auto"/>
        </w:rPr>
      </w:pPr>
    </w:p>
    <w:p>
      <w:pPr>
        <w:ind w:left="660" w:hanging="634"/>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with this report.</w:t>
      </w:r>
    </w:p>
    <w:p>
      <w:pPr>
        <w:spacing w:after="0" w:line="117" w:lineRule="exact"/>
        <w:rPr>
          <w:sz w:val="20"/>
          <w:szCs w:val="20"/>
          <w:color w:val="auto"/>
        </w:rPr>
      </w:pPr>
    </w:p>
    <w:p>
      <w:pPr>
        <w:ind w:left="660" w:hanging="634"/>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February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Christopher A. Simon,</w:t>
      </w:r>
    </w:p>
    <w:p>
      <w:pPr>
        <w:ind w:left="4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February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70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340"/>
          </w:cols>
          <w:pgMar w:left="320" w:top="121" w:right="1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80" w:hanging="324"/>
        <w:spacing w:after="0" w:line="312" w:lineRule="auto"/>
        <w:tabs>
          <w:tab w:leader="none" w:pos="97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0689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D'Arecca,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101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30600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52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1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December 28, 2024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December 28, 2024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2025</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James C. D'Arecca,</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7" Type="http://schemas.openxmlformats.org/officeDocument/2006/relationships/hyperlink" Target="https://www.sec.gov/Archives/edgar/data/313143/000031314319000035/exhibit31-restatedarticles.htm" TargetMode="External"/><Relationship Id="rId68" Type="http://schemas.openxmlformats.org/officeDocument/2006/relationships/hyperlink" Target="https://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2025-02-06T05:25:42Z</dcterms:created>
  <dcterms:modified xsi:type="dcterms:W3CDTF">2025-02-06T05:25:42Z</dcterms:modified>
</cp:coreProperties>
</file>