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right="3120" w:firstLine="8"/>
        <w:spacing w:after="0" w:line="295" w:lineRule="auto"/>
        <w:tabs>
          <w:tab w:leader="none" w:pos="18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March 28, 2020</w:t>
      </w:r>
    </w:p>
    <w:p>
      <w:pPr>
        <w:spacing w:after="0" w:line="1"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TRANSITION REPORT PURSUANT TO SECTION 13 OR 15(d) OF THE SECURITIES EXCHANGE ACT OF 1934</w:t>
      </w:r>
    </w:p>
    <w:p>
      <w:pPr>
        <w:spacing w:after="0" w:line="2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transition period from to</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001-14041</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HAEMONETICS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8"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4740" w:type="dxa"/>
            <w:vAlign w:val="bottom"/>
          </w:tcPr>
          <w:p>
            <w:pPr>
              <w:jc w:val="center"/>
              <w:ind w:right="1160"/>
              <w:spacing w:after="0"/>
              <w:rPr>
                <w:sz w:val="20"/>
                <w:szCs w:val="20"/>
                <w:color w:val="auto"/>
              </w:rPr>
            </w:pPr>
            <w:r>
              <w:rPr>
                <w:rFonts w:ascii="Arial" w:cs="Arial" w:eastAsia="Arial" w:hAnsi="Arial"/>
                <w:sz w:val="17"/>
                <w:szCs w:val="17"/>
                <w:b w:val="1"/>
                <w:bCs w:val="1"/>
                <w:color w:val="auto"/>
                <w:w w:val="86"/>
              </w:rPr>
              <w:t>Massachusetts</w:t>
            </w:r>
          </w:p>
        </w:tc>
        <w:tc>
          <w:tcPr>
            <w:tcW w:w="3320" w:type="dxa"/>
            <w:vAlign w:val="bottom"/>
          </w:tcPr>
          <w:p>
            <w:pPr>
              <w:jc w:val="right"/>
              <w:ind w:right="541"/>
              <w:spacing w:after="0"/>
              <w:rPr>
                <w:sz w:val="20"/>
                <w:szCs w:val="20"/>
                <w:color w:val="auto"/>
              </w:rPr>
            </w:pPr>
            <w:r>
              <w:rPr>
                <w:rFonts w:ascii="Arial" w:cs="Arial" w:eastAsia="Arial" w:hAnsi="Arial"/>
                <w:sz w:val="17"/>
                <w:szCs w:val="17"/>
                <w:b w:val="1"/>
                <w:bCs w:val="1"/>
                <w:color w:val="auto"/>
              </w:rPr>
              <w:t>04-2882273</w:t>
            </w:r>
          </w:p>
        </w:tc>
      </w:tr>
      <w:tr>
        <w:trPr>
          <w:trHeight w:val="262"/>
        </w:trPr>
        <w:tc>
          <w:tcPr>
            <w:tcW w:w="4740" w:type="dxa"/>
            <w:vAlign w:val="bottom"/>
          </w:tcPr>
          <w:p>
            <w:pPr>
              <w:jc w:val="center"/>
              <w:ind w:right="116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320" w:type="dxa"/>
            <w:vAlign w:val="bottom"/>
          </w:tcPr>
          <w:p>
            <w:pPr>
              <w:jc w:val="center"/>
              <w:ind w:left="118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92"/>
        </w:trPr>
        <w:tc>
          <w:tcPr>
            <w:tcW w:w="4740" w:type="dxa"/>
            <w:vAlign w:val="bottom"/>
          </w:tcPr>
          <w:p>
            <w:pPr>
              <w:jc w:val="center"/>
              <w:ind w:right="1160"/>
              <w:spacing w:after="0"/>
              <w:rPr>
                <w:sz w:val="20"/>
                <w:szCs w:val="20"/>
                <w:color w:val="auto"/>
              </w:rPr>
            </w:pPr>
            <w:r>
              <w:rPr>
                <w:rFonts w:ascii="Arial" w:cs="Arial" w:eastAsia="Arial" w:hAnsi="Arial"/>
                <w:sz w:val="17"/>
                <w:szCs w:val="17"/>
                <w:b w:val="1"/>
                <w:bCs w:val="1"/>
                <w:color w:val="auto"/>
                <w:w w:val="91"/>
              </w:rPr>
              <w:t>125 Summer Street,</w:t>
            </w:r>
          </w:p>
        </w:tc>
        <w:tc>
          <w:tcPr>
            <w:tcW w:w="3320" w:type="dxa"/>
            <w:vAlign w:val="bottom"/>
          </w:tcPr>
          <w:p>
            <w:pPr>
              <w:jc w:val="right"/>
              <w:ind w:right="741"/>
              <w:spacing w:after="0"/>
              <w:rPr>
                <w:sz w:val="20"/>
                <w:szCs w:val="20"/>
                <w:color w:val="auto"/>
              </w:rPr>
            </w:pPr>
            <w:r>
              <w:rPr>
                <w:rFonts w:ascii="Arial" w:cs="Arial" w:eastAsia="Arial" w:hAnsi="Arial"/>
                <w:sz w:val="17"/>
                <w:szCs w:val="17"/>
                <w:b w:val="1"/>
                <w:bCs w:val="1"/>
                <w:color w:val="auto"/>
              </w:rPr>
              <w:t>02110</w:t>
            </w:r>
          </w:p>
        </w:tc>
      </w:tr>
      <w:tr>
        <w:trPr>
          <w:trHeight w:val="289"/>
        </w:trPr>
        <w:tc>
          <w:tcPr>
            <w:tcW w:w="4740" w:type="dxa"/>
            <w:vAlign w:val="bottom"/>
          </w:tcPr>
          <w:p>
            <w:pPr>
              <w:ind w:left="1040"/>
              <w:spacing w:after="0"/>
              <w:rPr>
                <w:sz w:val="20"/>
                <w:szCs w:val="20"/>
                <w:color w:val="auto"/>
              </w:rPr>
            </w:pPr>
            <w:r>
              <w:rPr>
                <w:rFonts w:ascii="Arial" w:cs="Arial" w:eastAsia="Arial" w:hAnsi="Arial"/>
                <w:sz w:val="17"/>
                <w:szCs w:val="17"/>
                <w:b w:val="1"/>
                <w:bCs w:val="1"/>
                <w:color w:val="auto"/>
              </w:rPr>
              <w:t>Boston, Massachusetts</w:t>
            </w:r>
          </w:p>
        </w:tc>
        <w:tc>
          <w:tcPr>
            <w:tcW w:w="3320" w:type="dxa"/>
            <w:vAlign w:val="bottom"/>
          </w:tcPr>
          <w:p>
            <w:pPr>
              <w:jc w:val="center"/>
              <w:ind w:left="1221"/>
              <w:spacing w:after="0"/>
              <w:rPr>
                <w:sz w:val="20"/>
                <w:szCs w:val="20"/>
                <w:color w:val="auto"/>
              </w:rPr>
            </w:pPr>
            <w:r>
              <w:rPr>
                <w:rFonts w:ascii="Arial" w:cs="Arial" w:eastAsia="Arial" w:hAnsi="Arial"/>
                <w:sz w:val="14"/>
                <w:szCs w:val="14"/>
                <w:i w:val="1"/>
                <w:iCs w:val="1"/>
                <w:color w:val="auto"/>
                <w:w w:val="93"/>
              </w:rPr>
              <w:t>(Zip Code)</w:t>
            </w:r>
          </w:p>
        </w:tc>
      </w:tr>
      <w:tr>
        <w:trPr>
          <w:trHeight w:val="203"/>
        </w:trPr>
        <w:tc>
          <w:tcPr>
            <w:tcW w:w="4740" w:type="dxa"/>
            <w:vAlign w:val="bottom"/>
          </w:tcPr>
          <w:p>
            <w:pPr>
              <w:jc w:val="center"/>
              <w:ind w:right="112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320" w:type="dxa"/>
            <w:vAlign w:val="bottom"/>
          </w:tcPr>
          <w:p>
            <w:pPr>
              <w:spacing w:after="0"/>
              <w:rPr>
                <w:sz w:val="17"/>
                <w:szCs w:val="17"/>
                <w:color w:val="auto"/>
              </w:rPr>
            </w:pPr>
          </w:p>
        </w:tc>
      </w:tr>
      <w:tr>
        <w:trPr>
          <w:trHeight w:val="305"/>
        </w:trPr>
        <w:tc>
          <w:tcPr>
            <w:tcW w:w="4740" w:type="dxa"/>
            <w:vAlign w:val="bottom"/>
          </w:tcPr>
          <w:p>
            <w:pPr>
              <w:jc w:val="center"/>
              <w:ind w:right="1140"/>
              <w:spacing w:after="0"/>
              <w:rPr>
                <w:sz w:val="20"/>
                <w:szCs w:val="20"/>
                <w:color w:val="auto"/>
              </w:rPr>
            </w:pPr>
            <w:r>
              <w:rPr>
                <w:rFonts w:ascii="Arial" w:cs="Arial" w:eastAsia="Arial" w:hAnsi="Arial"/>
                <w:sz w:val="17"/>
                <w:szCs w:val="17"/>
                <w:b w:val="1"/>
                <w:bCs w:val="1"/>
                <w:color w:val="auto"/>
                <w:w w:val="92"/>
              </w:rPr>
              <w:t>(781) 848-7100</w:t>
            </w:r>
          </w:p>
        </w:tc>
        <w:tc>
          <w:tcPr>
            <w:tcW w:w="3320" w:type="dxa"/>
            <w:vAlign w:val="bottom"/>
          </w:tcPr>
          <w:p>
            <w:pPr>
              <w:spacing w:after="0"/>
              <w:rPr>
                <w:sz w:val="24"/>
                <w:szCs w:val="24"/>
                <w:color w:val="auto"/>
              </w:rPr>
            </w:pPr>
          </w:p>
        </w:tc>
      </w:tr>
      <w:tr>
        <w:trPr>
          <w:trHeight w:val="262"/>
        </w:trPr>
        <w:tc>
          <w:tcPr>
            <w:tcW w:w="4740" w:type="dxa"/>
            <w:vAlign w:val="bottom"/>
          </w:tcPr>
          <w:p>
            <w:pPr>
              <w:jc w:val="center"/>
              <w:ind w:right="1120"/>
              <w:spacing w:after="0"/>
              <w:rPr>
                <w:sz w:val="20"/>
                <w:szCs w:val="20"/>
                <w:color w:val="auto"/>
              </w:rPr>
            </w:pPr>
            <w:r>
              <w:rPr>
                <w:rFonts w:ascii="Arial" w:cs="Arial" w:eastAsia="Arial" w:hAnsi="Arial"/>
                <w:sz w:val="14"/>
                <w:szCs w:val="14"/>
                <w:i w:val="1"/>
                <w:iCs w:val="1"/>
                <w:color w:val="auto"/>
                <w:w w:val="93"/>
              </w:rPr>
              <w:t>(Registrant's telephone number, including area code)</w:t>
            </w:r>
          </w:p>
        </w:tc>
        <w:tc>
          <w:tcPr>
            <w:tcW w:w="3320" w:type="dxa"/>
            <w:vAlign w:val="bottom"/>
          </w:tcPr>
          <w:p>
            <w:pPr>
              <w:spacing w:after="0"/>
              <w:rPr>
                <w:sz w:val="22"/>
                <w:szCs w:val="22"/>
                <w:color w:val="auto"/>
              </w:rPr>
            </w:pPr>
          </w:p>
        </w:tc>
      </w:tr>
    </w:tbl>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jc w:val="center"/>
              <w:ind w:left="499"/>
              <w:spacing w:after="0"/>
              <w:rPr>
                <w:sz w:val="20"/>
                <w:szCs w:val="20"/>
                <w:color w:val="auto"/>
              </w:rPr>
            </w:pPr>
            <w:r>
              <w:rPr>
                <w:rFonts w:ascii="Arial" w:cs="Arial" w:eastAsia="Arial" w:hAnsi="Arial"/>
                <w:sz w:val="14"/>
                <w:szCs w:val="14"/>
                <w:b w:val="1"/>
                <w:bCs w:val="1"/>
                <w:color w:val="auto"/>
                <w:w w:val="91"/>
              </w:rPr>
              <w:t>Title of Each Class</w:t>
            </w:r>
          </w:p>
        </w:tc>
        <w:tc>
          <w:tcPr>
            <w:tcW w:w="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jc w:val="center"/>
              <w:ind w:right="939"/>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3600" w:type="dxa"/>
            <w:vAlign w:val="bottom"/>
          </w:tcPr>
          <w:p>
            <w:pPr>
              <w:jc w:val="center"/>
              <w:ind w:left="499"/>
              <w:spacing w:after="0"/>
              <w:rPr>
                <w:sz w:val="20"/>
                <w:szCs w:val="20"/>
                <w:color w:val="auto"/>
              </w:rPr>
            </w:pPr>
            <w:r>
              <w:rPr>
                <w:rFonts w:ascii="Arial" w:cs="Arial" w:eastAsia="Arial" w:hAnsi="Arial"/>
                <w:sz w:val="18"/>
                <w:szCs w:val="18"/>
                <w:color w:val="auto"/>
                <w:w w:val="89"/>
              </w:rPr>
              <w:t>Common stock, $.01 par value per share</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40" w:type="dxa"/>
            <w:vAlign w:val="bottom"/>
            <w:gridSpan w:val="3"/>
          </w:tcPr>
          <w:p>
            <w:pPr>
              <w:jc w:val="center"/>
              <w:ind w:right="1340"/>
              <w:spacing w:after="0"/>
              <w:rPr>
                <w:sz w:val="20"/>
                <w:szCs w:val="20"/>
                <w:color w:val="auto"/>
              </w:rPr>
            </w:pPr>
            <w:r>
              <w:rPr>
                <w:rFonts w:ascii="Arial" w:cs="Arial" w:eastAsia="Arial" w:hAnsi="Arial"/>
                <w:sz w:val="18"/>
                <w:szCs w:val="18"/>
                <w:color w:val="auto"/>
                <w:w w:val="97"/>
              </w:rPr>
              <w:t>HAE</w:t>
            </w:r>
          </w:p>
        </w:tc>
        <w:tc>
          <w:tcPr>
            <w:tcW w:w="3580" w:type="dxa"/>
            <w:vAlign w:val="bottom"/>
          </w:tcPr>
          <w:p>
            <w:pPr>
              <w:jc w:val="center"/>
              <w:ind w:right="939"/>
              <w:spacing w:after="0"/>
              <w:rPr>
                <w:sz w:val="20"/>
                <w:szCs w:val="20"/>
                <w:color w:val="auto"/>
              </w:rPr>
            </w:pPr>
            <w:r>
              <w:rPr>
                <w:rFonts w:ascii="Arial" w:cs="Arial" w:eastAsia="Arial" w:hAnsi="Arial"/>
                <w:sz w:val="18"/>
                <w:szCs w:val="18"/>
                <w:color w:val="auto"/>
                <w:w w:val="91"/>
              </w:rPr>
              <w:t>New York Stock Exchange</w:t>
            </w:r>
          </w:p>
        </w:tc>
      </w:tr>
      <w:tr>
        <w:trPr>
          <w:trHeight w:val="256"/>
        </w:trPr>
        <w:tc>
          <w:tcPr>
            <w:tcW w:w="3600" w:type="dxa"/>
            <w:vAlign w:val="bottom"/>
          </w:tcPr>
          <w:p>
            <w:pPr>
              <w:spacing w:after="0"/>
              <w:rPr>
                <w:sz w:val="22"/>
                <w:szCs w:val="22"/>
                <w:color w:val="auto"/>
              </w:rPr>
            </w:pPr>
          </w:p>
        </w:tc>
        <w:tc>
          <w:tcPr>
            <w:tcW w:w="40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580" w:type="dxa"/>
            <w:vAlign w:val="bottom"/>
          </w:tcPr>
          <w:p>
            <w:pPr>
              <w:spacing w:after="0"/>
              <w:rPr>
                <w:sz w:val="22"/>
                <w:szCs w:val="22"/>
                <w:color w:val="auto"/>
              </w:rPr>
            </w:pPr>
          </w:p>
        </w:tc>
      </w:tr>
      <w:tr>
        <w:trPr>
          <w:trHeight w:val="210"/>
        </w:trPr>
        <w:tc>
          <w:tcPr>
            <w:tcW w:w="3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3"/>
          </w:tcPr>
          <w:p>
            <w:pPr>
              <w:jc w:val="center"/>
              <w:ind w:right="900"/>
              <w:spacing w:after="0"/>
              <w:rPr>
                <w:sz w:val="20"/>
                <w:szCs w:val="20"/>
                <w:color w:val="auto"/>
              </w:rPr>
            </w:pPr>
            <w:r>
              <w:rPr>
                <w:rFonts w:ascii="Arial" w:cs="Arial" w:eastAsia="Arial" w:hAnsi="Arial"/>
                <w:sz w:val="16"/>
                <w:szCs w:val="16"/>
                <w:b w:val="1"/>
                <w:bCs w:val="1"/>
                <w:color w:val="auto"/>
                <w:w w:val="89"/>
              </w:rPr>
              <w:t>None</w:t>
            </w:r>
          </w:p>
        </w:tc>
        <w:tc>
          <w:tcPr>
            <w:tcW w:w="3580" w:type="dxa"/>
            <w:vAlign w:val="bottom"/>
          </w:tcPr>
          <w:p>
            <w:pPr>
              <w:spacing w:after="0"/>
              <w:rPr>
                <w:sz w:val="18"/>
                <w:szCs w:val="18"/>
                <w:color w:val="auto"/>
              </w:rPr>
            </w:pPr>
          </w:p>
        </w:tc>
      </w:tr>
    </w:tbl>
    <w:p>
      <w:pPr>
        <w:spacing w:after="0" w:line="10" w:lineRule="exact"/>
        <w:rPr>
          <w:sz w:val="24"/>
          <w:szCs w:val="24"/>
          <w:color w:val="auto"/>
        </w:rPr>
      </w:pPr>
    </w:p>
    <w:p>
      <w:pPr>
        <w:ind w:right="3180" w:firstLine="324"/>
        <w:spacing w:after="0" w:line="220"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left="340"/>
        <w:spacing w:after="0" w:line="173" w:lineRule="exact"/>
        <w:tabs>
          <w:tab w:leader="none" w:pos="8600" w:val="left"/>
        </w:tabs>
        <w:rPr>
          <w:sz w:val="20"/>
          <w:szCs w:val="20"/>
          <w:color w:val="auto"/>
        </w:rPr>
      </w:pPr>
      <w:r>
        <w:rPr>
          <w:rFonts w:ascii="Arial" w:cs="Arial" w:eastAsia="Arial" w:hAnsi="Arial"/>
          <w:sz w:val="15"/>
          <w:szCs w:val="15"/>
          <w:color w:val="auto"/>
        </w:rPr>
        <w:t>Indicate by check mark whether the registrant is not required to file reports pursuant to Section 13 or 15(d) of the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ind w:right="60" w:firstLine="324"/>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20"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4">
            <w:col w:w="1580" w:space="700"/>
            <w:col w:w="4340" w:space="720"/>
            <w:col w:w="1100" w:space="40"/>
            <w:col w:w="2740"/>
          </w:cols>
          <w:pgMar w:left="320" w:top="225" w:right="3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720"/>
            <w:col w:w="3660" w:space="720"/>
            <w:col w:w="1780" w:space="40"/>
            <w:col w:w="2740"/>
          </w:cols>
          <w:pgMar w:left="320" w:top="225" w:right="359" w:bottom="1440" w:gutter="0" w:footer="0" w:header="0"/>
          <w:type w:val="continuous"/>
        </w:sectPr>
      </w:pPr>
    </w:p>
    <w:p>
      <w:pPr>
        <w:spacing w:after="0" w:line="30" w:lineRule="exact"/>
        <w:rPr>
          <w:sz w:val="24"/>
          <w:szCs w:val="24"/>
          <w:color w:val="auto"/>
        </w:rPr>
      </w:pPr>
    </w:p>
    <w:p>
      <w:pPr>
        <w:ind w:left="66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ectPr>
          <w:pgSz w:w="11900" w:h="16838" w:orient="portrait"/>
          <w:cols w:equalWidth="0" w:num="2">
            <w:col w:w="8440" w:space="40"/>
            <w:col w:w="2740"/>
          </w:cols>
          <w:pgMar w:left="320" w:top="225" w:right="359" w:bottom="1440" w:gutter="0" w:footer="0" w:header="0"/>
          <w:type w:val="continuous"/>
        </w:sectPr>
      </w:pPr>
    </w:p>
    <w:p>
      <w:pPr>
        <w:ind w:right="5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73" w:lineRule="exact"/>
        <w:tabs>
          <w:tab w:leader="none" w:pos="84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ind w:right="40" w:firstLine="324"/>
        <w:spacing w:after="0" w:line="271"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(assuming for these purposes that all executive officers and directors are “affiliates” of the registrant) as of September 28, 2019, the last business day of the registrant’s most recently completed second fiscal quarter was $6,235,150,197 (based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$0.01 par value common stock outstanding as of May 18, 2020 was 50,386,681.</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definitive proxy statement for our Annual Meeting of Shareholders to be held on July 21, 2020 are incorporated by reference in Part III of this report.</w:t>
      </w:r>
    </w:p>
    <w:p>
      <w:pPr>
        <w:sectPr>
          <w:pgSz w:w="11900" w:h="16838" w:orient="portrait"/>
          <w:cols w:equalWidth="0" w:num="1">
            <w:col w:w="11220"/>
          </w:cols>
          <w:pgMar w:left="320" w:top="22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50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504"/>
        </w:trPr>
        <w:tc>
          <w:tcPr>
            <w:tcW w:w="8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192"/>
        </w:trPr>
        <w:tc>
          <w:tcPr>
            <w:tcW w:w="88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Number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8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5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Unresolved Staff Comments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Properties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Market for the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2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Financial Data</w:t>
              </w:r>
            </w:hyperlink>
          </w:p>
        </w:tc>
        <w:tc>
          <w:tcPr>
            <w:tcW w:w="80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9500" w:type="dxa"/>
            <w:vAlign w:val="bottom"/>
          </w:tcPr>
          <w:p>
            <w:pPr>
              <w:ind w:left="2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500" w:type="dxa"/>
            <w:vAlign w:val="bottom"/>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80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9500" w:type="dxa"/>
            <w:vAlign w:val="bottom"/>
          </w:tcPr>
          <w:p>
            <w:pPr>
              <w:ind w:left="2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Financial Statements and Supplementary Data</w:t>
              </w:r>
            </w:hyperlink>
          </w:p>
        </w:tc>
        <w:tc>
          <w:tcPr>
            <w:tcW w:w="80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9500" w:type="dxa"/>
            <w:vAlign w:val="bottom"/>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9500" w:type="dxa"/>
            <w:vAlign w:val="bottom"/>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Control and Procedures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Other Information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Directors and Executive Officers of the Registrant and Corporate Governance</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Executive Compensation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12.</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14.</w:t>
            </w:r>
          </w:p>
        </w:tc>
        <w:tc>
          <w:tcPr>
            <w:tcW w:w="950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Principal Accounting Fees and Services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50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Exhibits, Financial Statement Schedules</w:t>
              </w:r>
            </w:hyperlink>
          </w:p>
        </w:tc>
        <w:tc>
          <w:tcPr>
            <w:tcW w:w="80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92</w:t>
              </w:r>
            </w:hyperlink>
          </w:p>
        </w:tc>
      </w:tr>
    </w:tbl>
    <w:p>
      <w:pPr>
        <w:sectPr>
          <w:pgSz w:w="11900" w:h="16838" w:orient="portrait"/>
          <w:cols w:equalWidth="0" w:num="1">
            <w:col w:w="11180"/>
          </w:cols>
          <w:pgMar w:left="360" w:top="661" w:right="3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5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Haemonetics develops and markets a wide range of devices and solutions to serve our customers. Our Plasma business unit provides plasma collection devices and disposables and plasma donor management software that enable the collection of plasma used by biopharmaceutical companies to make life saving pharmaceuticals. Our Blood Center business unit offers blood collection and processing devices and disposables for red cells, platelets and whole blood as well as related donor management</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software that make blood donation more efficient and track life giving blood components. Our Hospital Business unit, which is comprised of Hemostasis Management, Cell Salvage and Transfusion Management products, includes devices and methodologies for measuring the coagulation of blood that enable healthcare providers to better manage their patients’ bleeding risk, as well as surgical blood salvage systems, specialized blood cell processing systems and disposables and blood transfusion management software that facilitate blood transfusions and cell processing.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by reducing costs, shrinking the scope of the current product line, and evaluating opportunities to exit unfavorable customer contracts. Financial information concerning these segments is provided in Note 18 to our audited consolidated financial statements contained in Item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describes our principal products in each of our segments.</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229" w:lineRule="exact"/>
        <w:rPr>
          <w:rFonts w:ascii="Arial" w:cs="Arial" w:eastAsia="Arial" w:hAnsi="Arial"/>
          <w:sz w:val="18"/>
          <w:szCs w:val="18"/>
          <w:b w:val="1"/>
          <w:bCs w:val="1"/>
          <w:color w:val="auto"/>
        </w:rPr>
      </w:pPr>
    </w:p>
    <w:p>
      <w:pPr>
        <w:ind w:left="6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Plasma business offers automated plasma collection and donor management software systems that improve the plasma centers’ yield, efficiency, quality, safety and overall plasma donor experience. We continue to invest in technology that lowers the overall cost to collect plasma while maintaining high standards of quality and safety.</w:t>
      </w:r>
    </w:p>
    <w:p>
      <w:pPr>
        <w:spacing w:after="0" w:line="89"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Plasma Collection Market for Fractionation </w:t>
      </w:r>
      <w:r>
        <w:rPr>
          <w:rFonts w:ascii="Arial" w:cs="Arial" w:eastAsia="Arial" w:hAnsi="Arial"/>
          <w:sz w:val="18"/>
          <w:szCs w:val="18"/>
          <w:color w:val="auto"/>
        </w:rPr>
        <w:t>— Human plasma is collected for two purposes. First, it is used for transfusions in patients,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trauma victims who need to compensate for extreme blood loss, and second, it is processed into pharmaceuticals that aid in the treatment of immune diseases and coagulation disorders.</w:t>
      </w:r>
    </w:p>
    <w:p>
      <w:pPr>
        <w:spacing w:after="0" w:line="183"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who operate their own collection centers and recruit donors specifically for source plasma donation. The markets for transfusion plasma and source plasma have different participants, product requirements and growth profiles. We serve the market for transfusion plasma through our Blood Center products.</w:t>
      </w:r>
    </w:p>
    <w:p>
      <w:pPr>
        <w:spacing w:after="0" w:line="188"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to collect plasma for transfusions. The third method is a dedicated apheresis procedure that only collects plasma and returns the other blood components to the donor. This third method is mainly used for source plasma collection.</w:t>
      </w:r>
    </w:p>
    <w:p>
      <w:pPr>
        <w:spacing w:after="0" w:line="170" w:lineRule="exact"/>
        <w:rPr>
          <w:sz w:val="20"/>
          <w:szCs w:val="20"/>
          <w:color w:val="auto"/>
        </w:rPr>
      </w:pPr>
    </w:p>
    <w:p>
      <w:pPr>
        <w:jc w:val="both"/>
        <w:ind w:left="660" w:right="80"/>
        <w:spacing w:after="0" w:line="279" w:lineRule="auto"/>
        <w:rPr>
          <w:sz w:val="20"/>
          <w:szCs w:val="20"/>
          <w:color w:val="auto"/>
        </w:rPr>
      </w:pPr>
      <w:r>
        <w:rPr>
          <w:rFonts w:ascii="Arial" w:cs="Arial" w:eastAsia="Arial" w:hAnsi="Arial"/>
          <w:sz w:val="17"/>
          <w:szCs w:val="17"/>
          <w:color w:val="auto"/>
        </w:rPr>
        <w:t>Our Plasma business unit focuses on the collection of source plasma by pharmaceutical manufacturers using apheresis devices that collect plasma and software solutions that support the efficient operation of dedicated source plasma collection centers. Our Blood Center business unit supports the collection of plasma for blood collectors, such as the American Red Cross, using both whole blood and multi-component apheresis collection devices and software solutions that support efficient operation of these types of centers.</w:t>
      </w:r>
    </w:p>
    <w:p>
      <w:pPr>
        <w:spacing w:after="0" w:line="171"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Over the last 20 years, the collection of source plasma has increasingly been done by vertically integrated biopharmaceutical companies such as CSL Behring, Grifols S.A. ("Grifols"), Octapharma AG and Takeda's BioLife business. With their global operations and management expertise, these companies are focused on efficient plasma supply chain management and leveraging information technology to manage operations from the point of plasma donation to fractionation to the production of the final product.</w:t>
      </w:r>
    </w:p>
    <w:p>
      <w:pPr>
        <w:spacing w:after="0" w:line="171"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Demand for source plasma has continued to grow as an expanding end user market for plasma-derived biopharmaceuticals. In particular, therapies that require a significant quantity of plasma to create has fueled an increase in the number of donations and dedicated source plasma collection centers. A significant portion of this growth has occurred in the United States with U.S. produced plasma now meeting an increasing percentage of plasma volume demand worldwide. The U.S. has regulations that are significantly more favorable relative to other markets for plasma collectors. The frequency with which a donor may donate, the volume of plasma that may be donated each time and the ability to remunerate donors are all optimal in the U.S., leading to approximately 80% of worldwide source plasma collections occurring in the U.S. Plasma collectors have long sought changes to plasma collection regulations outside of the U.S. to allow for greater frequency, volume per donation and remuneration but achievements have been limited and no changes are foreseen in the prevalence of U.S. collections.</w:t>
      </w:r>
    </w:p>
    <w:p>
      <w:pPr>
        <w:spacing w:after="0" w:line="71" w:lineRule="exact"/>
        <w:rPr>
          <w:sz w:val="20"/>
          <w:szCs w:val="20"/>
          <w:color w:val="auto"/>
        </w:rPr>
      </w:pPr>
    </w:p>
    <w:p>
      <w:pPr>
        <w:ind w:left="660" w:right="340"/>
        <w:spacing w:after="0" w:line="279" w:lineRule="auto"/>
        <w:rPr>
          <w:sz w:val="20"/>
          <w:szCs w:val="20"/>
          <w:color w:val="auto"/>
        </w:rPr>
      </w:pPr>
      <w:r>
        <w:rPr>
          <w:rFonts w:ascii="Arial" w:cs="Arial" w:eastAsia="Arial" w:hAnsi="Arial"/>
          <w:sz w:val="17"/>
          <w:szCs w:val="17"/>
          <w:b w:val="1"/>
          <w:bCs w:val="1"/>
          <w:i w:val="1"/>
          <w:iCs w:val="1"/>
          <w:color w:val="auto"/>
        </w:rPr>
        <w:t xml:space="preserve">Plasma Products </w:t>
      </w:r>
      <w:r>
        <w:rPr>
          <w:rFonts w:ascii="Arial" w:cs="Arial" w:eastAsia="Arial" w:hAnsi="Arial"/>
          <w:sz w:val="17"/>
          <w:szCs w:val="17"/>
          <w:color w:val="auto"/>
        </w:rPr>
        <w:t>— Built around our automated plasma collection devices, related disposables and software, our portfolio of products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is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our plasma collection customers.</w:t>
      </w:r>
    </w:p>
    <w:p>
      <w:pPr>
        <w:spacing w:after="0" w:line="171" w:lineRule="exact"/>
        <w:rPr>
          <w:sz w:val="20"/>
          <w:szCs w:val="20"/>
          <w:color w:val="auto"/>
        </w:rPr>
      </w:pPr>
    </w:p>
    <w:p>
      <w:pPr>
        <w:ind w:left="660" w:right="20"/>
        <w:spacing w:after="0" w:line="242" w:lineRule="auto"/>
        <w:rPr>
          <w:sz w:val="20"/>
          <w:szCs w:val="20"/>
          <w:color w:val="auto"/>
        </w:rPr>
      </w:pPr>
      <w:r>
        <w:rPr>
          <w:rFonts w:ascii="Arial" w:cs="Arial" w:eastAsia="Arial" w:hAnsi="Arial"/>
          <w:sz w:val="17"/>
          <w:szCs w:val="17"/>
          <w:color w:val="auto"/>
        </w:rPr>
        <w:t>Today, the vast majority of plasma collections worldwide are performed using automated collection technology at dedicated facilities. We offer multiple products to support these dedicated source plasma operations, including our NexSys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PCS2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plasmapheresis equipment, related disposables and intravenous solutions. We also offer a portfolio of integrated information technology platforms for plasma customers to manage their donors, operations and supply chain. Our software products, including our latest NexLynk DMS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donor management system,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quality and compliance business process support, react quickly to business changes and implement opportunities to reduce costs.</w:t>
      </w:r>
    </w:p>
    <w:p>
      <w:pPr>
        <w:spacing w:after="0" w:line="205" w:lineRule="exact"/>
        <w:rPr>
          <w:sz w:val="20"/>
          <w:szCs w:val="20"/>
          <w:color w:val="auto"/>
        </w:rPr>
      </w:pPr>
    </w:p>
    <w:p>
      <w:pPr>
        <w:ind w:left="660" w:right="20"/>
        <w:spacing w:after="0" w:line="237" w:lineRule="auto"/>
        <w:rPr>
          <w:sz w:val="20"/>
          <w:szCs w:val="20"/>
          <w:color w:val="auto"/>
        </w:rPr>
      </w:pPr>
      <w:r>
        <w:rPr>
          <w:rFonts w:ascii="Arial" w:cs="Arial" w:eastAsia="Arial" w:hAnsi="Arial"/>
          <w:sz w:val="18"/>
          <w:szCs w:val="18"/>
          <w:color w:val="auto"/>
        </w:rPr>
        <w:t>With our PCS brand, we have provided an automated platform dedicated to the collection of plasma for over 20 years. In fiscal 2018, we received U.S. Food and Drug Administration ("FDA") 510(k) clearance for our next generation device, the NexSys PCS and for the enhancement of our NexSys PCS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that enables increases in plasma yield per collection by an additional 18-26 mL per donation, on average. We also received CE mark clearance of the NexSys PCS device in the European Union and Australia, subject to additional local requirements, during fiscal 2018. We expect to pursue further regulatory clearances for additional enhancements to the overall product offering.</w:t>
      </w:r>
    </w:p>
    <w:p>
      <w:pPr>
        <w:spacing w:after="0" w:line="206"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w:t>
      </w:r>
    </w:p>
    <w:p>
      <w:pPr>
        <w:spacing w:after="0" w:line="187"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We have entered into long-term commercial contracts and are continuing the rollout and support of NexSys PCS devices and NexLynk DMS donor management software for these Plasma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Plasma business unit represented 46.4%, 44.1% and 40.2% of our total revenue in fiscal 2020, 2019 and 2018, respectively.</w:t>
      </w:r>
    </w:p>
    <w:p>
      <w:pPr>
        <w:spacing w:after="0" w:line="1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134" w:lineRule="exact"/>
        <w:rPr>
          <w:rFonts w:ascii="Arial" w:cs="Arial" w:eastAsia="Arial" w:hAnsi="Arial"/>
          <w:sz w:val="18"/>
          <w:szCs w:val="18"/>
          <w:b w:val="1"/>
          <w:bCs w:val="1"/>
          <w:color w:val="auto"/>
        </w:rPr>
      </w:pPr>
    </w:p>
    <w:p>
      <w:pPr>
        <w:ind w:left="660" w:right="3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Our Blood Center business offers a range of solutions that improve donor collection centers' ability to acquire blood, filter blood and separate blood components. We continue to look for solutions to improve donor safety and control costs through the existing product portfolio. Our products and technologies help donor collection centers optimize blood collection capabilities and donor processing management.</w:t>
      </w:r>
    </w:p>
    <w:p>
      <w:pPr>
        <w:spacing w:after="0" w:line="54"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Market </w:t>
      </w:r>
      <w:r>
        <w:rPr>
          <w:rFonts w:ascii="Arial" w:cs="Arial" w:eastAsia="Arial" w:hAnsi="Arial"/>
          <w:sz w:val="18"/>
          <w:szCs w:val="18"/>
          <w:color w:val="auto"/>
        </w:rPr>
        <w:t>— There are millions of blood donations throughout the world every year that produce blood products for transfusion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97" w:lineRule="exact"/>
        <w:rPr>
          <w:rFonts w:ascii="Arial" w:cs="Arial" w:eastAsia="Arial" w:hAnsi="Arial"/>
          <w:sz w:val="18"/>
          <w:szCs w:val="18"/>
          <w:b w:val="1"/>
          <w:bCs w:val="1"/>
          <w:color w:val="auto"/>
        </w:rPr>
      </w:pPr>
    </w:p>
    <w:p>
      <w:pPr>
        <w:ind w:left="6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blood. In this method, only the specific target blood component is collected and the remaining components are returned to the blood donor.</w:t>
      </w:r>
    </w:p>
    <w:p>
      <w:pPr>
        <w:spacing w:after="0" w:line="97" w:lineRule="exact"/>
        <w:rPr>
          <w:rFonts w:ascii="Arial" w:cs="Arial" w:eastAsia="Arial" w:hAnsi="Arial"/>
          <w:sz w:val="18"/>
          <w:szCs w:val="18"/>
          <w:b w:val="1"/>
          <w:bCs w:val="1"/>
          <w:color w:val="auto"/>
        </w:rPr>
      </w:pPr>
    </w:p>
    <w:p>
      <w:pPr>
        <w:ind w:left="6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While overall we expect total demand for blood to remain stable to slightly declining, demand in individual markets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spacing w:after="0" w:line="76"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Products </w:t>
      </w:r>
      <w:r>
        <w:rPr>
          <w:rFonts w:ascii="Arial" w:cs="Arial" w:eastAsia="Arial" w:hAnsi="Arial"/>
          <w:sz w:val="18"/>
          <w:szCs w:val="18"/>
          <w:color w:val="auto"/>
        </w:rPr>
        <w:t>— We offer automated blood component and manual whole blood collection systems to blood collection centers to 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products efficiently and cost effectively. In addition, we offer software solutions that help blood collection centers with blood drive planning, donor recruitment and retention, blood collection, component manufacturing and distribution.</w:t>
      </w:r>
    </w:p>
    <w:p>
      <w:pPr>
        <w:spacing w:after="0" w:line="89" w:lineRule="exact"/>
        <w:rPr>
          <w:rFonts w:ascii="Arial" w:cs="Arial" w:eastAsia="Arial" w:hAnsi="Arial"/>
          <w:sz w:val="18"/>
          <w:szCs w:val="18"/>
          <w:b w:val="1"/>
          <w:bCs w:val="1"/>
          <w:color w:val="auto"/>
        </w:rPr>
      </w:pPr>
    </w:p>
    <w:p>
      <w:pPr>
        <w:ind w:left="1300" w:right="80" w:hanging="158"/>
        <w:spacing w:after="0" w:line="25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94" w:lineRule="exact"/>
        <w:rPr>
          <w:rFonts w:ascii="Arial" w:cs="Arial" w:eastAsia="Arial" w:hAnsi="Arial"/>
          <w:sz w:val="16"/>
          <w:szCs w:val="16"/>
          <w:color w:val="auto"/>
        </w:rPr>
      </w:pPr>
    </w:p>
    <w:p>
      <w:pPr>
        <w:ind w:left="1300" w:hanging="158"/>
        <w:spacing w:after="0" w:line="308"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51" w:lineRule="exact"/>
        <w:rPr>
          <w:rFonts w:ascii="Arial" w:cs="Arial" w:eastAsia="Arial" w:hAnsi="Arial"/>
          <w:sz w:val="17"/>
          <w:szCs w:val="17"/>
          <w:color w:val="auto"/>
        </w:rPr>
      </w:pPr>
    </w:p>
    <w:p>
      <w:pPr>
        <w:ind w:left="1300" w:right="300" w:hanging="158"/>
        <w:spacing w:after="0" w:line="21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w:t>
      </w:r>
    </w:p>
    <w:p>
      <w:pPr>
        <w:spacing w:after="0" w:line="108" w:lineRule="exact"/>
        <w:rPr>
          <w:rFonts w:ascii="Arial" w:cs="Arial" w:eastAsia="Arial" w:hAnsi="Arial"/>
          <w:sz w:val="18"/>
          <w:szCs w:val="18"/>
          <w:color w:val="auto"/>
        </w:rPr>
      </w:pPr>
    </w:p>
    <w:p>
      <w:pPr>
        <w:ind w:left="1300" w:right="240" w:hanging="158"/>
        <w:spacing w:after="0" w:line="18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donor recruitment and retention.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Blood Center business unit represented 32.1%, 34.1% and 37.8% of our total revenue in fiscal 2020, 2019 and 2018, respectively.</w:t>
      </w:r>
    </w:p>
    <w:p>
      <w:pPr>
        <w:spacing w:after="0" w:line="1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2" w:lineRule="exact"/>
        <w:rPr>
          <w:rFonts w:ascii="Arial" w:cs="Arial" w:eastAsia="Arial" w:hAnsi="Arial"/>
          <w:sz w:val="18"/>
          <w:szCs w:val="18"/>
          <w:b w:val="1"/>
          <w:bCs w:val="1"/>
          <w:color w:val="auto"/>
        </w:rPr>
      </w:pPr>
    </w:p>
    <w:p>
      <w:pPr>
        <w:ind w:left="660" w:right="280"/>
        <w:spacing w:after="0" w:line="268" w:lineRule="auto"/>
        <w:rPr>
          <w:rFonts w:ascii="Arial" w:cs="Arial" w:eastAsia="Arial" w:hAnsi="Arial"/>
          <w:sz w:val="18"/>
          <w:szCs w:val="18"/>
          <w:b w:val="1"/>
          <w:bCs w:val="1"/>
          <w:color w:val="auto"/>
        </w:rPr>
      </w:pPr>
      <w:r>
        <w:rPr>
          <w:rFonts w:ascii="Arial" w:cs="Arial" w:eastAsia="Arial" w:hAnsi="Arial"/>
          <w:sz w:val="20"/>
          <w:szCs w:val="20"/>
          <w:color w:val="auto"/>
        </w:rPr>
        <w:t>H</w:t>
      </w:r>
      <w:r>
        <w:rPr>
          <w:rFonts w:ascii="Arial" w:cs="Arial" w:eastAsia="Arial" w:hAnsi="Arial"/>
          <w:sz w:val="17"/>
          <w:szCs w:val="17"/>
          <w:color w:val="auto"/>
        </w:rPr>
        <w:t>ospitals are called upon to provide the highest standard of patient care while at the same time reduce operating costs. Haemonetics' Hospital</w:t>
      </w:r>
      <w:r>
        <w:rPr>
          <w:rFonts w:ascii="Arial" w:cs="Arial" w:eastAsia="Arial" w:hAnsi="Arial"/>
          <w:sz w:val="20"/>
          <w:szCs w:val="20"/>
          <w:color w:val="auto"/>
        </w:rPr>
        <w:t xml:space="preserve"> </w:t>
      </w:r>
      <w:r>
        <w:rPr>
          <w:rFonts w:ascii="Arial" w:cs="Arial" w:eastAsia="Arial" w:hAnsi="Arial"/>
          <w:sz w:val="17"/>
          <w:szCs w:val="17"/>
          <w:color w:val="auto"/>
        </w:rPr>
        <w:t>business has three product lines - Hemostasis Management, Cell Salvage and Transfusion Management - that help decision makers in hospitals optimize blood acquisition, storage and usage in critical settings.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30" w:right="3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31"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b w:val="1"/>
          <w:bCs w:val="1"/>
          <w:i w:val="1"/>
          <w:iCs w:val="1"/>
          <w:color w:val="auto"/>
        </w:rPr>
        <w:t xml:space="preserve">Hemostasis Management Market </w:t>
      </w:r>
      <w:r>
        <w:rPr>
          <w:rFonts w:ascii="Arial" w:cs="Arial" w:eastAsia="Arial" w:hAnsi="Arial"/>
          <w:sz w:val="16"/>
          <w:szCs w:val="16"/>
          <w:color w:val="auto"/>
        </w:rPr>
        <w:t>— Hemostasis refers to a patient's ability to form and maintain blood clots. The clinical management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71" w:lineRule="exact"/>
        <w:rPr>
          <w:sz w:val="20"/>
          <w:szCs w:val="20"/>
          <w:color w:val="auto"/>
        </w:rPr>
      </w:pPr>
    </w:p>
    <w:p>
      <w:pPr>
        <w:ind w:left="660" w:right="340"/>
        <w:spacing w:after="0" w:line="213" w:lineRule="auto"/>
        <w:rPr>
          <w:sz w:val="20"/>
          <w:szCs w:val="20"/>
          <w:color w:val="auto"/>
        </w:rPr>
      </w:pPr>
      <w:r>
        <w:rPr>
          <w:rFonts w:ascii="Arial" w:cs="Arial" w:eastAsia="Arial" w:hAnsi="Arial"/>
          <w:sz w:val="18"/>
          <w:szCs w:val="18"/>
          <w:b w:val="1"/>
          <w:bCs w:val="1"/>
          <w:i w:val="1"/>
          <w:iCs w:val="1"/>
          <w:color w:val="auto"/>
        </w:rPr>
        <w:t xml:space="preserve">Hemostasis Management Products </w:t>
      </w:r>
      <w:r>
        <w:rPr>
          <w:rFonts w:ascii="Arial" w:cs="Arial" w:eastAsia="Arial" w:hAnsi="Arial"/>
          <w:sz w:val="18"/>
          <w:szCs w:val="18"/>
          <w:color w:val="auto"/>
        </w:rPr>
        <w:t>— Our portfolio of hemostasis diagnostic systems enables clinicians to assess holistically the coagulation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status of a patient at the point-of-care or laboratory setting. We have three device platforms that we market to hospitals and laboratories as an alternative to routine blood tests: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5000 hemostasis analyzer system, the TEG 6s hemostasis analyzer system, and the ClotPro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hemostasis analyzer system (acquired in April 2020).</w:t>
      </w:r>
    </w:p>
    <w:p>
      <w:pPr>
        <w:spacing w:after="0" w:line="202" w:lineRule="exact"/>
        <w:rPr>
          <w:sz w:val="20"/>
          <w:szCs w:val="20"/>
          <w:color w:val="auto"/>
        </w:rPr>
      </w:pPr>
    </w:p>
    <w:p>
      <w:pPr>
        <w:ind w:left="660" w:right="440"/>
        <w:spacing w:after="0" w:line="226" w:lineRule="auto"/>
        <w:rPr>
          <w:sz w:val="20"/>
          <w:szCs w:val="20"/>
          <w:color w:val="auto"/>
        </w:rPr>
      </w:pPr>
      <w:r>
        <w:rPr>
          <w:rFonts w:ascii="Arial" w:cs="Arial" w:eastAsia="Arial" w:hAnsi="Arial"/>
          <w:sz w:val="18"/>
          <w:szCs w:val="18"/>
          <w:color w:val="auto"/>
        </w:rPr>
        <w:t>Each hemostasis diagnostic system consists of an analyzer that is used with single-use reagents and disposables. In addition, TEG Manager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connects multiple TEG 5000 and TEG 6S analyzers throughout the hospital, providing clinicians remote access to both active and historical test results that inform treatment decisions.</w:t>
      </w:r>
    </w:p>
    <w:p>
      <w:pPr>
        <w:spacing w:after="0" w:line="20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TEG 5000 system is approved for a broad set of indications in all of our markets. The TEG 6s system is approved for the same set of indications as the TEG 5000 in Europe, Australia and Japan. We continue to pursue a broader set of indications for TEG 6s in the U.S. During fiscal 2020,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ClotPro system received CE mark clearance in March 2019 and is currently available in select European and Asia Pacific markets.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Cell Salvage</w:t>
      </w:r>
    </w:p>
    <w:p>
      <w:pPr>
        <w:spacing w:after="0" w:line="131" w:lineRule="exact"/>
        <w:rPr>
          <w:sz w:val="20"/>
          <w:szCs w:val="20"/>
          <w:color w:val="auto"/>
        </w:rPr>
      </w:pPr>
    </w:p>
    <w:p>
      <w:pPr>
        <w:jc w:val="both"/>
        <w:ind w:left="660" w:right="20"/>
        <w:spacing w:after="0" w:line="301" w:lineRule="auto"/>
        <w:rPr>
          <w:sz w:val="20"/>
          <w:szCs w:val="20"/>
          <w:color w:val="auto"/>
        </w:rPr>
      </w:pPr>
      <w:r>
        <w:rPr>
          <w:rFonts w:ascii="Arial" w:cs="Arial" w:eastAsia="Arial" w:hAnsi="Arial"/>
          <w:sz w:val="16"/>
          <w:szCs w:val="16"/>
          <w:b w:val="1"/>
          <w:bCs w:val="1"/>
          <w:i w:val="1"/>
          <w:iCs w:val="1"/>
          <w:color w:val="auto"/>
        </w:rPr>
        <w:t xml:space="preserve">Cell Salvage Market </w:t>
      </w:r>
      <w:r>
        <w:rPr>
          <w:rFonts w:ascii="Arial" w:cs="Arial" w:eastAsia="Arial" w:hAnsi="Arial"/>
          <w:sz w:val="16"/>
          <w:szCs w:val="16"/>
          <w:color w:val="auto"/>
        </w:rPr>
        <w:t>— The Cell Salvage market is mainly comprised of devices designed to transfuse back a patient’s own blood during or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157"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anesthesiologists and surgical suite service providers.</w:t>
      </w:r>
    </w:p>
    <w:p>
      <w:pPr>
        <w:spacing w:after="0" w:line="177" w:lineRule="exact"/>
        <w:rPr>
          <w:sz w:val="20"/>
          <w:szCs w:val="20"/>
          <w:color w:val="auto"/>
        </w:rPr>
      </w:pPr>
    </w:p>
    <w:p>
      <w:pPr>
        <w:ind w:left="660" w:right="280"/>
        <w:spacing w:after="0" w:line="262" w:lineRule="auto"/>
        <w:rPr>
          <w:sz w:val="20"/>
          <w:szCs w:val="20"/>
          <w:color w:val="auto"/>
        </w:rPr>
      </w:pPr>
      <w:r>
        <w:rPr>
          <w:rFonts w:ascii="Arial" w:cs="Arial" w:eastAsia="Arial" w:hAnsi="Arial"/>
          <w:sz w:val="16"/>
          <w:szCs w:val="16"/>
          <w:b w:val="1"/>
          <w:bCs w:val="1"/>
          <w:i w:val="1"/>
          <w:iCs w:val="1"/>
          <w:color w:val="auto"/>
        </w:rPr>
        <w:t xml:space="preserve">Cell Salvage Products </w:t>
      </w:r>
      <w:r>
        <w:rPr>
          <w:rFonts w:ascii="Arial" w:cs="Arial" w:eastAsia="Arial" w:hAnsi="Arial"/>
          <w:sz w:val="16"/>
          <w:szCs w:val="16"/>
          <w:color w:val="auto"/>
        </w:rPr>
        <w:t>— Our Cell Saver</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Elite</w:t>
      </w:r>
      <w:r>
        <w:rPr>
          <w:rFonts w:ascii="Arial" w:cs="Arial" w:eastAsia="Arial" w:hAnsi="Arial"/>
          <w:sz w:val="22"/>
          <w:szCs w:val="22"/>
          <w:color w:val="auto"/>
          <w:vertAlign w:val="superscript"/>
        </w:rPr>
        <w:t>®</w:t>
      </w:r>
      <w:r>
        <w:rPr>
          <w:rFonts w:ascii="Arial" w:cs="Arial" w:eastAsia="Arial" w:hAnsi="Arial"/>
          <w:sz w:val="16"/>
          <w:szCs w:val="16"/>
          <w:color w:val="auto"/>
        </w:rPr>
        <w:t>+ autologous blood recovery system is a surgical blood salvage system targeted to medium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 blood loss procedures, such as cardiovascular, orthopedic, trauma, transplant, vascular, obstetrical and gynecological surgeries. The Cell Saver Elite + is designed to minimize allogeneic blood use and reliably recover and transfuse a patient’s own high-quality blood.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0" w:right="3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Transfusion Management</w:t>
      </w:r>
    </w:p>
    <w:p>
      <w:pPr>
        <w:spacing w:after="0" w:line="131" w:lineRule="exact"/>
        <w:rPr>
          <w:sz w:val="20"/>
          <w:szCs w:val="20"/>
          <w:color w:val="auto"/>
        </w:rPr>
      </w:pPr>
    </w:p>
    <w:p>
      <w:pPr>
        <w:ind w:left="660" w:right="400"/>
        <w:spacing w:after="0" w:line="272" w:lineRule="auto"/>
        <w:rPr>
          <w:sz w:val="20"/>
          <w:szCs w:val="20"/>
          <w:color w:val="auto"/>
        </w:rPr>
      </w:pPr>
      <w:r>
        <w:rPr>
          <w:rFonts w:ascii="Arial" w:cs="Arial" w:eastAsia="Arial" w:hAnsi="Arial"/>
          <w:sz w:val="17"/>
          <w:szCs w:val="17"/>
          <w:b w:val="1"/>
          <w:bCs w:val="1"/>
          <w:i w:val="1"/>
          <w:iCs w:val="1"/>
          <w:color w:val="auto"/>
        </w:rPr>
        <w:t xml:space="preserve">Transfusion Management Market </w:t>
      </w:r>
      <w:r>
        <w:rPr>
          <w:rFonts w:ascii="Arial" w:cs="Arial" w:eastAsia="Arial" w:hAnsi="Arial"/>
          <w:sz w:val="17"/>
          <w:szCs w:val="17"/>
          <w:color w:val="auto"/>
        </w:rPr>
        <w:t>— Hospital transfusion services professionals and clinicians are facing cost restraints in addition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177" w:lineRule="exact"/>
        <w:rPr>
          <w:sz w:val="20"/>
          <w:szCs w:val="20"/>
          <w:color w:val="auto"/>
        </w:rPr>
      </w:pPr>
    </w:p>
    <w:p>
      <w:pPr>
        <w:ind w:left="660" w:right="200"/>
        <w:spacing w:after="0" w:line="227" w:lineRule="auto"/>
        <w:rPr>
          <w:sz w:val="20"/>
          <w:szCs w:val="20"/>
          <w:color w:val="auto"/>
        </w:rPr>
      </w:pPr>
      <w:r>
        <w:rPr>
          <w:rFonts w:ascii="Arial" w:cs="Arial" w:eastAsia="Arial" w:hAnsi="Arial"/>
          <w:sz w:val="18"/>
          <w:szCs w:val="18"/>
          <w:b w:val="1"/>
          <w:bCs w:val="1"/>
          <w:i w:val="1"/>
          <w:iCs w:val="1"/>
          <w:color w:val="auto"/>
        </w:rPr>
        <w:t xml:space="preserve">Transfusion Management Products </w:t>
      </w:r>
      <w:r>
        <w:rPr>
          <w:rFonts w:ascii="Arial" w:cs="Arial" w:eastAsia="Arial" w:hAnsi="Arial"/>
          <w:sz w:val="18"/>
          <w:szCs w:val="18"/>
          <w:color w:val="auto"/>
        </w:rPr>
        <w:t>— Our Transfusion Management solutions are designed to help provide safety, traceability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hospital blood bank to the patient bedside and enable consistent care across the hospital network. Our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transfusion management software is considered the system of record for all hospital blood bank and transfusion service information.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4" w:lineRule="exact"/>
        <w:rPr>
          <w:sz w:val="20"/>
          <w:szCs w:val="20"/>
          <w:color w:val="auto"/>
        </w:rPr>
      </w:pPr>
    </w:p>
    <w:p>
      <w:pPr>
        <w:ind w:left="60" w:right="1280" w:firstLine="594"/>
        <w:spacing w:after="0" w:line="391" w:lineRule="auto"/>
        <w:rPr>
          <w:sz w:val="20"/>
          <w:szCs w:val="20"/>
          <w:color w:val="auto"/>
        </w:rPr>
      </w:pPr>
      <w:r>
        <w:rPr>
          <w:rFonts w:ascii="Arial" w:cs="Arial" w:eastAsia="Arial" w:hAnsi="Arial"/>
          <w:sz w:val="18"/>
          <w:szCs w:val="18"/>
          <w:color w:val="auto"/>
        </w:rPr>
        <w:t xml:space="preserve">Our Hospital business unit represented 19.6%, 19.9% and 19.8% of our total revenue in fiscal 2020, 2019 and 2018, respectively. </w:t>
      </w:r>
      <w:r>
        <w:rPr>
          <w:rFonts w:ascii="Arial" w:cs="Arial" w:eastAsia="Arial" w:hAnsi="Arial"/>
          <w:sz w:val="18"/>
          <w:szCs w:val="18"/>
          <w:b w:val="1"/>
          <w:bCs w:val="1"/>
          <w:i w:val="1"/>
          <w:iCs w:val="1"/>
          <w:color w:val="auto"/>
        </w:rPr>
        <w:t>Marketing/Sales/Distribution</w:t>
      </w:r>
    </w:p>
    <w:p>
      <w:pPr>
        <w:spacing w:after="0" w:line="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research and development centers in the U.S. ensure that protocol variations are incorporated to closely match local customer requirements. In addition, Haemonetics maintains software development operations in Canada and France.</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fiscal 2020, research and development resources were allocated to support innovation across our portfolio, including investments in clinical programs for our Hemostasis Management product line. A key element of our strategy in the U.S. for our Hemostasis Management product line has been to invest in clinical trials to support expanded FDA labeling including a trauma indication for our TEG 6s.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In November 2019, we announced global commercial availability for the four-channel TEG 6s PlateletMapping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ADP &amp; AA assay cartridge, which is used by clinicians to assess a patient’s bleeding and thrombotic risk due to inhibition of platelet function caused by anticoagulants such as aspirin.</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December 2019, we also announced the North America commercial availability for the next generation of SafeTrace Tx Transfusion Management Software. This software version features significant improvements to the user experience and workflow efficiency.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continue to invest resources in next generation plasma collection and software systems.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endeavor to supply products that are both high quality and cost competitive for our customers by leveraging continuous improvement methodologies, focusing on our core competencies and partnering with strategic suppliers that complement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capabilities. In general, we design our equipment and consumables and use contract manufacturers to build the devices, while the majority of consumables are manufactured by us.</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primary consumable manufacturing operations are located in North America and Malaysia. Contract manufacturers also supply component sets and liquid solutions according to our specifications and manufacture in Mexico, Japan, Singapore, Thailand and the Philippines. Our devices are principally manufactured in Malaysia, Australia and the U.S.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Plastics and other petroleum-based products are the principal component of our disposable products and can be affected by oil and gas prices. Contracts with our suppliers help to mitigate some of the short term effects of price volatility in this market. However, increases in the price of petroleum derivatives could result in corresponding increases in our costs to procure plastic raw materials.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license patent rights from third parties that cover technologies that we use or plan to use in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We own various trademarks that have been registered in the United States and certain other countries.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10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we face competition from several large, global companies with product offerings similar to ours. Terumo BCT and Fresenius SE &amp; Co. KGaA, in particular, have significantly greater financial and other resources than we do and are strong competitors in a number of our businesses. The following provides an overview of the key competitors in each of our three global product enterprises.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23" w:lineRule="exact"/>
        <w:rPr>
          <w:rFonts w:ascii="Arial" w:cs="Arial" w:eastAsia="Arial" w:hAnsi="Arial"/>
          <w:sz w:val="18"/>
          <w:szCs w:val="18"/>
          <w:i w:val="1"/>
          <w:iCs w:val="1"/>
          <w:color w:val="auto"/>
        </w:rPr>
      </w:pPr>
    </w:p>
    <w:p>
      <w:pPr>
        <w:ind w:left="660" w:right="40"/>
        <w:spacing w:after="0" w:line="292" w:lineRule="auto"/>
        <w:rPr>
          <w:rFonts w:ascii="Arial" w:cs="Arial" w:eastAsia="Arial" w:hAnsi="Arial"/>
          <w:sz w:val="18"/>
          <w:szCs w:val="18"/>
          <w:i w:val="1"/>
          <w:iCs w:val="1"/>
          <w:color w:val="auto"/>
        </w:rPr>
      </w:pPr>
      <w:r>
        <w:rPr>
          <w:rFonts w:ascii="Arial" w:cs="Arial" w:eastAsia="Arial" w:hAnsi="Arial"/>
          <w:sz w:val="16"/>
          <w:szCs w:val="16"/>
          <w:color w:val="auto"/>
        </w:rPr>
        <w:t>In the automated plasma collection market, we principally compete with Fresenius' Fenwal Aurora and Aurora Xi product lines on the basis of speed, plasma yield per donation,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 European and South American countries. In the field of plasma related software, MAK Systems is the primary competitor along with applications developed internally by our customers.</w:t>
      </w:r>
    </w:p>
    <w:p>
      <w:pPr>
        <w:spacing w:after="0" w:line="67"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23" w:lineRule="exact"/>
        <w:rPr>
          <w:rFonts w:ascii="Arial" w:cs="Arial" w:eastAsia="Arial" w:hAnsi="Arial"/>
          <w:sz w:val="18"/>
          <w:szCs w:val="18"/>
          <w:i w:val="1"/>
          <w:iCs w:val="1"/>
          <w:color w:val="auto"/>
        </w:rPr>
      </w:pPr>
    </w:p>
    <w:p>
      <w:pPr>
        <w:ind w:left="660" w:right="12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Most donations worldwide are traditional manual whole blood collections and approximately 30% of the Blood Center portfolio competes in this space. We face intense competition in our whole blood business on the basis of quality and price. Our main competitors are Fresenius, MacoPharma and Terumo.</w:t>
      </w:r>
    </w:p>
    <w:p>
      <w:pPr>
        <w:spacing w:after="0" w:line="189" w:lineRule="exact"/>
        <w:rPr>
          <w:rFonts w:ascii="Arial" w:cs="Arial" w:eastAsia="Arial" w:hAnsi="Arial"/>
          <w:sz w:val="18"/>
          <w:szCs w:val="18"/>
          <w:i w:val="1"/>
          <w:iCs w:val="1"/>
          <w:color w:val="auto"/>
        </w:rPr>
      </w:pPr>
    </w:p>
    <w:p>
      <w:pPr>
        <w:ind w:left="660" w:right="2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Our MCS automated component blood collections, which represents approximately 65% of the Blood Center portfolio, not only compete against the traditional manual whole blood collection market (particularly in red cells) but also compete with products from Terumo and Fresenius. Technology is the key differentiator in automated component blood collections, as measured by the time to collect more than one unit of a specific targeted blood component. While not all donors are eligible to donate more than one unit, it continues to become more prevalent in markets with a significant number of eligible donors. Therefore, both Haemonetics and our competitors continue to experience downward pressure on collection through single platelet collection procedures.</w:t>
      </w:r>
    </w:p>
    <w:p>
      <w:pPr>
        <w:spacing w:after="0" w:line="192" w:lineRule="exact"/>
        <w:rPr>
          <w:rFonts w:ascii="Arial" w:cs="Arial" w:eastAsia="Arial" w:hAnsi="Arial"/>
          <w:sz w:val="18"/>
          <w:szCs w:val="18"/>
          <w:i w:val="1"/>
          <w:iCs w:val="1"/>
          <w:color w:val="auto"/>
        </w:rPr>
      </w:pPr>
    </w:p>
    <w:p>
      <w:pPr>
        <w:ind w:left="660" w:right="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Blood Center software, MAK Technologies is a competitor along with systems developed internally by our customers. Our software portfolio is predominately a U.S. based business.</w:t>
      </w:r>
    </w:p>
    <w:p>
      <w:pPr>
        <w:spacing w:after="0" w:line="7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13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Hemostasis Management</w:t>
      </w:r>
    </w:p>
    <w:p>
      <w:pPr>
        <w:spacing w:after="0" w:line="225" w:lineRule="exact"/>
        <w:rPr>
          <w:rFonts w:ascii="Arial" w:cs="Arial" w:eastAsia="Arial" w:hAnsi="Arial"/>
          <w:sz w:val="18"/>
          <w:szCs w:val="18"/>
          <w:i w:val="1"/>
          <w:iCs w:val="1"/>
          <w:color w:val="auto"/>
        </w:rPr>
      </w:pPr>
    </w:p>
    <w:p>
      <w:pPr>
        <w:ind w:left="660" w:right="12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Our hemostasis analyzer systems are used primarily in surgical applications. Competition includes routine coagulation tests, such as prothrombin time, partial thromboplastin time and platelet count marketed by various manufacturers, such as Instrumentation Laboratory,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157" w:lineRule="exact"/>
        <w:rPr>
          <w:rFonts w:ascii="Arial" w:cs="Arial" w:eastAsia="Arial" w:hAnsi="Arial"/>
          <w:sz w:val="18"/>
          <w:szCs w:val="18"/>
          <w:i w:val="1"/>
          <w:iCs w:val="1"/>
          <w:color w:val="auto"/>
        </w:rPr>
      </w:pPr>
    </w:p>
    <w:p>
      <w:pPr>
        <w:ind w:left="660"/>
        <w:spacing w:after="0" w:line="213" w:lineRule="auto"/>
        <w:rPr>
          <w:rFonts w:ascii="Arial" w:cs="Arial" w:eastAsia="Arial" w:hAnsi="Arial"/>
          <w:sz w:val="18"/>
          <w:szCs w:val="18"/>
          <w:i w:val="1"/>
          <w:iCs w:val="1"/>
          <w:color w:val="auto"/>
        </w:rPr>
      </w:pPr>
      <w:r>
        <w:rPr>
          <w:rFonts w:ascii="Arial" w:cs="Arial" w:eastAsia="Arial" w:hAnsi="Arial"/>
          <w:sz w:val="18"/>
          <w:szCs w:val="18"/>
          <w:color w:val="auto"/>
        </w:rPr>
        <w:t>In addition, TEG and ClotPro systems compete more directly with other advanced blood test systems, including ROTEM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analyzers, the VerifyNow</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and HemoSonics Quantra™. ROTEM and VerifyNow instruments are marketed by Instrumentation Laboratory, a subsidiary of Werfen. HemoSonics is owned and offered by Diagnostica Stago. There are also additional technologies being explored to assess viscoelasticity and other characteristics that can provide insights into the coagulation status of a patient.</w:t>
      </w:r>
    </w:p>
    <w:p>
      <w:pPr>
        <w:spacing w:after="0" w:line="107"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Cell Salvage</w:t>
      </w:r>
    </w:p>
    <w:p>
      <w:pPr>
        <w:spacing w:after="0" w:line="225" w:lineRule="exact"/>
        <w:rPr>
          <w:rFonts w:ascii="Arial" w:cs="Arial" w:eastAsia="Arial" w:hAnsi="Arial"/>
          <w:sz w:val="18"/>
          <w:szCs w:val="18"/>
          <w:i w:val="1"/>
          <w:iCs w:val="1"/>
          <w:color w:val="auto"/>
        </w:rPr>
      </w:pPr>
    </w:p>
    <w:p>
      <w:pPr>
        <w:ind w:left="660" w:right="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8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Transfusion Management</w:t>
      </w:r>
    </w:p>
    <w:p>
      <w:pPr>
        <w:spacing w:after="0" w:line="225" w:lineRule="exact"/>
        <w:rPr>
          <w:rFonts w:ascii="Arial" w:cs="Arial" w:eastAsia="Arial" w:hAnsi="Arial"/>
          <w:sz w:val="18"/>
          <w:szCs w:val="18"/>
          <w:i w:val="1"/>
          <w:iCs w:val="1"/>
          <w:color w:val="auto"/>
        </w:rPr>
      </w:pPr>
    </w:p>
    <w:p>
      <w:pPr>
        <w:ind w:left="660" w:right="2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161" w:lineRule="exact"/>
        <w:rPr>
          <w:rFonts w:ascii="Arial" w:cs="Arial" w:eastAsia="Arial" w:hAnsi="Arial"/>
          <w:sz w:val="18"/>
          <w:szCs w:val="18"/>
          <w:i w:val="1"/>
          <w:iCs w:val="1"/>
          <w:color w:val="auto"/>
        </w:rPr>
      </w:pPr>
    </w:p>
    <w:p>
      <w:pPr>
        <w:jc w:val="both"/>
        <w:ind w:left="660" w:right="12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fiscal 2020, 2019 and 2018, our ten largest customers accounted for approximately 54%, 52% and 45% of our net revenues, respectively. In fiscal 2020, 2019 and 2018, two of our Plasma customers, CSL Plasma Inc. ("CSL") and Grifols, each were greater than 10% of total net revenues and in total accounted for approximately 27%, 27% and 26% of our net revenues, respectively. Additionally, one of our customers accounted for greater than 10% of our Blood Center segment’s net revenues in fiscal 2020, 2019 and 2018.</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Due to the variety of products that we manufacture, we and our products are subject to a wide variety of regulations by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Requirements - U.S.</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an exemption applies, all medical devices introduced to the U.S. market are required by the FDA, as a condition of marketing, to secure either clearance of a 510(k) pre-market notification, de novo authorization, or approval of premarket approval application, or PMA. The FDA classifies medical devices into one of three classes. Devices deemed to pose a low or moderate risk are placed in class I or II, which requires the manufacturer to submit to the FDA a 510(k) premarket notification requesting clearance for commercial distribution, unless the device type is exempt from this requirement. Devices deemed by the FDA to pose the greatest risk or devices deemed not substantially equivalent to a previously cleared 510(k) device are placed in class III, requiring submission and approval of a PMA or risk-based classification through the de novo process. The 510(k) clearance, de novo authorization, and PMA processes can be resource intensive, expensive, lengthy and require payment of significant user fees.</w:t>
      </w:r>
    </w:p>
    <w:p>
      <w:pPr>
        <w:spacing w:after="0" w:line="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authorization. The FDA’s 510(k) clearance pathway usually takes from three to 12 months from the date the notification is submitted, but it can take longer, depending on the extent of the FDA's requests for additional information and the amount of time a sponsor takes to fulfill them.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Another procedure for obtaining marketing authorization for a medical device is the de novo authorization process. The de novo process is a route to market for novel medical devices that are low to moderate risk and are not substantially equivalent to a predicate device. Once a de novo application is reviewed and authorized by the FDA, it results in the device having a Class I or II status and future devices from the company or a competitor may use the device as a 510(k) predicate.</w:t>
      </w:r>
    </w:p>
    <w:p>
      <w:pPr>
        <w:spacing w:after="0" w:line="10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 PMA must be submitted if a device cannot be cleared through the 510(k) clearance process or authorized as a class II device through the de novo process. The PMA process is generally more detailed, lengthier and more expensive than the 510(k) and de novo processes. To date, we have no PMA approved products and do not have any class III products on our product pipeline.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Requirements - U.S.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After the FDA permits a device to enter commercial distribution, numerous regulatory requirements continue to apply. These include, among others:</w:t>
      </w:r>
    </w:p>
    <w:p>
      <w:pPr>
        <w:spacing w:after="0" w:line="277" w:lineRule="exact"/>
        <w:rPr>
          <w:sz w:val="20"/>
          <w:szCs w:val="20"/>
          <w:color w:val="auto"/>
        </w:rPr>
      </w:pPr>
    </w:p>
    <w:p>
      <w:pPr>
        <w:ind w:left="1300" w:right="380" w:hanging="158"/>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FDA's Quality System Regulation, or QSR, which requires manufacturers, including third party device manufacturers, to follow quality assurance procedures during all aspects of the manufacturing process;</w:t>
      </w:r>
    </w:p>
    <w:p>
      <w:pPr>
        <w:spacing w:after="0" w:line="75" w:lineRule="exact"/>
        <w:rPr>
          <w:rFonts w:ascii="Arial" w:cs="Arial" w:eastAsia="Arial" w:hAnsi="Arial"/>
          <w:sz w:val="18"/>
          <w:szCs w:val="18"/>
          <w:color w:val="auto"/>
        </w:rPr>
      </w:pPr>
    </w:p>
    <w:p>
      <w:pPr>
        <w:ind w:left="1300" w:hanging="158"/>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Labeling regulations including unique device identification;</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Clearance of a 510(k) for certain product modifications;</w:t>
      </w:r>
    </w:p>
    <w:p>
      <w:pPr>
        <w:spacing w:after="0" w:line="130" w:lineRule="exact"/>
        <w:rPr>
          <w:rFonts w:ascii="Arial" w:cs="Arial" w:eastAsia="Arial" w:hAnsi="Arial"/>
          <w:sz w:val="18"/>
          <w:szCs w:val="18"/>
          <w:color w:val="auto"/>
        </w:rPr>
      </w:pPr>
    </w:p>
    <w:p>
      <w:pPr>
        <w:ind w:left="1300" w:right="140" w:hanging="158"/>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89" w:lineRule="exact"/>
        <w:rPr>
          <w:rFonts w:ascii="Arial" w:cs="Arial" w:eastAsia="Arial" w:hAnsi="Arial"/>
          <w:sz w:val="18"/>
          <w:szCs w:val="18"/>
          <w:color w:val="auto"/>
        </w:rPr>
      </w:pPr>
    </w:p>
    <w:p>
      <w:pPr>
        <w:ind w:left="1300" w:hanging="158"/>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correction and removal (recall) reporting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Additionally, we and the manufacturing facilities of our suppliers are subject to unannounced inspections by the FDA to determine our compliance with the QSR and other applicable regulations described above. The FDA can issue warning letters or untitled letters, seek a court order detaining or seizing certain devices, seek an injunctions, suspend regulatory clearance or approvals, ban certain medical devices, order repair, replacement or refund of those devices and require notification of health professionals and others with regard to medical devices that present risks of substantial harm to the public health. The FDA may also initiate action for criminal prosecution of such violations.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306"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 xml:space="preserve">The regulatory review process varies from country to country and may in some cases require the submission of clinical data. Our international sales are subject to regulatory requirements in the countries in which our products are sold. These regulations will be significantly modified in the next couple of years. For example, in May 2017, the EU Medical Devices Regulation (Regulation 2017/745) was adopted. The EU Medical Devices Regulation, or EU MDR, repeals and replaces the EU Medical Devices Directive. The EU MDR, among other things, is intended to establish a uniform, transparent, predictable and sustainable regulatory framework across the European Economic Area for medical devices and ensure a high level of safety and health while supporting innovation. </w:t>
      </w:r>
      <w:r>
        <w:rPr>
          <w:rFonts w:ascii="Arial" w:cs="Arial" w:eastAsia="Arial" w:hAnsi="Arial"/>
          <w:sz w:val="17"/>
          <w:szCs w:val="17"/>
          <w:color w:val="212529"/>
        </w:rPr>
        <w:t>Manufacturers of currently approved medical devices will have until May 2021 to meet the requirements of the EU MDR,</w:t>
      </w:r>
      <w:r>
        <w:rPr>
          <w:rFonts w:ascii="Arial" w:cs="Arial" w:eastAsia="Arial" w:hAnsi="Arial"/>
          <w:sz w:val="17"/>
          <w:szCs w:val="17"/>
          <w:color w:val="auto"/>
        </w:rPr>
        <w:t xml:space="preserve"> </w:t>
      </w:r>
      <w:r>
        <w:rPr>
          <w:rFonts w:ascii="Arial" w:cs="Arial" w:eastAsia="Arial" w:hAnsi="Arial"/>
          <w:sz w:val="17"/>
          <w:szCs w:val="17"/>
          <w:color w:val="212529"/>
        </w:rPr>
        <w:t>which reflects the EU’s decision in April 2020 to postpone the implementation date one year due to the impact of COVID-19</w:t>
      </w:r>
      <w:r>
        <w:rPr>
          <w:rFonts w:ascii="Arial" w:cs="Arial" w:eastAsia="Arial" w:hAnsi="Arial"/>
          <w:sz w:val="17"/>
          <w:szCs w:val="17"/>
          <w:color w:val="000000"/>
        </w:rPr>
        <w:t>. Once applicable, the new</w:t>
      </w:r>
      <w:r>
        <w:rPr>
          <w:rFonts w:ascii="Arial" w:cs="Arial" w:eastAsia="Arial" w:hAnsi="Arial"/>
          <w:sz w:val="17"/>
          <w:szCs w:val="17"/>
          <w:color w:val="212529"/>
        </w:rPr>
        <w:t xml:space="preserve"> </w:t>
      </w:r>
      <w:r>
        <w:rPr>
          <w:rFonts w:ascii="Arial" w:cs="Arial" w:eastAsia="Arial" w:hAnsi="Arial"/>
          <w:sz w:val="17"/>
          <w:szCs w:val="17"/>
          <w:color w:val="000000"/>
        </w:rPr>
        <w:t>regulations will among other things:</w:t>
      </w:r>
    </w:p>
    <w:p>
      <w:pPr>
        <w:spacing w:after="0" w:line="219" w:lineRule="exact"/>
        <w:rPr>
          <w:sz w:val="20"/>
          <w:szCs w:val="20"/>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 the traceability of medical devices;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 up a central database to provide comprehensive information on products available in the EU; and</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before they are placed on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meantime, the current EU Medical Devices Directive continues to apply.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corresponding regulation for in vitro diagnostics, the EU In Vitro Diagnostic Devices Regulation (Regulation 2017/746), or EU IVDR, becomes applicable in May 2022. In the meantime, the current EU In Vitro Diagnostic Directive continues to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Drug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Approval</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Federal Food, Drug and Cosmetic Act, FDA approval of a new drug application, or NDA, is generally required before any new drug can be marketed in the U.S. Under the Public Health Service Act, or PHSA, FDA licensure of a biologics license application, or BLA, is required before a biologic can be marketed in the U.S. NDAs and BLAs require extensive studies and submission of a large amount of data by the applicant.</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currently hold NDAs and ANDAs for liquid solutions (including anticoagulants, intravenous saline and a red blood cell storage solution), which we sell with our blood component and whole blood collection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the FDA permits a drug to enter commercial distribution, numerous regulatory requirements continue to apply. These include the FDA's current Good Manufacturing Practices,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promotion requirements and restrictions; regulations regarding conducting recalls of product and requirements relating to the reporting of adverse events.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or biological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Conflict Minerals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Fraud and Abuse Laws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30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the Physician Payment Sunshine Act, implemented as the Open Payments program, requires manufacturers of certain products reimbursed by Medicare, Medicaid, or the Children’s Health Insurance Program to track and report to the federal government payments and transfers of value that they make to physicians and teaching hospitals and ownership interests held by physicians and their family and provides for public disclosures of these data.</w:t>
      </w:r>
    </w:p>
    <w:p>
      <w:pPr>
        <w:spacing w:after="0" w:line="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Many states have adopted analogous laws and regulations, including state anti-kickback and false claims laws, which may apply to items or services reimbursed under Medicaid and other state programs or, in several states, regardless of the payor.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Other countries, including a number of EU Member States, have laws of similar application.</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2020, we employed the full-time equivalent of 3,004 persons.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Code of Conduct and the charters of the Audit, Compensation, Governance and Compliance and Technology Committees are published on the Investor Relations section of our website at </w:t>
      </w:r>
      <w:r>
        <w:rPr>
          <w:rFonts w:ascii="Arial" w:cs="Arial" w:eastAsia="Arial" w:hAnsi="Arial"/>
          <w:sz w:val="18"/>
          <w:szCs w:val="18"/>
          <w:u w:val="single" w:color="auto"/>
          <w:color w:val="0000FF"/>
        </w:rPr>
        <w:t>www.haemonetics.com</w:t>
      </w:r>
      <w:r>
        <w:rPr>
          <w:rFonts w:ascii="Arial" w:cs="Arial" w:eastAsia="Arial" w:hAnsi="Arial"/>
          <w:sz w:val="18"/>
          <w:szCs w:val="18"/>
          <w:color w:val="000000"/>
        </w:rPr>
        <w:t>. On this web site the public can also access, free of charge, our annual, quarterly and current reports and other documents filed or</w:t>
      </w:r>
      <w:r>
        <w:rPr>
          <w:rFonts w:ascii="Arial" w:cs="Arial" w:eastAsia="Arial" w:hAnsi="Arial"/>
          <w:sz w:val="18"/>
          <w:szCs w:val="18"/>
          <w:color w:val="0000FF"/>
        </w:rPr>
        <w:t xml:space="preserve"> </w:t>
      </w:r>
      <w:r>
        <w:rPr>
          <w:rFonts w:ascii="Arial" w:cs="Arial" w:eastAsia="Arial" w:hAnsi="Arial"/>
          <w:sz w:val="18"/>
          <w:szCs w:val="18"/>
          <w:color w:val="000000"/>
        </w:rPr>
        <w:t>furnished to the Securities and Exchange Commission, or SEC, as soon as reasonably practicable after we electronically file such material with, or furnish it to, the SEC. The SEC maintains an internet site (</w:t>
      </w:r>
      <w:r>
        <w:rPr>
          <w:rFonts w:ascii="Arial" w:cs="Arial" w:eastAsia="Arial" w:hAnsi="Arial"/>
          <w:sz w:val="18"/>
          <w:szCs w:val="18"/>
          <w:u w:val="single" w:color="auto"/>
          <w:color w:val="0000FF"/>
        </w:rPr>
        <w:t>http://www.sec.gov</w:t>
      </w:r>
      <w:r>
        <w:rPr>
          <w:rFonts w:ascii="Arial" w:cs="Arial" w:eastAsia="Arial" w:hAnsi="Arial"/>
          <w:sz w:val="18"/>
          <w:szCs w:val="18"/>
          <w:color w:val="000000"/>
        </w:rPr>
        <w:t>) that contains reports, proxy and information statements and other information regarding issuers that file documents electronically.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 of planned acquisitions or dispositions; market position and expenditures.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70" w:lineRule="exact"/>
        <w:rPr>
          <w:sz w:val="20"/>
          <w:szCs w:val="20"/>
          <w:color w:val="auto"/>
        </w:rPr>
      </w:pPr>
    </w:p>
    <w:p>
      <w:pPr>
        <w:ind w:left="660" w:right="4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which may be heightened if the pandemic and various government responses to it continue for an extended period of time;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70"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4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70" w:lineRule="exact"/>
        <w:rPr>
          <w:rFonts w:ascii="Arial" w:cs="Arial" w:eastAsia="Arial" w:hAnsi="Arial"/>
          <w:sz w:val="18"/>
          <w:szCs w:val="18"/>
          <w:color w:val="auto"/>
        </w:rPr>
      </w:pPr>
    </w:p>
    <w:p>
      <w:pPr>
        <w:ind w:left="660" w:right="5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12529"/>
        </w:rPr>
        <w:t>The impact of enhanced requirements to obtain regulatory approval in the U.S. and around the world, including the EU MDR and the associated timing and cost of product approval, and</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 on terms reasonably acceptable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20" w:top="130" w:right="4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 and the possibility that our share repurchase program may be delayed, suspended or discontinued;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130" w:right="5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The ongoing COVID-19 pandemic, or outbreaks of communicable diseases, could have a material adverse impact on our business, financial condition, cash flows and results of operations, which may be heightened if the pandemic and various government responses to it continue for an extended period of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outbreak has significantly impacted economic activity and markets around the world. If the pandemic continues and conditions worsen, we could suffer a material adverse effect on our business, financial condition, cash flows and results of operations in numerous ways, including, but not limited to, those outlined below:</w:t>
      </w:r>
    </w:p>
    <w:p>
      <w:pPr>
        <w:spacing w:after="0" w:line="184" w:lineRule="exact"/>
        <w:rPr>
          <w:sz w:val="20"/>
          <w:szCs w:val="20"/>
          <w:color w:val="auto"/>
        </w:rPr>
      </w:pPr>
    </w:p>
    <w:p>
      <w:pPr>
        <w:ind w:left="660" w:hanging="328"/>
        <w:spacing w:after="0" w:line="28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Product Demand. </w:t>
      </w:r>
      <w:r>
        <w:rPr>
          <w:rFonts w:ascii="Arial" w:cs="Arial" w:eastAsia="Arial" w:hAnsi="Arial"/>
          <w:sz w:val="16"/>
          <w:szCs w:val="16"/>
          <w:color w:val="auto"/>
        </w:rPr>
        <w:t>As a result of COVID-19, we have experienced in the fourth quarter of fiscal 2020, and expect to experience more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2021, decreased demand for our products and increased volatility in demand for our products. For example, lower collection volumes at source plasma collection centers due to COVID-19 factors, including stay-at-home and other government orders designed to slow the spread of COVID-19, donor safety concerns, and reduced donor collection capacity due to shutdowns and social distancing requirements, have adversely affected and likely will continue to adversely affect demand for our Plasma disposable products. Additionally, reductions in elective surgeries and trauma cases, restrictions on vendor access at customer sites and the reallocation of hospital resources to address critical intensive care needs during the COVID-19 pandemic have adversely affected and will likely continue to adversely affect demand for our Hospital products, particularly our Cell Saver and TEG devices. We also have experienced, and may continue to experience, in certain markets rapid and unpredictable changes in demand for some of our Blood Center disposable products as blood collectors seek to replenish their blood product inventories and safety stocks. Such changes could impact our ability to meet demand on a timely basis or could result in potential reductions in demand in future periods if the supply of blood held by our customers significantly exceeds the demand for blood from hospitals due to declines of elective surgeries and trauma cases. Finally, we may experience delays in our clinical trials as a result of COVID-19 that may result in delays for new or expanded authorizations for our products, which could adversely affect our development and commercialization plans for our products.</w:t>
      </w:r>
    </w:p>
    <w:p>
      <w:pPr>
        <w:spacing w:after="0" w:line="173" w:lineRule="exact"/>
        <w:rPr>
          <w:rFonts w:ascii="Arial" w:cs="Arial" w:eastAsia="Arial" w:hAnsi="Arial"/>
          <w:sz w:val="16"/>
          <w:szCs w:val="16"/>
          <w:color w:val="auto"/>
        </w:rPr>
      </w:pPr>
    </w:p>
    <w:p>
      <w:pPr>
        <w:ind w:left="660" w:right="2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Supply Chain and Distribution System Disruption. </w:t>
      </w:r>
      <w:r>
        <w:rPr>
          <w:rFonts w:ascii="Arial" w:cs="Arial" w:eastAsia="Arial" w:hAnsi="Arial"/>
          <w:sz w:val="18"/>
          <w:szCs w:val="18"/>
          <w:color w:val="212529"/>
        </w:rPr>
        <w:t>COVID-19 and its associated economic disruptions could have an adverse</w:t>
      </w:r>
      <w:r>
        <w:rPr>
          <w:rFonts w:ascii="Arial" w:cs="Arial" w:eastAsia="Arial" w:hAnsi="Arial"/>
          <w:sz w:val="18"/>
          <w:szCs w:val="18"/>
          <w:i w:val="1"/>
          <w:iCs w:val="1"/>
          <w:color w:val="auto"/>
        </w:rPr>
        <w:t xml:space="preserve"> </w:t>
      </w:r>
      <w:r>
        <w:rPr>
          <w:rFonts w:ascii="Arial" w:cs="Arial" w:eastAsia="Arial" w:hAnsi="Arial"/>
          <w:sz w:val="18"/>
          <w:szCs w:val="18"/>
          <w:color w:val="212529"/>
        </w:rPr>
        <w:t>impact on our manufacturing capacity, supply chains and distribution systems, including as a result of impacts associated with preventive and precautionary measures that we, other businesses and governments are taking and financial difficulties experienced by our third-party manufacturers and suppliers</w:t>
      </w:r>
      <w:r>
        <w:rPr>
          <w:rFonts w:ascii="Arial" w:cs="Arial" w:eastAsia="Arial" w:hAnsi="Arial"/>
          <w:sz w:val="18"/>
          <w:szCs w:val="18"/>
          <w:color w:val="000000"/>
        </w:rPr>
        <w:t>.</w:t>
      </w:r>
      <w:r>
        <w:rPr>
          <w:rFonts w:ascii="Arial" w:cs="Arial" w:eastAsia="Arial" w:hAnsi="Arial"/>
          <w:sz w:val="18"/>
          <w:szCs w:val="18"/>
          <w:color w:val="212529"/>
        </w:rPr>
        <w:t xml:space="preserve"> Although we have not experienced significant manufacturing or supply chain difficulties to date as a result of COVID-19, we may in the future. A reduction or interruption in any of our manufacturing processes could have a material adverse effect on our business.</w:t>
      </w:r>
    </w:p>
    <w:p>
      <w:pPr>
        <w:spacing w:after="0" w:line="192" w:lineRule="exact"/>
        <w:rPr>
          <w:rFonts w:ascii="Arial" w:cs="Arial" w:eastAsia="Arial" w:hAnsi="Arial"/>
          <w:sz w:val="18"/>
          <w:szCs w:val="18"/>
          <w:color w:val="auto"/>
        </w:rPr>
      </w:pPr>
    </w:p>
    <w:p>
      <w:pPr>
        <w:ind w:left="660" w:right="40" w:hanging="328"/>
        <w:spacing w:after="0" w:line="29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212529"/>
        </w:rPr>
        <w:t xml:space="preserve">Potential Liquidity and Credit Impacts. </w:t>
      </w:r>
      <w:r>
        <w:rPr>
          <w:rFonts w:ascii="Arial" w:cs="Arial" w:eastAsia="Arial" w:hAnsi="Arial"/>
          <w:sz w:val="16"/>
          <w:szCs w:val="16"/>
          <w:color w:val="000000"/>
        </w:rPr>
        <w:t>While we have significant sources of cash and liquidity and access to committed credit lines, we may be</w:t>
      </w:r>
      <w:r>
        <w:rPr>
          <w:rFonts w:ascii="Arial" w:cs="Arial" w:eastAsia="Arial" w:hAnsi="Arial"/>
          <w:sz w:val="16"/>
          <w:szCs w:val="16"/>
          <w:i w:val="1"/>
          <w:iCs w:val="1"/>
          <w:color w:val="212529"/>
        </w:rPr>
        <w:t xml:space="preserve"> </w:t>
      </w:r>
      <w:r>
        <w:rPr>
          <w:rFonts w:ascii="Arial" w:cs="Arial" w:eastAsia="Arial" w:hAnsi="Arial"/>
          <w:sz w:val="16"/>
          <w:szCs w:val="16"/>
          <w:color w:val="000000"/>
        </w:rPr>
        <w:t>adversely impacted by delays in payments of outstanding receivables if our customers experience financial difficulties or are unable to borrow money to fund their operations, which may adversely impact their ability to pay for our products on a timely basis, if at all, which in turn would adversely affect our financial condition. Moreover, conditions in the financial and credit markets could increase the cost of and our accessibility to capital. If we need to access capital, there can be no assurance that financing may be available on attractive terms, if at all.</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and other impacts of COVID-19 may also have the effect of heightening many of the other risks described in the Risk Factors section of this Annual Report on Form 10-K. We believe the magnitude of the adverse impact of these factors on our business, financial condition, cash flows and results of operations will be primarily driven by: the severity and duration of the COVID-19 pandemic; the timing, scope and effectiveness of governmental responses to the COVID-19 pandemic and associated economic disruptions; general confidence about personal health and safety; and the COVID-19 pandemic’s impact on U.S. and international healthcare systems, the U.S. economy and the worldwide economy.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 we have not correctly identified the product categories with greatest growth potential, we will not allocate our resources appropriately which could have a material adverse effect on our business, financial condition or results of operations. Further, if we are unable to reduce costs and complexity in our Blood Center business unit, we will obtain lower than expected cash flows to fund our future growth and capital needs. This could have a material adverse effect on our liquidity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reductions in purchasing from or loss of a significant customer could adversely affect our business.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2020, our two largest Plasma customers each accounted for more than 10% of our net revenues and our ten largest customers accounted for approximately 54% of our net revenues. If any of our largest customers materially reduce their purchases from us or terminate their relationship with us for any reason, including material decreases in demand for plasma or development of alternative processes, we could experience an adverse effect on our results of operations or financial condition.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Three of our largest Plasma customers have contracts that are subject to renewal before the end of fiscal 2022. In the event that we do not extend our current contracts or enter into new contracts with these customers on acceptable terms, our revenues and operating income could be negatively impacted in a manner that could have a material adverse effect on our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or quality issues associated with our products could adversely affect the results of operations.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convert customers to our NexSys platform, meet customer placement demands or negotiate competitive pricing, we may not realize the intended benefits of our investment.</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focused heavily on the development and commercialization of our NexSys platform, comprised of both the NexSys PCS plasmapheresis system and NexLynk DMS software. Since the commercial launch of our NexSys platform in fiscal 2019, we have entered into long-term customer contracts providing for conversion to NexSys. However, if additional customers do not adopt NexSys or they do and we are unable to procure sufficient NexySys PCS devices from our contract manufacturers to meet demand or receive a price that provides an inadequate return on our investment, or if such customer adoption does not occur within the expected timeframe, we may not realize the full intended benefits of our investment.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30" w:right="3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Although prior cyber incidents have not had a material effect on our business and we have invested and continue to invest in the protection of personal information and proprietary or confidential information, there can be no assurance that our efforts will prevent cyber 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3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and the European Union’s General Data Protection Regulation, or GDPR. The GDPR imposes stringent European Union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outsource certain aspects of our business to a single third-party vendor that subjects us to risks, including disruptions in business and increased costs.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17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If our vendor is unable to adequately protect our data or information is lost, if our ability to deliver our services is interrupted (including as a result of significant outbreaks of disease, including the ongoing COVID-19 pandemic, natural disasters, strikes, terrorism attacks or other adverse events in the countries in which the vendor operates), if our vendor's fees are higher than expected, or if our vendor makes mistakes in the execution of operations support, then our business and operating results may be negatively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demand for whole blood disposable products in the U.S. continued to decrease in fiscal 2020 due to sustained declines in transfusion rates caused by hospitals' improved blood management techniques and protocols. In response to this trend, U.S. blood center collection groups prefer single source vendors for their whole blood collection products and are primarily focused on obtaining the lowest average selling prices.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188"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Consolidation of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influence of group purchasing organizations in the U.S., integrated delivery networks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 interruption in our ability to manufacture our products, obtain key components or raw materials, or the failure of a sole source supplier may adversely affect our business.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complex global supply chain that involves integrating key suppliers and our manufacturing capacity into a global movement of components and finished goods.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certain key disposables at single locations with limited alternate facilities. If an event occurs that results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notably JMS Co. Ltd., Kawasumi Laboratories, Leica Biosystems Melbourne Pty. Ltd., Sanmina Corporation and Sparton Medical Systems Colorado LLC, who have their own complex supply chains. Any disruption to one or more of our suppliers’ production or delivery of sufficient volumes of components conforming to our specifications, could disrupt or delay our ability to deliver finished products to our customers. For example, we purchase components in Asia for use in manufacturing in the U.S., Puerto Rico and Mexico. We source all of our apheresis equipment from Asia and regularly ship finished goods from the U.S., Puerto Rico and Mexico to the rest of the world.</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Due to the high standards and stringent requirements of the FDA and other similar non-U.S. regulatory agencies applicable to manufacturing our products, such as the FDA's Quality System Regulation and Good Manufacturing Practices, we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30" w:right="3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or resins we purchase could adversely affect our business.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face risks related to price, composition and availability of the plastic raw materials used in our business. Climate change (including laws or regulations passed in response thereto) could increase our costs, in particular our costs of supply, energy and transportation/freight. Material or sustained increases in the price of petroleum or petroleum derivatives could have an adverse impact on the costs to procure plastic raw materials and the costs of our transportation/freight. Increases in the costs of other commodities also may affect our procurement costs to a lesser degree.</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composition of the plastic we purchase is also important. Today, we purchase plastics that contain phthalates, which are used to make plastic malleable. Should plastics with phthalates become unavailable due to regulatory changes, we may be required to obtain regulatory approvals from the FDA and foreign authorities for a number of products.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and development, our business may be materially and adversely affected.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significant element of our strategy is to increase revenue growth by focusing on innovation and new product development. 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successfully complete clinical trials, obtain regulatory approvals in the United States and abroad, manufacture products in a cost-effective manner, obtain appropriate intellectual 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Operational Excellence Program.</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July 2019, our Board of Directors approved a new Operational Excellence Program, also referred to in this report as the 2020 Program, and delegated authority to management to determine the detail of the initiatives that will comprise the program. The 2020 Program is designed to improve operational performance and reduce cost principally in our manufacturing and supply chain operations. While cost savings from the 2020 Program to date have been consistent with our expectations, it is possible that events and circumstances, such as financial or strategic difficulties, delays and unexpected costs may occur, including as a direct or indirect result of the COVID-19 pandemic, that could result in our not realizing all of the anticipated benefits or our not realizing the anticipated benefits on our expected timetable. Our inability to realize all of the anticipated benefits from the 2020 Program could have a material adverse effect on our business, results of operations, cash flows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business development activities are unsuccessful, we may not realize the intended benefits.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may seek to supplement our organic growth through strategic acquisitions, investments and alliances. Such transactions are inherently risky and require significant effort and management attention. The success of any acquisition, investment or alliance may be affected by a number of factors, including our ability to properly assess and value the potential business opportunity or to successfully integrate any business we may acquire into our existing business. 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 If our business development activities are unsuccessful, we may not realize the intended benefits of such activities, including that acquisition and integration costs may be greater than expected or the possibility that expected return on investment synergies and accretion will not be realized or will not be realized within the expected timeframe.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operate in a highly regulated industry, and non-compliance with applicable laws or regulations could adversely affect our financial condition and results of operations.</w:t>
      </w:r>
    </w:p>
    <w:p>
      <w:pPr>
        <w:spacing w:after="0" w:line="170"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manufacture, distribution and marketing of our products are subject to regulation by the FDA and other non-U.S. regulatory bodies. Our operations are also subject to continuous review and monitoring by the FDA and other regulatory authorities.</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1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Additionally, the European Union regulatory bodies have adopted the EU MDR and the EU IVDR, each of which impose stricter requirements than prior European Union directives with respect to the marketing and sale of medical devices, including in the area of clinical data requirements, evaluation requirements, quality systems and post-market surveillance. Manufacturers of currently approved medical devices will have until May 2021 to meet the requirements of the EU MDR and until May 2022 to meet the EU IVDR. Complying with the requirements of these regulations may require us to incur significant expenditures. Failure to meet these requirements could adversely impact our business in the European Union and other regions that tie their product registrations to the EU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or our suppliers fail to comply with ongoing regulatory requirements, our products could be subject to restrictions or withdrawal from the market.</w:t>
      </w:r>
    </w:p>
    <w:p>
      <w:pPr>
        <w:spacing w:after="0" w:line="26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 by the FDA and other domestic and foreign regulatory bodies. In particular, we and our third-party suppliers must comply with the FDA's Quality System Regulation or current Good Manufacturing Practices requirements (depending on the products at issue).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enforcement actions.</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Any FDA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inability to obtain, or any delay in obtaining, any necessary U.S. or foreign regulatory clearances or approvals for our newly developed products or product enhancements could harm our business and prospects.</w:t>
      </w:r>
    </w:p>
    <w:p>
      <w:pPr>
        <w:spacing w:after="0" w:line="17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Our products are subject to a high level of regulatory oversight. Most medical devices cannot be marketed in the U.S. without 510(k) clearance or premarket approval by the FDA. Our inability to obtain, or any delay in obtaining, any necessary U.S. or foreign regulatory clearances or approvals for newly developed products or product enhancements could harm our business and prospects. The process of obtaining clearances and approvals can be costly and time consuming. In addition, there is a risk that any approvals or clearances, once obtained, may be withdrawn or modified.</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Delays in receipt of, or failure to obtain, necessary clearances or approvals for our new products could delay or preclude realization of product revenues from new products or result in substantial additional costs which could decrease our profitability.</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8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do business in over 85 countries and have distributors in approximately 70 of these countries. This exposes us to currency fluctuation, geopolitical risk, economic volatility, anti-corruption laws, export and import restrictions, local regulatory authorities and the laws and medical practices in foreign jurisdictions.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there are sanctions or restrictions on the flow of capital that prevent product importation or receipt of payments in Russia or China, our business could be adversely affected.</w:t>
      </w:r>
    </w:p>
    <w:p>
      <w:pPr>
        <w:spacing w:after="0" w:line="17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w:t>
      </w:r>
    </w:p>
    <w:p>
      <w:pPr>
        <w:spacing w:after="0" w:line="1"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70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70"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0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16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24"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attract and retain key personnel needed to successfully operate the business.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ability to compete effectively depends on our ability to attract and retain key employees, including people in senior management, sales, marketing and R&amp;D positions. Our ability to recruit and retain such talent will depend on a number of factors, including hiring practices of our competitors, compensation and benefits, work location, work environment and industry economic conditions. In December 2019, we relocated our corporate headquarters to a leased office space in Boston, Massachusetts. Although we believe our move to Boston will help us to attract and retain key talent and provide a dynamic space to engage our employees, competition for top talent in the healthcare market, and the increased cost or commuting time for current employees relocating or traveling to Boston could impact our ability to realize the intended results of the move.</w:t>
      </w:r>
    </w:p>
    <w:p>
      <w:pPr>
        <w:spacing w:after="0" w:line="17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also effected organizational and strategic changes in the last several years, including our Complexity Reduction Initiative, which have resulted in workforce reductions. If we fail to effectively manage our ongoing organizational and strategic changes in a manner that allows us to retain and attract talent, our financial condition, results of operations and reputation, as well as our ability to successfully attract, motivate and retain key employees, could be harmed. Additionally, to the extent our senior management or other key employees are impacted by the COVID-19 pandemic and are not available to perform their job duties, we could experiences delays in, or the suspension of, important strategic and commercial objectives.</w:t>
      </w:r>
    </w:p>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operate in an industry susceptible to significant product liability claims. Product liability claims could damage our reputation and impair our ability to market our products or obtain professional or product liability insurance, or increase the cost of such insurance.</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Such litigation could damage our reputation and, therefore, impair our ability to market our products or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June 15, 2018, we entered into a five-year credit agreement with certain lenders which provided for a $350.0 million term loan (the "Term Loan") and a $350.0 million revolving loan (the "Revolving Credit Facility" and together with the Term Loan, the "Credit Facilities"). As of March 28, 2020, we</w:t>
      </w:r>
    </w:p>
    <w:p>
      <w:pPr>
        <w:ind w:right="100"/>
        <w:spacing w:after="0" w:line="253" w:lineRule="auto"/>
        <w:rPr>
          <w:sz w:val="20"/>
          <w:szCs w:val="20"/>
          <w:color w:val="auto"/>
        </w:rPr>
      </w:pPr>
      <w:r>
        <w:rPr>
          <w:rFonts w:ascii="Arial" w:cs="Arial" w:eastAsia="Arial" w:hAnsi="Arial"/>
          <w:sz w:val="18"/>
          <w:szCs w:val="18"/>
          <w:color w:val="auto"/>
        </w:rPr>
        <w:t>had $323.8 million of debt outstanding under the Term Loan and $60.0 million outstanding under the Revolving Credit Facility. In April 2020, we borrowed an additional $150 million under our Revolving Credit Facility. The obligations to pay interest and repay the borrowed amounts may restrict our ability to adjust to adverse economic conditions and our ability to fund working capital, capital expenditures, acquisitions or other general corporate requirements. The interest rate on borrowings under our Credit Facilities is variable and subject to change based on market forces. Fluctuations in interest rates could adversely affect our profitability and cash flows.</w:t>
      </w:r>
    </w:p>
    <w:p>
      <w:pPr>
        <w:spacing w:after="0" w:line="1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Some of these balances may not be immediately available to repay our debt.</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As of March 28, 2020, we were in compliance with the covenants pursuant to our Credit Facilities, and we currently forecast that we will be in compliance with our credit facility covenants through the period ending April 3, 2021. If the impact of COVID-19 is more severe than currently forecasted this may impact our ability to comply with our Credit Facility covenants, and it not certain that we would be able to renegotiate the terms of our Credit Facility in order to provide relief related to the applicable covenants. If in the future we are unable to satisfy our Credit Facility covenants, and then were unable to renegotiate the terms thereof, we could be required to repay any borrowed amounts on short notice.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30" w:right="3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and plans for future growth may require additional capital that may not be available to us, or only available to us on unfavorable terms.</w:t>
      </w:r>
    </w:p>
    <w:p>
      <w:pPr>
        <w:spacing w:after="0" w:line="26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operations and plans for future growth may require us to raise additional capital in the future. Our ability to issue additional debt or enter into other financing arrangements on acceptable terms could be adversely affected by our debt levels, unfavorable changes in economic conditions generally or uncertainties that affect the capital markets. Higher borrowing costs or the inability to access capital markets could adversely affect our ability to support future growth and operating requirements and, as a result, our business, financial condition and results of operations could be adversely affected. Refer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within our Management's Discussion and Analysis of Financial Condition and Results of Operations contained in Item 7 of this Annual Report on Form 10-K for further discussion of our debt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adversely affect our cash flows and results of operations.</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International revenues and expenses account for a substantial portion of our operations. In fiscal 2020, our international revenues accounted for 34.6%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amounts that have been accrued.</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Puerto Rico or Malaysia, could adversely affect our tax rate due to favorable tax rulings in these jurisdictions.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Changes in tax laws and regulations, or their interpretation and application, in the jurisdictions where we are subject to tax could materially impact our effective tax rate. For example, in 2017, the U.S. enacted the Tax Cuts and Jobs Act, or the Act, and we expect the U.S. Treasury to issue future notices and regulations under the Act. Certain provisions of the Act and the regulations issued thereunder could have a significant impact on our future results of operations as could interpretations made by the Company in the absence of regulatory guidance and judicial interpretations. The result of the upcoming U.S. presidential and congressional elections may result in additional U.S. tax law changes that could have a material impact on our future effective tax rate.</w:t>
      </w:r>
    </w:p>
    <w:p>
      <w:pPr>
        <w:spacing w:after="0" w:line="1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Additionally, the U.S. Congress, government agencies in non-U.S. jurisdictions where we and our affiliates do business and the Organization for Economic Co-operation and Development, or OECD, have recently focused on issues related to the taxation of multinational corporations. The OECD has released its comprehensive plan to create an agreed set of international rules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fighting base erosion and profit shifting. In addition, the OECD, the European Commission and individual countries are examining changes to how taxing rights should be allocated among countries in light of the digital economy. As a result, the tax laws in the U.S. and other countries in which we and our affiliates do business could change on a prospective or retroactive basis and any such changes could materially adversely affect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share price has been volatile and may fluctuate, and accordingly, the value of an investment in our common stock may also fluctuate.</w:t>
      </w:r>
    </w:p>
    <w:p>
      <w:pPr>
        <w:spacing w:after="0" w:line="24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sell their shares at attractive prices.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share repurchase program could affect the price of our common stock and increase volatility and may be suspended or terminated at any time, which may result in a decrease in the trading price of our common stock.</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On May 7, 2019, we announced that our Board of Directors authorized the repurchase of up to $500 million of our outstanding common stock over the next two years. Under the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us and will depend on a number of factors, including market conditions, applicable legal requirements and compliance with the terms of loan covenants. The share repurchase program may be suspended, modified or discontinued at any time and we have no obligation to repurchase any amount of its common stock under the program.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program’s effectiveness. Refer to Note 7, </w:t>
      </w:r>
      <w:r>
        <w:rPr>
          <w:rFonts w:ascii="Arial" w:cs="Arial" w:eastAsia="Arial" w:hAnsi="Arial"/>
          <w:sz w:val="16"/>
          <w:szCs w:val="16"/>
          <w:i w:val="1"/>
          <w:iCs w:val="1"/>
          <w:color w:val="auto"/>
        </w:rPr>
        <w:t>Earnings per Share</w:t>
      </w:r>
      <w:r>
        <w:rPr>
          <w:rFonts w:ascii="Arial" w:cs="Arial" w:eastAsia="Arial" w:hAnsi="Arial"/>
          <w:sz w:val="16"/>
          <w:szCs w:val="16"/>
          <w:color w:val="auto"/>
        </w:rPr>
        <w:t>, to our consolidated financial statements contained in Item 8 of this Annual Report on Form 10-K for further discussion.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intellectual property may be subject to misappropriation in some countries.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rights with the same degree of vigor as is available under the U.S.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affected product or otherwise have an adverse effect on our results of operations. In addition, competitors may patent technological advances that may give them a competitive advantage or create barriers to entry.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global headquarters is located in Boston, Massachusetts. During fiscal 2020, we sold our principal office in Braintree, Massachusetts and completed our relocation to a 62,000 square foot leased office space in Boston, Massachusetts.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March 28, 2020, our principal manufacturing centers were located in Pennsylvania, Utah and California within the U.S., as well as internationally in Puerto Rico, Mexico and Malaysia. Our products are distributed worldwide from primary distributor centers in Tennessee and Switzerland. We believe all of these facilities are well-maintained and suitable for the operations conducted in them. These facilities produce and manufacture products for more than one of our business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facilities as of March 28, 2020 (in approximate square feet):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shd w:val="clear" w:color="auto" w:fill="CCEEFF"/>
          </w:tcPr>
          <w:p>
            <w:pPr>
              <w:spacing w:after="0"/>
              <w:rPr>
                <w:sz w:val="23"/>
                <w:szCs w:val="23"/>
                <w:color w:val="auto"/>
              </w:rPr>
            </w:pPr>
          </w:p>
        </w:tc>
        <w:tc>
          <w:tcPr>
            <w:tcW w:w="136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Owned</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Leased</w:t>
            </w:r>
          </w:p>
        </w:tc>
        <w:tc>
          <w:tcPr>
            <w:tcW w:w="1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815"/>
              <w:spacing w:after="0"/>
              <w:rPr>
                <w:sz w:val="20"/>
                <w:szCs w:val="20"/>
                <w:color w:val="auto"/>
              </w:rPr>
            </w:pPr>
            <w:r>
              <w:rPr>
                <w:rFonts w:ascii="Arial" w:cs="Arial" w:eastAsia="Arial" w:hAnsi="Arial"/>
                <w:sz w:val="14"/>
                <w:szCs w:val="14"/>
                <w:b w:val="1"/>
                <w:bCs w:val="1"/>
                <w:color w:val="auto"/>
              </w:rPr>
              <w:t>Total</w:t>
            </w:r>
          </w:p>
        </w:tc>
      </w:tr>
      <w:tr>
        <w:trPr>
          <w:trHeight w:val="243"/>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2080" w:type="dxa"/>
            <w:vAlign w:val="bottom"/>
          </w:tcPr>
          <w:p>
            <w:pPr>
              <w:jc w:val="right"/>
              <w:ind w:right="1335"/>
              <w:spacing w:after="0"/>
              <w:rPr>
                <w:sz w:val="20"/>
                <w:szCs w:val="20"/>
                <w:color w:val="auto"/>
              </w:rPr>
            </w:pPr>
            <w:r>
              <w:rPr>
                <w:rFonts w:ascii="Arial" w:cs="Arial" w:eastAsia="Arial" w:hAnsi="Arial"/>
                <w:sz w:val="18"/>
                <w:szCs w:val="18"/>
                <w:color w:val="auto"/>
                <w:w w:val="98"/>
              </w:rPr>
              <w:t>165,385</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626,998</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792,383</w:t>
            </w:r>
          </w:p>
        </w:tc>
      </w:tr>
      <w:tr>
        <w:trPr>
          <w:trHeight w:val="27"/>
        </w:trPr>
        <w:tc>
          <w:tcPr>
            <w:tcW w:w="4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8"/>
                <w:szCs w:val="18"/>
                <w:color w:val="auto"/>
                <w:w w:val="98"/>
              </w:rPr>
              <w:t>135,000</w:t>
            </w:r>
          </w:p>
        </w:tc>
        <w:tc>
          <w:tcPr>
            <w:tcW w:w="1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727,818</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862,818</w:t>
            </w:r>
          </w:p>
        </w:tc>
      </w:tr>
      <w:tr>
        <w:trPr>
          <w:trHeight w:val="257"/>
        </w:trPr>
        <w:tc>
          <w:tcPr>
            <w:tcW w:w="4840" w:type="dxa"/>
            <w:vAlign w:val="bottom"/>
          </w:tcPr>
          <w:p>
            <w:pPr>
              <w:ind w:left="2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spacing w:after="0"/>
              <w:rPr>
                <w:sz w:val="22"/>
                <w:szCs w:val="22"/>
                <w:color w:val="auto"/>
              </w:rPr>
            </w:pPr>
          </w:p>
        </w:tc>
        <w:tc>
          <w:tcPr>
            <w:tcW w:w="2080" w:type="dxa"/>
            <w:vAlign w:val="bottom"/>
            <w:tcBorders>
              <w:top w:val="single" w:sz="8" w:color="auto"/>
              <w:bottom w:val="single" w:sz="8" w:color="auto"/>
            </w:tcBorders>
          </w:tcPr>
          <w:p>
            <w:pPr>
              <w:jc w:val="right"/>
              <w:ind w:right="1335"/>
              <w:spacing w:after="0"/>
              <w:rPr>
                <w:sz w:val="20"/>
                <w:szCs w:val="20"/>
                <w:color w:val="auto"/>
              </w:rPr>
            </w:pPr>
            <w:r>
              <w:rPr>
                <w:rFonts w:ascii="Arial" w:cs="Arial" w:eastAsia="Arial" w:hAnsi="Arial"/>
                <w:sz w:val="18"/>
                <w:szCs w:val="18"/>
                <w:color w:val="auto"/>
                <w:w w:val="98"/>
              </w:rPr>
              <w:t>300,385</w:t>
            </w: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1,354,816</w:t>
            </w:r>
          </w:p>
        </w:tc>
        <w:tc>
          <w:tcPr>
            <w:tcW w:w="1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1,655,201</w:t>
            </w:r>
          </w:p>
        </w:tc>
      </w:tr>
      <w:tr>
        <w:trPr>
          <w:trHeight w:val="20"/>
        </w:trPr>
        <w:tc>
          <w:tcPr>
            <w:tcW w:w="4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16,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the Consolidated Financial Statements in Item 8 of this Annual Report on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Haemonetics' common stock is listed on the New York Stock Exchange ("NYSE") under the symbol HAE.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120 holders of record of the Company’s common stock as of March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fourth quarter of fiscal 2020:</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5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56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1"/>
              </w:rPr>
              <w:t>Average Price Paid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5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560" w:type="dxa"/>
            <w:vAlign w:val="bottom"/>
          </w:tcPr>
          <w:p>
            <w:pPr>
              <w:jc w:val="center"/>
              <w:ind w:left="11"/>
              <w:spacing w:after="0"/>
              <w:rPr>
                <w:sz w:val="20"/>
                <w:szCs w:val="20"/>
                <w:color w:val="auto"/>
              </w:rPr>
            </w:pPr>
            <w:r>
              <w:rPr>
                <w:rFonts w:ascii="Arial" w:cs="Arial" w:eastAsia="Arial" w:hAnsi="Arial"/>
                <w:sz w:val="14"/>
                <w:szCs w:val="14"/>
                <w:b w:val="1"/>
                <w:bCs w:val="1"/>
                <w:color w:val="auto"/>
                <w:w w:val="92"/>
              </w:rPr>
              <w:t>per Share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29, 2019 - January 25, 2020</w:t>
            </w:r>
          </w:p>
        </w:tc>
        <w:tc>
          <w:tcPr>
            <w:tcW w:w="14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95,373</w:t>
            </w:r>
          </w:p>
        </w:tc>
        <w:tc>
          <w:tcPr>
            <w:tcW w:w="156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3"/>
                <w:szCs w:val="13"/>
                <w:color w:val="auto"/>
              </w:rPr>
              <w:t>(2)</w:t>
            </w:r>
          </w:p>
        </w:tc>
        <w:tc>
          <w:tcPr>
            <w:tcW w:w="16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95,373</w:t>
            </w: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January 26, 2020 - February 22, 2020</w:t>
            </w:r>
          </w:p>
        </w:tc>
        <w:tc>
          <w:tcPr>
            <w:tcW w:w="1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23, 2020 - March 28, 2020</w:t>
            </w:r>
          </w:p>
        </w:tc>
        <w:tc>
          <w:tcPr>
            <w:tcW w:w="1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95,373</w:t>
            </w:r>
          </w:p>
        </w:tc>
        <w:tc>
          <w:tcPr>
            <w:tcW w:w="15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$325,000,000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280" w:firstLine="9"/>
        <w:spacing w:after="0" w:line="238" w:lineRule="auto"/>
        <w:tabs>
          <w:tab w:leader="none" w:pos="201" w:val="left"/>
        </w:tabs>
        <w:numPr>
          <w:ilvl w:val="0"/>
          <w:numId w:val="11"/>
        </w:numPr>
        <w:rPr>
          <w:rFonts w:ascii="Arial" w:cs="Arial" w:eastAsia="Arial" w:hAnsi="Arial"/>
          <w:sz w:val="9"/>
          <w:szCs w:val="9"/>
          <w:color w:val="auto"/>
        </w:rPr>
      </w:pPr>
      <w:r>
        <w:rPr>
          <w:rFonts w:ascii="Arial" w:cs="Arial" w:eastAsia="Arial" w:hAnsi="Arial"/>
          <w:sz w:val="14"/>
          <w:szCs w:val="14"/>
          <w:color w:val="auto"/>
        </w:rPr>
        <w:t>In May 2019, the Company's Board of Directors authorized the repurchase of up to $500 million of the Company’s common stock from time to time, based on market conditions, over the next two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20" w:lineRule="exact"/>
        <w:rPr>
          <w:rFonts w:ascii="Arial" w:cs="Arial" w:eastAsia="Arial" w:hAnsi="Arial"/>
          <w:sz w:val="9"/>
          <w:szCs w:val="9"/>
          <w:color w:val="auto"/>
        </w:rPr>
      </w:pPr>
    </w:p>
    <w:p>
      <w:pPr>
        <w:ind w:left="60" w:right="120" w:firstLine="9"/>
        <w:spacing w:after="0" w:line="290" w:lineRule="auto"/>
        <w:tabs>
          <w:tab w:leader="none" w:pos="201" w:val="left"/>
        </w:tabs>
        <w:numPr>
          <w:ilvl w:val="0"/>
          <w:numId w:val="11"/>
        </w:numPr>
        <w:rPr>
          <w:rFonts w:ascii="Arial" w:cs="Arial" w:eastAsia="Arial" w:hAnsi="Arial"/>
          <w:sz w:val="8"/>
          <w:szCs w:val="8"/>
          <w:color w:val="auto"/>
        </w:rPr>
      </w:pPr>
      <w:r>
        <w:rPr>
          <w:rFonts w:ascii="Arial" w:cs="Arial" w:eastAsia="Arial" w:hAnsi="Arial"/>
          <w:sz w:val="13"/>
          <w:szCs w:val="13"/>
          <w:color w:val="auto"/>
        </w:rPr>
        <w:t>In January 2020, the Company completed a $50.0 million repurchase of its common stock pursuant to an accelerated share repurchase agreement entered into with Bank of America, N.A. in December 2019. The total number of shares repurchased under the accelerated share repurchase agreement was 0.4 million at an average price per share upon final settlement of $114.73.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988,479</w:t>
            </w:r>
          </w:p>
        </w:tc>
        <w:tc>
          <w:tcPr>
            <w:tcW w:w="4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967,579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903,923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886,116</w:t>
            </w:r>
          </w:p>
        </w:tc>
        <w:tc>
          <w:tcPr>
            <w:tcW w:w="60" w:type="dxa"/>
            <w:vAlign w:val="bottom"/>
          </w:tcPr>
          <w:p>
            <w:pPr>
              <w:spacing w:after="0"/>
              <w:rPr>
                <w:sz w:val="21"/>
                <w:szCs w:val="21"/>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908,832</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503,966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550,043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507,622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502,918</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484,513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417,536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411,908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378,494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405,914</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30,883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35,714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37,556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44,965</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299,680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298,277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317,223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50,599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92,395</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381,162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333,991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355,751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397,875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449,856</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103,351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Gain on divestiture</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Income (loss) before provision (benefit) for income</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87,152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73,633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59,632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(27,476)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(53,416)</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10,626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76,526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55,019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45,572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(26,268)</w:t>
            </w: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(55,579)</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1.51</w:t>
            </w:r>
          </w:p>
        </w:tc>
        <w:tc>
          <w:tcPr>
            <w:tcW w:w="4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50,692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51,533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50,910</w:t>
            </w:r>
          </w:p>
        </w:tc>
      </w:tr>
      <w:tr>
        <w:trPr>
          <w:trHeight w:val="27"/>
        </w:trPr>
        <w:tc>
          <w:tcPr>
            <w:tcW w:w="4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Weighted average number of shares and common stock</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51,815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52,942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50,910</w:t>
            </w:r>
          </w:p>
        </w:tc>
      </w:tr>
      <w:tr>
        <w:trPr>
          <w:trHeight w:val="399"/>
        </w:trPr>
        <w:tc>
          <w:tcPr>
            <w:tcW w:w="37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328,817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340,362</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136,474</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298,850</w:t>
            </w:r>
          </w:p>
        </w:tc>
        <w:tc>
          <w:tcPr>
            <w:tcW w:w="60" w:type="dxa"/>
            <w:vAlign w:val="bottom"/>
          </w:tcPr>
          <w:p>
            <w:pPr>
              <w:spacing w:after="0"/>
              <w:rPr>
                <w:sz w:val="21"/>
                <w:szCs w:val="21"/>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302,535</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253,399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343,979</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332,156</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323,862</w:t>
            </w:r>
          </w:p>
        </w:tc>
        <w:tc>
          <w:tcPr>
            <w:tcW w:w="60" w:type="dxa"/>
            <w:vAlign w:val="bottom"/>
          </w:tcPr>
          <w:p>
            <w:pPr>
              <w:spacing w:after="0"/>
              <w:rPr>
                <w:sz w:val="21"/>
                <w:szCs w:val="21"/>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337,634</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48,758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76,135</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102,405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110,289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109,418</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89,247</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89,733</w:t>
            </w:r>
          </w:p>
        </w:tc>
        <w:tc>
          <w:tcPr>
            <w:tcW w:w="60" w:type="dxa"/>
            <w:vAlign w:val="bottom"/>
          </w:tcPr>
          <w:p>
            <w:pPr>
              <w:spacing w:after="0"/>
              <w:rPr>
                <w:sz w:val="21"/>
                <w:szCs w:val="21"/>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89,911</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2"/>
              </w:rPr>
              <w:t>1,267,110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1,274,767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1,237,339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1,238,709</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1,319,128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382,493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350,120</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253,682</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314,647</w:t>
            </w:r>
          </w:p>
        </w:tc>
        <w:tc>
          <w:tcPr>
            <w:tcW w:w="60" w:type="dxa"/>
            <w:vAlign w:val="bottom"/>
          </w:tcPr>
          <w:p>
            <w:pPr>
              <w:spacing w:after="0"/>
              <w:rPr>
                <w:sz w:val="21"/>
                <w:szCs w:val="21"/>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408,000</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587,109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667,868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752,429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739,610</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721,565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3,225</w:t>
            </w:r>
          </w:p>
        </w:tc>
      </w:tr>
      <w:tr>
        <w:trPr>
          <w:trHeight w:val="432"/>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3"/>
          </w:tcPr>
          <w:p>
            <w:pPr>
              <w:ind w:left="220"/>
              <w:spacing w:after="0"/>
              <w:rPr>
                <w:sz w:val="20"/>
                <w:szCs w:val="20"/>
                <w:color w:val="auto"/>
              </w:rPr>
            </w:pPr>
            <w:r>
              <w:rPr>
                <w:rFonts w:ascii="Arial" w:cs="Arial" w:eastAsia="Arial" w:hAnsi="Arial"/>
                <w:sz w:val="18"/>
                <w:szCs w:val="18"/>
                <w:color w:val="auto"/>
                <w:w w:val="99"/>
              </w:rPr>
              <w:t>26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left="6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1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closely managing the impacts of the COVID-19 pandemic on our business results of operations and financial condition. As a result of the timing of the pandemic relative to our fiscal year end, we experienced only limited effects of COVID-19 in fiscal 2020. While the duration and implications remain uncertain, we believe our business operations will experience a higher impact from COVID-19 in fiscal 2021. The extent of such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immediate response to the COVID-19 pandemic has been to focus on business continuity and the safety of our employees. This includes prioritizing employee safety with remote work and travel restrictions, and limiting exposure for our manufacturing and customer facing employees, including field service and sales teams, to ensure supplies and services for our customers.</w:t>
      </w:r>
    </w:p>
    <w:p>
      <w:pPr>
        <w:spacing w:after="0" w:line="10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have been able to continue to supply our products to our customers worldwide and all of our manufacturing facilities continue to operate. While we currently do not anticipate any material interruptions in our manufacturing process, it is possible that the COVID-19 pandemic and response efforts may have an impact on our future ability to manufacture our products or to have our products reach all markets.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are also focused on preserving cash and have implemented a number of actions to help us protect cash flow and allocate capital such as reducing non-essential spending, delaying certain compensation-related items, inventory management, reviewing capital projects and the associated costs, and restricting travel. In April 2020, we borrowed an additional $150.0 million under our revolving credit facility, increasing our cash on hand to approximately $300 million.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for additional information regarding our cash position and liquidity.</w:t>
      </w:r>
    </w:p>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believe that demand for our products is resilient, even within an environment of constrained spending. While we believe that our product segments are beginning to shift to recovery, with markets in Asia and parts of the U.S. and Europe reopening, the recovery could be protracted and disrupted by additional resurgences and lockdowns. For additional information regarding the expected impacts to our business units and the various risks posed by the COVID-19 pandemic, refer to </w:t>
      </w:r>
      <w:r>
        <w:rPr>
          <w:rFonts w:ascii="Arial" w:cs="Arial" w:eastAsia="Arial" w:hAnsi="Arial"/>
          <w:sz w:val="18"/>
          <w:szCs w:val="18"/>
          <w:i w:val="1"/>
          <w:iCs w:val="1"/>
          <w:color w:val="auto"/>
        </w:rPr>
        <w:t>Results of Operations within Management's Discussion and Analysis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contained in Item 1A of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30" w:right="3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On April 1, 2020, we acquired all of the outstanding equity of enicor GmbH, the manufacturer of ClotPro</w:t>
      </w:r>
      <w:r>
        <w:rPr>
          <w:rFonts w:ascii="Arial" w:cs="Arial" w:eastAsia="Arial" w:hAnsi="Arial"/>
          <w:sz w:val="25"/>
          <w:szCs w:val="25"/>
          <w:color w:val="auto"/>
          <w:vertAlign w:val="superscript"/>
        </w:rPr>
        <w:t>®</w:t>
      </w:r>
      <w:r>
        <w:rPr>
          <w:rFonts w:ascii="Arial" w:cs="Arial" w:eastAsia="Arial" w:hAnsi="Arial"/>
          <w:sz w:val="18"/>
          <w:szCs w:val="18"/>
          <w:color w:val="auto"/>
        </w:rPr>
        <w:t>, a new generation whole blood coagulation testing system. The acquisition of this innovative viscoelastic diagnostic device further augments our portfolio of hemostasis analyzers within our Hospital business unit.</w:t>
      </w:r>
    </w:p>
    <w:p>
      <w:pPr>
        <w:spacing w:after="0" w:line="203"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color w:val="auto"/>
        </w:rPr>
        <w:t>On January 13, 2020, we purchased the technology underlying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Hemostasis Analyzer System from Cora Healthcare, Inc. and CoraMed Technologies, LLC (the "Cora Parties") for $35.0 million. In connection with this transaction, we acquired ownership of intellectual property previously licensed from the Cora Parties on an exclusive basis in the field of hospitals and hospital laboratories. This acquisition will allow us to pursue site of care opportunities beyond the hospital setting.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21, 2019, we transferred to CSL Plasma Inc. (“CSL”) substantially all of the tangible assets held by Haemonetics relating to the manufacture of anti-coagulant and saline at our Union, South Carolina facility and CSL assumed certain related liabilities pursuant to the terms of a settlement, release and asset transfer agreement between the parties dated May 13, 2019. At the closing, we received $9.8 million of proceeds and were concurrently released from our obligations to supply liquid solutions under a 2014 supply agreement with CSL. We recognized an asset impairment in the first quarter of fiscal 2020 of $48.7 million as a result of this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2019, our Board of Directors authorized the repurchase of up to $500 million of Haemonetics common shares over the next two years. In July 2019, we completed a $75.0 million repurchase of our common stock pursuant to an accelerated share repurchase agreement ("ASR") entered into with Citibank N.A. ("Citibank") in June 2019. The total number of shares repurchased under the ASR was 0.6 million at an average price per share upon final settlement of $116.33. In October 2019, we completed a $50.0 million repurchase of our common stock pursuant to an ASR entered into with Morgan Stanley &amp; Co. LLC ("Morgan Stanley") in September 2019. The total number of shares repurchased under the ASR was 0.4 million at an average price per share upon final settlement of $124.37. In January 2020, we completed an additional $50.0 million repurchase of our common stock pursuant to an ASR entered into with Bank of America, N.A. ("Bank of America") in December 2019. The total number of shares repurchased under the ASR was 0.4 million at an average price per share upon final settlement of $114.73.</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28, 2020, the total remaining authorization for repurchases of the Company's common stock under the share repurchase program was $325.0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the fiscal year ended March 28, 2020, we incurred $11.9 million of restructuring and turnaround costs under this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Relocation of Corporate Headquarters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December 2018, we entered into a lease for office space in Boston, MA to serve as our new corporate headquarters and replace our prior corporate headquarters located in Braintree, MA. During the second quarter of fiscal 2020, we sold $7.8 million of real estate and other assets associated with the Braintree corporate headquarters and entered into a lease with the buyer that allowed the Company to leaseback that facility on a rent-free basis through December 31, 2019 until the completion of our relocation to Boston, MA, which occurred during the third quarter of fiscal 2020. As a result of this transaction, we received net cash proceeds of $15.0 million and non-cash consideration of $0.9 million related to a free rent period ending in December 2019. The transaction resulted in a net gain of $8.1 million.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Reportable Segments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Effective March 31, 2019, we completed the transition of our operating structure to three global business units - Plasma, Blood Center and Hospital - and accordingly reorganized our operating and reporting structure to align with our three global business units. This new segment structure has been realigned in accordance with the respective markets to accurately reflect the ongoing performance of each business and excludes revenue for service, maintenance and parts related to the applicable business unit. The discussion of our results of operations that follows has been revised to reflect our new reportable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184" w:lineRule="exact"/>
        <w:rPr>
          <w:sz w:val="20"/>
          <w:szCs w:val="20"/>
          <w:color w:val="auto"/>
        </w:rPr>
      </w:pPr>
    </w:p>
    <w:p>
      <w:pPr>
        <w:ind w:left="660" w:right="7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Biopharmaceutical companies are seeking more yield from the collected plasma to meet growing demand for biopharmaceuticals without requiring an equivalent increase in plasma supply.</w:t>
      </w:r>
    </w:p>
    <w:p>
      <w:pPr>
        <w:spacing w:after="0" w:line="170"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Newly approved indications for auto-immune diseases treated with plasma-derived therapies, the growing understanding and diagnosis of these diseases, longer lifespans and a growing aging patient population increase the demand for plasma.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Demand for our plasma products in fiscal 2020 continued to grow in North America as collection volumes benefited from an expanding end user market for plasma-derived biopharmaceuticals with U.S. produced plasma meeting the vast majority of plasma volume demand worldwide. As a result, our Plasma business’ revenues are primarily from the U.S.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Despite the overall growth in the market, the number of biopharmaceutical companies that collect and fractionate the majority of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With these factors, we do not expect meaningful new entries or diversification. As a result, there are relatively few customers for our Plasma products, especially in the U.S. where 80% of the world's source plasma is collected and only a few customers provide the majority of our Plasma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the Blood Center market, we sell automated blood component and manual whole blood collection systems, as well as software solutions that include blood drive planning, donor recruitment and retention, blood collection, component manufacturing and distribution. While we sell products around the world, a significant portion of our sales are to a limited number of customers due to relatively limited number of blood collectors.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Within the Blood Center market, we have seen three trends that have negatively impacted growth of the overall marketplace despite the overall increase in aging populations. Overall, we continue to expect a decline in this business in the low to mid single-digits.</w:t>
      </w:r>
    </w:p>
    <w:p>
      <w:pPr>
        <w:spacing w:after="0" w:line="170" w:lineRule="exact"/>
        <w:rPr>
          <w:sz w:val="20"/>
          <w:szCs w:val="20"/>
          <w:color w:val="auto"/>
        </w:rPr>
      </w:pPr>
    </w:p>
    <w:p>
      <w:pPr>
        <w:ind w:left="660" w:right="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Declining transfusion rates in mature markets due to the development of more minimally invasive procedures with lower associated blood loss, as well as better blood management.</w:t>
      </w:r>
    </w:p>
    <w:p>
      <w:pPr>
        <w:spacing w:after="0" w:line="170"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70" w:lineRule="exact"/>
        <w:rPr>
          <w:sz w:val="20"/>
          <w:szCs w:val="20"/>
          <w:color w:val="auto"/>
        </w:rPr>
      </w:pPr>
    </w:p>
    <w:p>
      <w:pPr>
        <w:ind w:left="660" w:right="2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consolidation through group purchasing organizations has intensified pricing competition particularly in the manual whole blood collection systems, as well as impacting our software business where switching large customers to new or emerging technology platforms has a relatively high cost.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Hemostasis Management Market - </w:t>
      </w:r>
      <w:r>
        <w:rPr>
          <w:rFonts w:ascii="Arial" w:cs="Arial" w:eastAsia="Arial" w:hAnsi="Arial"/>
          <w:sz w:val="17"/>
          <w:szCs w:val="17"/>
          <w:color w:val="auto"/>
        </w:rPr>
        <w:t>The use of routine coagulation testing is well established throughout the world in various medical procedures,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Haemonetics’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ClotPro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spacing w:after="0" w:line="20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 Our ClotPro system is currently available in select European and Asian markets and is not available for use or sale in the U.S.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color w:val="auto"/>
        </w:rPr>
        <w:t xml:space="preserve">Cell Salvage Market </w:t>
      </w:r>
      <w:r>
        <w:rPr>
          <w:rFonts w:ascii="Arial" w:cs="Arial" w:eastAsia="Arial" w:hAnsi="Arial"/>
          <w:sz w:val="16"/>
          <w:szCs w:val="16"/>
          <w:color w:val="auto"/>
        </w:rPr>
        <w:t>- In recent years, more efficient blood use and less invasive surgeries have reduced demand for autotransfusion in these procedures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spacing w:after="0" w:line="178" w:lineRule="exact"/>
        <w:rPr>
          <w:sz w:val="20"/>
          <w:szCs w:val="20"/>
          <w:color w:val="auto"/>
        </w:rPr>
      </w:pPr>
    </w:p>
    <w:p>
      <w:pPr>
        <w:spacing w:after="0" w:line="203" w:lineRule="auto"/>
        <w:rPr>
          <w:sz w:val="20"/>
          <w:szCs w:val="20"/>
          <w:color w:val="auto"/>
        </w:rPr>
      </w:pPr>
      <w:r>
        <w:rPr>
          <w:rFonts w:ascii="Arial" w:cs="Arial" w:eastAsia="Arial" w:hAnsi="Arial"/>
          <w:sz w:val="18"/>
          <w:szCs w:val="18"/>
          <w:i w:val="1"/>
          <w:iCs w:val="1"/>
          <w:color w:val="auto"/>
        </w:rPr>
        <w:t xml:space="preserve">Transfusion Management Market - </w:t>
      </w:r>
      <w:r>
        <w:rPr>
          <w:rFonts w:ascii="Arial" w:cs="Arial" w:eastAsia="Arial" w:hAnsi="Arial"/>
          <w:sz w:val="18"/>
          <w:szCs w:val="18"/>
          <w:color w:val="auto"/>
        </w:rPr>
        <w:t>Revenues from BloodTrack</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have increased in the U.S. and Europe in recent years as hospitals seek means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and meet compliance guidelines for tracking and dispositioning blood components to patients. SafeTrace Tx</w:t>
      </w:r>
      <w:r>
        <w:rPr>
          <w:rFonts w:ascii="Arial" w:cs="Arial" w:eastAsia="Arial" w:hAnsi="Arial"/>
          <w:sz w:val="25"/>
          <w:szCs w:val="25"/>
          <w:color w:val="auto"/>
          <w:vertAlign w:val="superscript"/>
        </w:rPr>
        <w:t>®</w:t>
      </w:r>
      <w:r>
        <w:rPr>
          <w:rFonts w:ascii="Arial" w:cs="Arial" w:eastAsia="Arial" w:hAnsi="Arial"/>
          <w:sz w:val="18"/>
          <w:szCs w:val="18"/>
          <w:color w:val="auto"/>
        </w:rPr>
        <w:t>'s leading market share in the U.S. remains steady with potential opportunity to expand internationally.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30" w:right="3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 Increase/(Decrease)</w:t>
            </w:r>
          </w:p>
        </w:tc>
        <w:tc>
          <w:tcPr>
            <w:tcW w:w="156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w w:val="95"/>
              </w:rPr>
              <w:t>% Increase/(Decrease)</w:t>
            </w:r>
          </w:p>
        </w:tc>
        <w:tc>
          <w:tcPr>
            <w:tcW w:w="0" w:type="dxa"/>
            <w:vAlign w:val="bottom"/>
          </w:tcPr>
          <w:p>
            <w:pPr>
              <w:spacing w:after="0"/>
              <w:rPr>
                <w:sz w:val="1"/>
                <w:szCs w:val="1"/>
                <w:color w:val="auto"/>
              </w:rPr>
            </w:pP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 vs. 19</w:t>
            </w:r>
          </w:p>
        </w:tc>
        <w:tc>
          <w:tcPr>
            <w:tcW w:w="1560" w:type="dxa"/>
            <w:vAlign w:val="bottom"/>
          </w:tcPr>
          <w:p>
            <w:pPr>
              <w:jc w:val="right"/>
              <w:ind w:right="433"/>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249"/>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988,479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967,579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903,923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484,513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417,536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411,908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381,162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333,991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355,751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56,157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(16,199)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59,632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Tax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18,614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76,526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2020, 2019 and 2018 include 52 weeks with each quarter having 13 weeks.</w:t>
      </w:r>
    </w:p>
    <w:p>
      <w:pPr>
        <w:spacing w:after="0" w:line="24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Net revenues for fiscal 2020 increased 2.2% compared with fiscal 2019. Without the effects of foreign exchange, net revenues increased 2.8% compared with fiscal 2019. Revenue increases in Plasma and Hospital primarily drove the overall increase in revenue during the fiscal year ended March 28, 2020. This increase was partially offset by declines in our Blood Center business unit.</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revenues for fiscal 2019 increased 7.0% compared with fiscal 2018 both with and without the effects of foreign exchange, as revenue increases in Plasma and Hospital were partially offset by declines in our Blood Center business unit.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increased during fiscal 2020 as compared with fiscal 2019, primarily due to favorable pricing, product mix and incremental savings from both the 2020 Program and the Complexity Reduction Initiative (the "2018 Program"). The gain recognized on the sale of real estate and other assets associated with the Braintree corporate headquarters also contributed to the increase. Impairment charges associated with the divestiture of our plasma liquid solutions operations to CSL partially offset these increases during fiscal 2020.</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Operating income increased during fiscal 2019 as compared with fiscal 2018, primarily due to increased revenue volumes, favorable price and product mix, lower restructuring and turnaround costs and annualized savings as a result of the prior year restructuring initiatives. This increase was partially offset by asset impairments, accelerated depreciation related to PCS2</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devices, higher freight, fuel and carrier fees and increased investments within our Plasma and Hospital business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b w:val="1"/>
                <w:bCs w:val="1"/>
                <w:color w:val="auto"/>
                <w:w w:val="90"/>
              </w:rPr>
              <w:t>Fiscal 2020 versus 2019</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5"/>
          </w:tcPr>
          <w:p>
            <w:pPr>
              <w:jc w:val="center"/>
              <w:ind w:left="799"/>
              <w:spacing w:after="0"/>
              <w:rPr>
                <w:sz w:val="20"/>
                <w:szCs w:val="20"/>
                <w:color w:val="auto"/>
              </w:rPr>
            </w:pPr>
            <w:r>
              <w:rPr>
                <w:rFonts w:ascii="Arial" w:cs="Arial" w:eastAsia="Arial" w:hAnsi="Arial"/>
                <w:sz w:val="14"/>
                <w:szCs w:val="14"/>
                <w:b w:val="1"/>
                <w:bCs w:val="1"/>
                <w:color w:val="auto"/>
                <w:w w:val="90"/>
              </w:rPr>
              <w:t>Fiscal 2019 versus 2018</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9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Constant</w:t>
            </w: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Reported</w:t>
            </w: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Currency</w:t>
            </w:r>
          </w:p>
        </w:tc>
        <w:tc>
          <w:tcPr>
            <w:tcW w:w="86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Growth</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Growth</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646,204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606,845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548,731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14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342,275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360,734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355,192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988,479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967,579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903,923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220" w:hanging="5"/>
        <w:spacing w:after="0" w:line="253" w:lineRule="auto"/>
        <w:tabs>
          <w:tab w:leader="none" w:pos="167"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-211455</wp:posOffset>
            </wp:positionV>
            <wp:extent cx="1971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United States, Europe, Japan and other parts of Asia. Our products are marketed in approximately 85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Year</w:t>
            </w:r>
          </w:p>
        </w:tc>
        <w:tc>
          <w:tcPr>
            <w:tcW w:w="1400" w:type="dxa"/>
            <w:vAlign w:val="bottom"/>
          </w:tcPr>
          <w:p>
            <w:pPr>
              <w:spacing w:after="0"/>
              <w:rPr>
                <w:sz w:val="16"/>
                <w:szCs w:val="16"/>
                <w:color w:val="auto"/>
              </w:rPr>
            </w:pPr>
          </w:p>
        </w:tc>
      </w:tr>
      <w:tr>
        <w:trPr>
          <w:trHeight w:val="276"/>
        </w:trPr>
        <w:tc>
          <w:tcPr>
            <w:tcW w:w="682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Japan</w:t>
            </w: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Asia</w:t>
            </w:r>
          </w:p>
        </w:tc>
        <w:tc>
          <w:tcPr>
            <w:tcW w:w="14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International sales are generally conducted in local currencies, primarily Japanese Yen, Euro, Chinese Yuan and Australian Dollar.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Please see section entitled </w:t>
      </w:r>
      <w:r>
        <w:rPr>
          <w:rFonts w:ascii="Arial" w:cs="Arial" w:eastAsia="Arial" w:hAnsi="Arial"/>
          <w:sz w:val="18"/>
          <w:szCs w:val="18"/>
          <w:i w:val="1"/>
          <w:iCs w:val="1"/>
          <w:color w:val="auto"/>
        </w:rPr>
        <w:t>“Foreign Exchange”</w:t>
      </w:r>
      <w:r>
        <w:rPr>
          <w:rFonts w:ascii="Arial" w:cs="Arial" w:eastAsia="Arial" w:hAnsi="Arial"/>
          <w:sz w:val="18"/>
          <w:szCs w:val="18"/>
          <w:color w:val="auto"/>
        </w:rPr>
        <w:t xml:space="preserve"> in this discussion for a more complete explanation of how foreign currency affects our business and our strategy for managing this exposure.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Fiscal 2020 versus 2019</w:t>
            </w:r>
          </w:p>
        </w:tc>
        <w:tc>
          <w:tcPr>
            <w:tcW w:w="120" w:type="dxa"/>
            <w:vAlign w:val="bottom"/>
          </w:tcPr>
          <w:p>
            <w:pPr>
              <w:spacing w:after="0"/>
              <w:rPr>
                <w:sz w:val="16"/>
                <w:szCs w:val="16"/>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Fiscal 2019 versus 2018</w:t>
            </w: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Reported</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Currency</w:t>
            </w:r>
          </w:p>
        </w:tc>
        <w:tc>
          <w:tcPr>
            <w:tcW w:w="8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458,681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426,650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363,099</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(0.4)%</w:t>
            </w:r>
          </w:p>
        </w:tc>
        <w:tc>
          <w:tcPr>
            <w:tcW w:w="100" w:type="dxa"/>
            <w:vAlign w:val="bottom"/>
          </w:tcPr>
          <w:p>
            <w:pPr>
              <w:spacing w:after="0"/>
              <w:rPr>
                <w:sz w:val="21"/>
                <w:szCs w:val="21"/>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tcPr>
          <w:p>
            <w:pPr>
              <w:spacing w:after="0"/>
              <w:rPr>
                <w:sz w:val="21"/>
                <w:szCs w:val="21"/>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329,727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341,736</w:t>
            </w:r>
          </w:p>
        </w:tc>
        <w:tc>
          <w:tcPr>
            <w:tcW w:w="10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0"/>
        </w:trPr>
        <w:tc>
          <w:tcPr>
            <w:tcW w:w="19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193,437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192,270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179,269</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3"/>
                <w:szCs w:val="23"/>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7.3%</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7.1%</w:t>
            </w:r>
          </w:p>
        </w:tc>
        <w:tc>
          <w:tcPr>
            <w:tcW w:w="0" w:type="dxa"/>
            <w:vAlign w:val="bottom"/>
          </w:tcPr>
          <w:p>
            <w:pPr>
              <w:spacing w:after="0"/>
              <w:rPr>
                <w:sz w:val="1"/>
                <w:szCs w:val="1"/>
                <w:color w:val="auto"/>
              </w:rPr>
            </w:pPr>
          </w:p>
        </w:tc>
      </w:tr>
      <w:tr>
        <w:trPr>
          <w:trHeight w:val="27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19,819</w:t>
            </w:r>
          </w:p>
        </w:tc>
        <w:tc>
          <w:tcPr>
            <w:tcW w:w="10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50"/>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988,479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967,579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903,923</w:t>
            </w: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(0.6)%</w:t>
            </w:r>
          </w:p>
        </w:tc>
        <w:tc>
          <w:tcPr>
            <w:tcW w:w="100" w:type="dxa"/>
            <w:vAlign w:val="bottom"/>
          </w:tcPr>
          <w:p>
            <w:pPr>
              <w:spacing w:after="0"/>
              <w:rPr>
                <w:sz w:val="21"/>
                <w:szCs w:val="21"/>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7.0%</w:t>
            </w:r>
          </w:p>
        </w:tc>
        <w:tc>
          <w:tcPr>
            <w:tcW w:w="120" w:type="dxa"/>
            <w:vAlign w:val="bottom"/>
          </w:tcPr>
          <w:p>
            <w:pPr>
              <w:spacing w:after="0"/>
              <w:rPr>
                <w:sz w:val="21"/>
                <w:szCs w:val="21"/>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8255</wp:posOffset>
            </wp:positionV>
            <wp:extent cx="205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5" w:lineRule="exact"/>
        <w:rPr>
          <w:sz w:val="20"/>
          <w:szCs w:val="20"/>
          <w:color w:val="auto"/>
        </w:rPr>
      </w:pPr>
    </w:p>
    <w:p>
      <w:pPr>
        <w:ind w:left="120" w:right="120" w:firstLine="3"/>
        <w:spacing w:after="0" w:line="253" w:lineRule="auto"/>
        <w:tabs>
          <w:tab w:leader="none" w:pos="247"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spacing w:after="0" w:line="11" w:lineRule="exact"/>
        <w:rPr>
          <w:rFonts w:ascii="Arial" w:cs="Arial" w:eastAsia="Arial" w:hAnsi="Arial"/>
          <w:sz w:val="9"/>
          <w:szCs w:val="9"/>
          <w:color w:val="auto"/>
        </w:rPr>
      </w:pPr>
    </w:p>
    <w:p>
      <w:pPr>
        <w:ind w:left="120" w:right="220" w:firstLine="3"/>
        <w:spacing w:after="0" w:line="233" w:lineRule="auto"/>
        <w:tabs>
          <w:tab w:leader="none" w:pos="261" w:val="left"/>
        </w:tabs>
        <w:numPr>
          <w:ilvl w:val="0"/>
          <w:numId w:val="16"/>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$95.7 million, $85.7 million and $73.7 million for fiscal years 2020, 2019 and 2018, respectively. Hemostasis Management revenue increased 11.7% during fiscal 2020 as compared with fiscal 2019. Without the effect of foreign exchange, Hemostasis Management revenue increased 13.5% during fiscal 2020 as compared with fiscal 2019. Hemostasis Management revenue increased 16.2% during fiscal 2019 as compared with fiscal 2018. Without the effect of foreign exchange, Hemostasis Management revenue increased 16.3% during fiscal 2019 as compared with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-615950</wp:posOffset>
            </wp:positionV>
            <wp:extent cx="205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w:t>
      </w:r>
    </w:p>
    <w:p>
      <w:pPr>
        <w:spacing w:after="0" w:line="13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Plasma revenue increased 7.5% during fiscal 2020 as compared with fiscal 2019. Without the effect of foreign exchange, Plasma revenue increased 7.9% during fiscal 2020. This revenue growth was primarily driven by an increase in volume of plasma disposables due to continued strong performance in the U.S., favorable NexSys PCS pricing and increases in sales of software. This increase was partially offset by declines in plasma liquid solutions during fiscal 2020 due to certain strategic exits within our plasma liquid solutions business, including the divestiture of our Union, South Carolina facility during fiscal 2020. We expect continued declines in our plasma liquid solutions revenue in connection with these strategic exits. However, we will continue to supply liquid solutions to our customers on an as needed basis using contract manufacturers.</w:t>
      </w: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Due to the timing of COVID-19 relative to our fiscal year end, our Plasma business unit experienced limited effects from the pandemic in fiscal 2020. We anticipate higher impacts from COVID-19 on our fiscal 2021 Plasma results as factors like stay-at-home orders, transportation restrictions and donor safety concerns, combined with reduced collection capacity due to shutdowns and social distancing requirements, will continue to impact our revenue throughout the COVID-19 pandemic and recovery. We believe these challenges will begin to subside when we see some easing of these containment measures. Despite the current challenges, we continue to believe that the Plasma business unit has growth potential as recessionary pressures have historically contributed to greater donor availability and growth in the long-term global demand for plasma-derived pharmaceuticals is expected to continue.</w:t>
      </w:r>
    </w:p>
    <w:p>
      <w:pPr>
        <w:spacing w:after="0" w:line="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Plasma revenue increased 17.5% during fiscal 2019 as compared with fiscal 2018. There was no foreign exchange impact on Plasma revenue during fiscal 2019. This revenue growth was primarily driven by an increase in volume of plasma disposables due to continued strong performance in the U.S. and favorable NexSys PCS pricing during fiscal 2019. Increases in sales of liquid solutions also contributed to the growth during fiscal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 Center</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Blood Center revenue decreased 3.6% during fiscal 2020 as compared with fiscal 2019. Without the effect of foreign exchange, Blood Center revenue decreased 2.9% during fiscal 2020. This decrease was primarily driven by declines in whole blood disposables and software revenue. Apheresis also contributed to the overall decline as certain customers converted to alternative sources of supply. The expected impact of the loss of this apheresis business is an incremental revenue decline of $17 million in fiscal 2021.</w:t>
      </w:r>
    </w:p>
    <w:p>
      <w:pPr>
        <w:spacing w:after="0" w:line="3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Blood Center business unit experienced limited effects from the COVID-19 pandemic in fiscal 2020 due to the timing of the pandemic relative to our fiscal year end. During fiscal 2020, the impact of COVID-19 on the Blood Center business unit was limited as an initial decline in donations was followed by a rapid increase in demand, as blood collectors sought to replenish their blood product inventories and safety stocks. During fiscal 2021, there may be a greater impact on Blood Center revenue caused by an imbalance in the supply and demand for blood products. However, we expect that the demand for blood will normalize with procedure volumes.</w:t>
      </w:r>
    </w:p>
    <w:p>
      <w:pPr>
        <w:spacing w:after="0" w:line="22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Blood Center revenue decreased 3.5% during fiscal 2019 as compared with fiscal 2018.Without the effect of foreign exchange, Blood Center revenue decreased 3.4% during fiscal 2019. This decrease was primarily driven by lower whole blood revenue due to continued market declines, the strategic exit of certain contracts, products and markets, including unfavorable order timing associated with these exits, as well as product recalls. Declines in software revenue in the U.S and platelet revenue driven by the continued shift toward double dose collection techniques in Japan also contributed to the decrease.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w:t>
      </w:r>
    </w:p>
    <w:p>
      <w:pPr>
        <w:spacing w:after="0" w:line="13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Hospital revenue increased 0.6% during fiscal 2020 as compared with fiscal 2019. Without the effect of foreign exchange, Hospital revenue increased 2.0% during fiscal 2020. This increase was primarily attributable to the growth of disposables associated with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diagnostic systems, principally in the U.S. In May 2019, we received FDA clearance for the use of TEG 6s in adult trauma settings. In January 2020, we purchased the technology underlying the TEG 6s system which will allow us to pursue site of care opportunities beyond the hospital setting. In addition, on April 1, 2020, we acquired enicor GmbH, the manufacturer of ClotPro</w:t>
      </w:r>
      <w:r>
        <w:rPr>
          <w:rFonts w:ascii="Arial" w:cs="Arial" w:eastAsia="Arial" w:hAnsi="Arial"/>
          <w:sz w:val="25"/>
          <w:szCs w:val="25"/>
          <w:color w:val="auto"/>
          <w:vertAlign w:val="superscript"/>
        </w:rPr>
        <w:t>®</w:t>
      </w:r>
      <w:r>
        <w:rPr>
          <w:rFonts w:ascii="Arial" w:cs="Arial" w:eastAsia="Arial" w:hAnsi="Arial"/>
          <w:sz w:val="18"/>
          <w:szCs w:val="18"/>
          <w:color w:val="auto"/>
        </w:rPr>
        <w:t>, a new generation whole blood coagulation testing system which further augmented our portfolio of diagnostic devices.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revenue increase during fiscal 2020 was partially offset by declines due to the discontinuance of sales of our OrthoPAT products effective March 31, 2019 and the impact of COVID-19, primarily in China, due to declines of elective surgeries, a reduction of trauma cases, restricted vendor access at customer sites and the reallocation of hospital resources to critical intensive care needs. We expect a continued negative impact on our Hospital business unit throughout the COVID-19 pandemic and recovery. However, we believe the end-market for our product portfolio is inherently strong and demand for our hospital products will normalize as hospitals address the backlog of elective procedures coupled with the return of non-elective procedures to pre-pandemic levels.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right="700"/>
        <w:spacing w:after="0" w:line="319" w:lineRule="auto"/>
        <w:rPr>
          <w:sz w:val="20"/>
          <w:szCs w:val="20"/>
          <w:color w:val="auto"/>
        </w:rPr>
      </w:pPr>
      <w:r>
        <w:rPr>
          <w:rFonts w:ascii="Arial" w:cs="Arial" w:eastAsia="Arial" w:hAnsi="Arial"/>
          <w:sz w:val="16"/>
          <w:szCs w:val="16"/>
          <w:color w:val="auto"/>
        </w:rPr>
        <w:t>Hospital revenue increased 7.3% during fiscal 2019 as compared with fiscal 2018. Without the effect of foreign exchange, Hospital revenue increased 7.1% during fiscal 2019. This increase was primarily attributable to the growth of disposables associated with TEG</w:t>
      </w:r>
      <w:r>
        <w:rPr>
          <w:rFonts w:ascii="Arial" w:cs="Arial" w:eastAsia="Arial" w:hAnsi="Arial"/>
          <w:sz w:val="16"/>
          <w:szCs w:val="16"/>
          <w:color w:val="auto"/>
          <w:vertAlign w:val="superscript"/>
        </w:rPr>
        <w:t>®</w:t>
      </w:r>
      <w:r>
        <w:rPr>
          <w:rFonts w:ascii="Arial" w:cs="Arial" w:eastAsia="Arial" w:hAnsi="Arial"/>
          <w:sz w:val="16"/>
          <w:szCs w:val="16"/>
          <w:color w:val="auto"/>
        </w:rPr>
        <w:t xml:space="preserve"> diagnostic systems, principally in the U.S. and China. The increase during fiscal 2019 was partially offset by the continued decline in OrthoPAT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 vs. 19</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19 vs. 18</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484,513</w:t>
            </w:r>
          </w:p>
        </w:tc>
        <w:tc>
          <w:tcPr>
            <w:tcW w:w="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417,536</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411,908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increased 16.0% during fiscal 2020 as compared with fiscal 2019. Without the effects of foreign exchange, gross profit increased 17.1% during fiscal 2020. The increase in the gross profit margin during fiscal 2020 was primarily due to favorable pricing driven by the annualization of NexSys PCS device conversions, incremental savings from both the 2020 Program and the complexity reduction initiative, product mix, and the absence of impairment charges that were incurred in the prior year.</w:t>
      </w:r>
    </w:p>
    <w:p>
      <w:pPr>
        <w:spacing w:after="0" w:line="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Gross profit increased 1.4% during fiscal 2019 as compared with fiscal 2018. Without the effects of foreign exchange, gross profit increased 0.5% during fiscal 2019. Gross profit margin percentage decreased by 240 basis points for fiscal 2019 as compared with fiscal 2018. The decrease in the gross profit margin during fiscal 2019 was primarily due to increased depreciation expense primarily due to Plasma devices and asset impairments. This decrease was partially offset by favorable price and volume mix as well as savings as a result of the prior year restructuring initiative.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1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20 vs. 19</w:t>
            </w:r>
          </w:p>
        </w:tc>
        <w:tc>
          <w:tcPr>
            <w:tcW w:w="1480" w:type="dxa"/>
            <w:vAlign w:val="bottom"/>
          </w:tcPr>
          <w:p>
            <w:pPr>
              <w:jc w:val="right"/>
              <w:ind w:right="396"/>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30,883</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35,714</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299,680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298,277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316,523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30.3%</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30.8%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50,599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381,162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333,991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355,751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Research and development expenses decreased 13.5% during fiscal 2020 as compared with fiscal 2019. Without the effects of foreign exchange, research and development expenses decreased 13.4% during fiscal 2020. The decrease in fiscal 2020 was primarily driven by investments made in clinical programs in the prior year period in order to support FDA clearance for the use of TEG 6s in adult trauma settings, which was received in May 2019.</w:t>
      </w:r>
    </w:p>
    <w:p>
      <w:pPr>
        <w:spacing w:after="0" w:line="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decreased 9.0% during fiscal 2019 as compared with fiscal 2018. Without the effects of foreign exchange, research and development expenses decreased 8.4% during fiscal 2019. The decrease in fiscal 2019 was primarily driven by lower restructuring and turnaround costs partially offset by our continued investment of resources in clinical programs, primarily in our Hospital business unit, as well as continued investment in our Plasma business unit.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Selling, general and administrative expenses increased 0.5% during fiscal 2020 as compared with fiscal 2019. Without the effects of foreign exchange, selling, general and administrative expenses increased 1.4% during fiscal 2020. The increase in fiscal 2020 was primarily due to an increase in investments, share-based compensation expense, restructuring and turnaround costs and PCS2 related costs. This increase was partially offset by the gain recognized on the sale of assets associated with the Braintree corporate headquarters and incremental savings from both the 2020 Program and the 2018 Program.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Selling, general and administrative expenses decreased 5.8% during fiscal 2019 as compared with fiscal 2018. Without the effects of foreign exchange, selling, general and administrative expenses decreased 5.6% during fiscal 2019. The decrease in fiscal 2019 was primarily the result of lower restructuring and turnaround costs and annualized savings from restructuring initiatives. This decrease was partially offset by increased investments within our Plasma and Hospital business units, higher freight, fuel and carrier fees and an increase in variable compensation and share-based compensation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We recognized impairment charges of $50.6 million during fiscal 2020 primarily as a result of the transfer to CSL of substantially all of our tangible assets related to the manufacture of anti-coagulant and saline at our Union, South Carolina facility. Refer to Note 5, </w:t>
      </w:r>
      <w:r>
        <w:rPr>
          <w:rFonts w:ascii="Arial" w:cs="Arial" w:eastAsia="Arial" w:hAnsi="Arial"/>
          <w:sz w:val="18"/>
          <w:szCs w:val="18"/>
          <w:i w:val="1"/>
          <w:iCs w:val="1"/>
          <w:color w:val="auto"/>
        </w:rPr>
        <w:t>Divestiture</w:t>
      </w:r>
      <w:r>
        <w:rPr>
          <w:rFonts w:ascii="Arial" w:cs="Arial" w:eastAsia="Arial" w:hAnsi="Arial"/>
          <w:sz w:val="18"/>
          <w:szCs w:val="18"/>
          <w:color w:val="auto"/>
        </w:rPr>
        <w:t>, to the Consolidated Financial Statements in Item 8 of this Annual Report on Form 10-K for information pertaining to this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Interest and other expenses increased 63.4% during fiscal 2020 as compared with fiscal 2019. Without the effects of foreign exchange, interest and other expenses increased 68.3% during fiscal 2020. The increase is primarily driven by a reduction in capitalized interest, realized losses on interest rate swaps due to declining rates, and an increase in interest expense from borrowings under our $350.0 million term loan and $350.0 million revolving loan. The effective interest rate on total debt outstanding for the fiscal year ended March 28, 2020 was 2.9%.</w:t>
      </w:r>
    </w:p>
    <w:p>
      <w:pPr>
        <w:spacing w:after="0" w:line="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increased $4.9 million during fiscal 2019 as compared with fiscal 2018 due to an increase in the Term Loan balance as well as an increase in the effective interest 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60" w:type="dxa"/>
            <w:vAlign w:val="bottom"/>
          </w:tcPr>
          <w:p>
            <w:pPr>
              <w:jc w:val="center"/>
              <w:ind w:right="282"/>
              <w:spacing w:after="0"/>
              <w:rPr>
                <w:sz w:val="20"/>
                <w:szCs w:val="20"/>
                <w:color w:val="auto"/>
              </w:rPr>
            </w:pPr>
            <w:r>
              <w:rPr>
                <w:rFonts w:ascii="Arial" w:cs="Arial" w:eastAsia="Arial" w:hAnsi="Arial"/>
                <w:sz w:val="14"/>
                <w:szCs w:val="14"/>
                <w:b w:val="1"/>
                <w:bCs w:val="1"/>
                <w:color w:val="auto"/>
                <w:w w:val="91"/>
              </w:rPr>
              <w:t>Fiscal Year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1560" w:type="dxa"/>
            <w:vAlign w:val="bottom"/>
            <w:vMerge w:val="restart"/>
          </w:tcPr>
          <w:p>
            <w:pPr>
              <w:jc w:val="right"/>
              <w:ind w:right="762"/>
              <w:spacing w:after="0"/>
              <w:rPr>
                <w:sz w:val="20"/>
                <w:szCs w:val="20"/>
                <w:color w:val="auto"/>
              </w:rPr>
            </w:pPr>
            <w:r>
              <w:rPr>
                <w:rFonts w:ascii="Arial" w:cs="Arial" w:eastAsia="Arial" w:hAnsi="Arial"/>
                <w:sz w:val="14"/>
                <w:szCs w:val="14"/>
                <w:b w:val="1"/>
                <w:bCs w:val="1"/>
                <w:color w:val="auto"/>
              </w:rPr>
              <w:t>2019</w:t>
            </w:r>
          </w:p>
        </w:tc>
        <w:tc>
          <w:tcPr>
            <w:tcW w:w="11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 vs. 19</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19 vs. 18</w:t>
            </w:r>
          </w:p>
        </w:tc>
        <w:tc>
          <w:tcPr>
            <w:tcW w:w="0" w:type="dxa"/>
            <w:vAlign w:val="bottom"/>
          </w:tcPr>
          <w:p>
            <w:pPr>
              <w:spacing w:after="0"/>
              <w:rPr>
                <w:sz w:val="1"/>
                <w:szCs w:val="1"/>
                <w:color w:val="auto"/>
              </w:rPr>
            </w:pPr>
          </w:p>
        </w:tc>
      </w:tr>
      <w:tr>
        <w:trPr>
          <w:trHeight w:val="243"/>
        </w:trPr>
        <w:tc>
          <w:tcPr>
            <w:tcW w:w="4640" w:type="dxa"/>
            <w:vAlign w:val="bottom"/>
            <w:gridSpan w:val="2"/>
          </w:tcPr>
          <w:p>
            <w:pPr>
              <w:jc w:val="right"/>
              <w:ind w:right="2768"/>
              <w:spacing w:after="0"/>
              <w:rPr>
                <w:sz w:val="20"/>
                <w:szCs w:val="20"/>
                <w:color w:val="auto"/>
              </w:rPr>
            </w:pPr>
            <w:r>
              <w:rPr>
                <w:rFonts w:ascii="Arial" w:cs="Arial" w:eastAsia="Arial" w:hAnsi="Arial"/>
                <w:sz w:val="18"/>
                <w:szCs w:val="18"/>
                <w:color w:val="auto"/>
                <w:w w:val="88"/>
              </w:rPr>
              <w:t>Reported income tax rate</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w w:val="90"/>
              </w:rPr>
              <w:t>12.2%</w:t>
            </w:r>
          </w:p>
        </w:tc>
        <w:tc>
          <w:tcPr>
            <w:tcW w:w="1560" w:type="dxa"/>
            <w:vAlign w:val="bottom"/>
          </w:tcPr>
          <w:p>
            <w:pPr>
              <w:jc w:val="right"/>
              <w:ind w:right="262"/>
              <w:spacing w:after="0"/>
              <w:rPr>
                <w:sz w:val="20"/>
                <w:szCs w:val="20"/>
                <w:color w:val="auto"/>
              </w:rPr>
            </w:pPr>
            <w:r>
              <w:rPr>
                <w:rFonts w:ascii="Arial" w:cs="Arial" w:eastAsia="Arial" w:hAnsi="Arial"/>
                <w:sz w:val="18"/>
                <w:szCs w:val="18"/>
                <w:color w:val="auto"/>
              </w:rPr>
              <w:t>25.3%</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Reported Tax Rate</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March 28, 2020, we maintain a valuation allowance against certain U.S. deferred tax assets that are not more-likely-than-not realizable and have a full valuation allowance against the net deferred tax assets of certain foreign subsidiaries.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year ended March 28, 2020, we recorded an income tax provision of $10.6 million on our worldwide pre-tax income of $87.2 million, resulting in a reported tax rate of 12.2%. Our effective tax rate for the year ended March 28, 2020 is lower than our effective tax rates of 25.3% and 23.6% for the years ended March 30, 2019 and March 31, 2018, respectively. Our decrease in tax rate for fiscal 2020, as compared with fiscal 2019, is primarily the result of tax benefits associated with windfall stock compensation deductions and favorable changes in the jurisdictional mix of earnings partially offset by the impact of changes in valuation allowance, tax reserves and increased nondeductible executive compensation. The rate was higher than the fiscal 2018 tax rate due to the impact of U.S. tax reform provisions that became effective in fiscal 2019, including global intangible low taxed income and nondeductible executive compensation, partially offset by windfall tax benefits on stock compensation deductions.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fiscal 2019, we incorporated the certain provisions of the Tax Cuts and Jobs Act (the "Act")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For fiscal 2020, the GILTI provisions have the most significant impact. Under the new law, U.S. taxes are imposed on foreign income in excess of a deemed return on tangible assets of its foreign subsidiaries. The ability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benefit from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Interpretive guidance on the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The Company has made the accounting policy election to recognize GILTI as a period expense.</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are not expected to have a significant impact on the Company’s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169,351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328,817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340,362</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r>
      <w:tr>
        <w:trPr>
          <w:trHeight w:val="270"/>
        </w:trPr>
        <w:tc>
          <w:tcPr>
            <w:tcW w:w="8220" w:type="dxa"/>
            <w:vAlign w:val="bottom"/>
          </w:tcPr>
          <w:p>
            <w:pPr>
              <w:ind w:left="40"/>
              <w:spacing w:after="0" w:line="270" w:lineRule="exact"/>
              <w:rPr>
                <w:sz w:val="20"/>
                <w:szCs w:val="20"/>
                <w:color w:val="auto"/>
              </w:rPr>
            </w:pPr>
            <w:r>
              <w:rPr>
                <w:rFonts w:ascii="Arial" w:cs="Arial" w:eastAsia="Arial" w:hAnsi="Arial"/>
                <w:sz w:val="18"/>
                <w:szCs w:val="18"/>
                <w:color w:val="auto"/>
              </w:rPr>
              <w:t>Net debt position</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(245,182)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(180,769)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Inventory turnover</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w:t>
            </w: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3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fiscal year ended March 28, 2020, we incurred $11.9 million of restructuring and turnaround costs under this program.</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investments, restructuring and turnaround initiatives, capital expenditures, including investments in our manufacturing facilities and production of NexSys PCS devices, share repurchases and cash payments under the loan agreement.</w:t>
      </w:r>
    </w:p>
    <w:p>
      <w:pPr>
        <w:spacing w:after="0" w:line="171"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As of March 28, 2020, we had $137.3 million in cash and cash equivalents, the majority of which is held in the U.S. or in countries from which it can be freely repatriated to the U.S. On June 15, 2018, we entered into a five-year credit agreement which provided for a $350.0 million term loan and a $350.0 million revolving loan. Interest on the term loan and revolving loan is established using LIBOR plus 1.13% - 1.75%, depending on our leverage ratio.</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Under the Credit Facilities, we are required to maintain certain leverage and interest coverage ratios specified in the credit agreement as well as other customary non-financial affirmative and negative covenants, all of which we were in compliance with as of March 28, 2020. As of March 28, 2020, $323.8 million was outstanding under the Term Loan and $60.0 million was outstanding on the Revolving Credit Facility, both, with an effective interest rate of</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2.9%. We also had $25.6 million of uncommitted operating lines of credit to fund our global operations under which there were no outstanding borrowings as of March 28, 2020. During fiscal 2020, we paid $13.1 million in scheduled principal repayments for the Term Loan. We have scheduled principal repayments of $323.8 million required through fiscal 2024. We were in compliance with the leverage and interest coverage ratios specified in the credit agreement as well as all other bank covenants as of March 28, 2020.</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continue to manage the ongoing impacts of the COVID-19 pandemic. While the duration and impacts of the pandemic remain uncertain, we are focused on preserving cash and have implemented a number of actions to help us protect cash flow and allocate capital such as reducing non-essential spending, delaying certain compensation-related items, inventory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management, reviewing capital projects and the associated costs, and restricting travel. In April 2020, we borrowed an additional $150.0 million under the Revolving Credit Facility, increasing our cash on hand to approximately $300 million. Our leverage ratio remains low subsequent to the incremental $150.0 million of borrowings, and we have an additional $131.7 million of undrawn capacity remaining under the revolving credit line.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20 vs. 19</w:t>
            </w:r>
          </w:p>
        </w:tc>
        <w:tc>
          <w:tcPr>
            <w:tcW w:w="280" w:type="dxa"/>
            <w:vAlign w:val="bottom"/>
          </w:tcPr>
          <w:p>
            <w:pPr>
              <w:spacing w:after="0"/>
              <w:rPr>
                <w:sz w:val="16"/>
                <w:szCs w:val="16"/>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19 vs. 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220,350</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w w:val="95"/>
              </w:rPr>
              <w:t>Effect of exchange rate changes on cash and cash</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ind w:left="140"/>
              <w:spacing w:after="0" w:line="257" w:lineRule="exact"/>
              <w:rPr>
                <w:sz w:val="20"/>
                <w:szCs w:val="20"/>
                <w:color w:val="auto"/>
              </w:rPr>
            </w:pPr>
            <w:r>
              <w:rPr>
                <w:rFonts w:ascii="Arial" w:cs="Arial" w:eastAsia="Arial" w:hAnsi="Arial"/>
                <w:sz w:val="18"/>
                <w:szCs w:val="18"/>
                <w:color w:val="auto"/>
              </w:rPr>
              <w:t>equivalents</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3,939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Net (decrease)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right="540"/>
        <w:spacing w:after="0" w:line="25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eliminated the effect of foreign</w:t>
      </w:r>
      <w:r>
        <w:rPr>
          <w:rFonts w:ascii="Arial" w:cs="Arial" w:eastAsia="Arial" w:hAnsi="Arial"/>
          <w:sz w:val="9"/>
          <w:szCs w:val="9"/>
          <w:color w:val="auto"/>
        </w:rPr>
        <w:t xml:space="preserve"> </w:t>
      </w:r>
      <w:r>
        <w:rPr>
          <w:rFonts w:ascii="Arial" w:cs="Arial" w:eastAsia="Arial" w:hAnsi="Arial"/>
          <w:sz w:val="14"/>
          <w:szCs w:val="14"/>
          <w:color w:val="auto"/>
        </w:rPr>
        <w:t>currency throughout our cash flow statement, except for its effect on our cash and cash equivalents.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Net cash provided by operating activities was $158.2 million during fiscal 2020, a decrease of $1.1 million as compared with fiscal 2019. The decrease in cash provided by operating activities was primarily due to a working capital outflow driven by an increase in inventory build to support the launch of the NexSys PCS devices and decreases in accounts payable and accrued payroll. Net income, as adjusted for depreciation, amortization and other non-cash charges and a decrease in accounts receivable due to the timing of collections partially offset the decrease in operating activities.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provided by operating activities was $159.3 million during fiscal 2019, a decrease of $61.1 million as compared with fiscal 2018. The decrease in cash provided by operating activities was primarily due to a working capital outflow driven largely by an increase accounts receivable due to higher revenue growth and collections timing, an increase in inventory and prepaid expenses to support the launch of the NexSys PCS device and decreases in accrued payroll due to severance payments associated with the 2018 Program. Net income, as adjusted for depreciation, amortization and other non-cash charges, partially offset the decrease in operating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$57.2 million during fiscal 2020, a decrease of $59.0 million as compared with fiscal 2019. The decrease in cash used in investing activities was primarily the result of a decrease in capital expenditures in the current year period due to the NexSys PCS launch and manufacturing capacity expansion projects in our Plasma business unit in the prior year period. Proceeds received related to the divestiture of our plasma liquid solutions operations and sale of real estate and other assets associated with the Braintree corporate headquarters in the current period also contributed to the decrease in cash used in investing activities. This decrease was partially offset by the acquisition of the technology underlying the TEG 6s system during fiscal 2020.</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Net cash used in investing activities was $116.1 million during fiscal 2019, an increase of $53.1 million as compared with fiscal 2018. The increase in cash used in investing activities was primarily the result of an increase in capital expenditures in fiscal 2019 due to the NexSys PCS launch and manufacturing capacity expansion projects in our Plasma business unit and proceeds received related to the divestiture of our SEBRA product line in fiscal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used in financing activities was $131.2 million during fiscal 2020, an increase of $80.6 million as compared with fiscal 2019. The increase was primarily due to lower borrowings, net of payments, on our Credit Facilities and increased share repurchases in the current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was $50.6 million during fiscal 2019, a decrease of $70.0 million as compared with fiscal 2018. Cash used in financing activities included the repayment of the $253.7 remaining outstanding balance on our 2012 credit agreement, as amended in fiscal 2014, as well as $160.0 million of share repurchases during fiscal 2019. This use in cash was partially offset by proceeds resulting from the $350.0 million Term Loan entered into in June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28, 2020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0"/>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81,919</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35,395</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113,717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113,717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7,251</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602,980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215,381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257,270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87,683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42,646</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right="80" w:hanging="5"/>
        <w:spacing w:after="0" w:line="230" w:lineRule="auto"/>
        <w:tabs>
          <w:tab w:leader="none" w:pos="167" w:val="left"/>
        </w:tabs>
        <w:numPr>
          <w:ilvl w:val="0"/>
          <w:numId w:val="17"/>
        </w:numPr>
        <w:rPr>
          <w:rFonts w:ascii="Arial" w:cs="Arial" w:eastAsia="Arial" w:hAnsi="Arial"/>
          <w:sz w:val="9"/>
          <w:szCs w:val="9"/>
          <w:color w:val="auto"/>
        </w:rPr>
      </w:pPr>
      <w:r>
        <w:rPr>
          <w:rFonts w:ascii="Arial" w:cs="Arial" w:eastAsia="Arial" w:hAnsi="Arial"/>
          <w:sz w:val="14"/>
          <w:szCs w:val="14"/>
          <w:color w:val="auto"/>
        </w:rPr>
        <w:t>Interest payments reflect the contractual interest payments on our outstanding debt and exclude the impact of interest rate swap agreements. Interest payments are projected using interest rates in effect as of March 28, 2020. Certain of these projected interest payments may differ in the future based on changes in market interest rates.</w:t>
      </w:r>
    </w:p>
    <w:p>
      <w:pPr>
        <w:ind w:left="40" w:right="40" w:hanging="5"/>
        <w:spacing w:after="0" w:line="237" w:lineRule="auto"/>
        <w:tabs>
          <w:tab w:leader="none" w:pos="167"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above table does not reflect our long-term liabilities associated with unrecognized tax benefits of $3.4 million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cannot reasonably make a reliable estimate of the period in which we expect to settle these long-term liabilities due to factors outside of our control, such as tax examinations.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approximately 54% of our revenue during fiscal 2020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accordance with U.S. GAAP, we record a liability in our consolidated financial statements for these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16,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the Consolidated Financial Statements in Item 8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fiscal 2020, 34.6%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Codification ("ASC") Update No. 2016-13, Financial Instruments – Credit Losses (Topic 326). ASC Update No. 2016-13 is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ASC Update No. 2016-13 is effective for annual periods beginning after December 15, 2019, and is applicable to us in fiscal 2021. We are in the process of determining the effect that the adoption will have on our financial position and results of operations.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consolidated financial statements.</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December 2019, the FASB issued ASC Update No. 2019-12, Income Taxes (Topic 740). The new guidance will improve consistent application of and simplify the accounting for income taxes by removing certain exceptions to the general principals in Topic 740. ASC Update No. 2019-12 is effective for annual periods beginning after December 15, 2020, and is applicable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us in fiscal 2022. We are in the process of determining the effect that the adoption will have on our financial position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Our significant accounting policies are summarized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Revenue</w:t>
      </w:r>
      <w:r>
        <w:rPr>
          <w:rFonts w:ascii="Arial" w:cs="Arial" w:eastAsia="Arial" w:hAnsi="Arial"/>
          <w:sz w:val="16"/>
          <w:szCs w:val="16"/>
          <w:color w:val="auto"/>
        </w:rPr>
        <w:t>, to the Consolidated Financial Statements in Item 8 of this Annual Report on Form 10-K for further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events that could have a negative impact on the levels of excess fair value over carrying value of our reporting units include, but are not limited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our forecasted profitability due to an inability to implement successfully and achieve timely and sustainable cost improvement measures consistent with our expectations,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reporting units or in the structure of our business as a result of future reorganizations, acquisitions or divestitures of assets or businesses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our market-participant risk-adjusted weighted average cost of capital and increases in our market-participant tax rate and/or changes in tax laws or macroeconomic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Negative changes in one or more of these factors, among others, could result in future impairment charges.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Goodwill &amp;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to the Consolidated Financial Statements in Item 8 of this Annual Report on Form 10-K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the Consolidated Financial Statements in Item 8 of this Annual Report on Form 10-K for further information and discussion of our income tax provision and balances.</w:t>
      </w:r>
    </w:p>
    <w:p>
      <w:pPr>
        <w:spacing w:after="0" w:line="1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$13.8 million increase in the fair value of the forward contracts, whereas a 10% weakening of the U.S. dollar would result in a $15.6 million decrease in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for the fiscal year ended March 28, 2020 was $383.8 million with an interest rate of 2.9% based on prevailing LIBOR rates. An increase of 100 basis points in LIBOR rates would result in additional annual interest expense of $1.0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320" w:top="130" w:right="4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Haemonetics Corporation and subsidiaries (the Company) as of March 28, 2020 and March 30, 2019, the related consolidated statements of income, comprehensive income, stockholders' equity and cash flows for each of the three years in the period ended March 28,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28, 2020 and March 30, 2019, and the results of its operations and its cash flows for each of the three years in the period ended March 28, 2020, in conformity with U.S. generally accepted accounting principles.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28, 2020, based on criteria established in Internal Control-Integrated Framework issued by the Committee of Sponsoring Organizations of the Treadway Commission (2013 framework) and our report dated May 20,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effective March 31, 2019 due to adoption of Accounting Standards Update (ASU) No. 2016-02, Leases (Topic 842), and the related amendments. As discussed in Note 2 to the consolidated financial statements, the Company changed its method of accounting for revenue effective April 1, 2018 due to the adoption of ASU No. 2014-09, Revenue from Contracts with Customers (Topic 606), and the related amendments.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63" w:lineRule="exact"/>
        <w:rPr>
          <w:sz w:val="20"/>
          <w:szCs w:val="20"/>
          <w:color w:val="auto"/>
        </w:rPr>
      </w:pPr>
    </w:p>
    <w:p>
      <w:pPr>
        <w:jc w:val="both"/>
        <w:ind w:left="2060" w:hanging="2024"/>
        <w:spacing w:after="0" w:line="279" w:lineRule="auto"/>
        <w:tabs>
          <w:tab w:leader="none" w:pos="20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As discussed in Note 11 to the consolidated financial statements, the Company had approximately $211 million of goodwill allocated among its three reporting units as of March 28, 2020. The Company performs its annual quantitative impairment analysis as of the first day of the fourth quarter, and more frequently if the Company believes indicators of impairment exist, utilizing a discounted cash flow income approach in order to value reporting units for the test.</w:t>
      </w:r>
    </w:p>
    <w:p>
      <w:pPr>
        <w:spacing w:after="0" w:line="9" w:lineRule="exact"/>
        <w:rPr>
          <w:sz w:val="20"/>
          <w:szCs w:val="20"/>
          <w:color w:val="auto"/>
        </w:rPr>
      </w:pPr>
    </w:p>
    <w:p>
      <w:pPr>
        <w:jc w:val="both"/>
        <w:ind w:left="2060" w:right="20"/>
        <w:spacing w:after="0" w:line="279" w:lineRule="auto"/>
        <w:rPr>
          <w:sz w:val="20"/>
          <w:szCs w:val="20"/>
          <w:color w:val="auto"/>
        </w:rPr>
      </w:pPr>
      <w:r>
        <w:rPr>
          <w:rFonts w:ascii="Arial" w:cs="Arial" w:eastAsia="Arial" w:hAnsi="Arial"/>
          <w:sz w:val="17"/>
          <w:szCs w:val="17"/>
          <w:color w:val="auto"/>
        </w:rPr>
        <w:t>Auditing the annual goodwill impairment test was especially complex and judgmental due to the significant estimation required in determining the fair values of the reporting units. In particular, the fair value estimates involve judgmental assumptions including discount rates, terminal values, and the amount and timing of expected future cash flows, which are all affected by expectations about future market or economic conditions and reporting unit specific risk factors.</w:t>
      </w:r>
    </w:p>
    <w:p>
      <w:pPr>
        <w:spacing w:after="0" w:line="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060" w:right="20" w:hanging="2024"/>
        <w:spacing w:after="0" w:line="260" w:lineRule="auto"/>
        <w:tabs>
          <w:tab w:leader="none" w:pos="20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goodwill impairment review process. For example, we tested controls over management's review of the significant inputs and assumptions used in determining the reporting unit fair values.</w:t>
      </w:r>
    </w:p>
    <w:p>
      <w:pPr>
        <w:spacing w:after="0" w:line="23" w:lineRule="exact"/>
        <w:rPr>
          <w:sz w:val="20"/>
          <w:szCs w:val="20"/>
          <w:color w:val="auto"/>
        </w:rPr>
      </w:pPr>
    </w:p>
    <w:p>
      <w:pPr>
        <w:jc w:val="both"/>
        <w:ind w:left="2060"/>
        <w:spacing w:after="0" w:line="270" w:lineRule="auto"/>
        <w:rPr>
          <w:sz w:val="20"/>
          <w:szCs w:val="20"/>
          <w:color w:val="auto"/>
        </w:rPr>
      </w:pPr>
      <w:r>
        <w:rPr>
          <w:rFonts w:ascii="Arial" w:cs="Arial" w:eastAsia="Arial" w:hAnsi="Arial"/>
          <w:sz w:val="17"/>
          <w:szCs w:val="17"/>
          <w:color w:val="auto"/>
        </w:rPr>
        <w:t>To test the estimated fair value of the Company’s reporting units, we performed audit procedures that included, among others, assessing fair value methodologies, testing the significant assumptions discussed above and the completeness and accuracy of the underlying data used by the Company in its analysis. We compared the significant assumptions used by management to current industry trends, historical financial results of the reporting unit, and other relevant factors. We considered the historical accuracy of management’s estimates and performed sensitivity analyses of significant assumptions to evaluate the changes in the fair value of the reporting unit that would result from changes in the assumptions. In addition, we involved our valuation professionals to assist in our evaluation of the significant assumptions used to develop the fair value estimates. We also evaluated the reconciliation of the estimated aggregate fair value of the reporting units to the market capitalization of the Company.</w:t>
      </w:r>
    </w:p>
    <w:p>
      <w:pPr>
        <w:spacing w:after="0" w:line="3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Income taxes - valuation allowance</w:t>
      </w:r>
    </w:p>
    <w:p>
      <w:pPr>
        <w:spacing w:after="0" w:line="63" w:lineRule="exact"/>
        <w:rPr>
          <w:sz w:val="20"/>
          <w:szCs w:val="20"/>
          <w:color w:val="auto"/>
        </w:rPr>
      </w:pPr>
    </w:p>
    <w:p>
      <w:pPr>
        <w:jc w:val="both"/>
        <w:ind w:left="2060" w:hanging="2024"/>
        <w:spacing w:after="0" w:line="257" w:lineRule="auto"/>
        <w:tabs>
          <w:tab w:leader="none" w:pos="20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described in Note 6 to the consolidated financial statements, the Company had gross deferred tax assets on temporary differences of approximately $55 million offset by an approximately $14 million valuation allowance as of March 28, 2020. Deferred tax assets are reduced by a valuation allowance if, based upon the weight of all available evidence, both positive and negative, in management’s judgment it is more likely than not that some portion, or all, of the deferred tax assets will not be realized.</w:t>
      </w:r>
    </w:p>
    <w:p>
      <w:pPr>
        <w:spacing w:after="0" w:line="26" w:lineRule="exact"/>
        <w:rPr>
          <w:sz w:val="20"/>
          <w:szCs w:val="20"/>
          <w:color w:val="auto"/>
        </w:rPr>
      </w:pPr>
    </w:p>
    <w:p>
      <w:pPr>
        <w:jc w:val="both"/>
        <w:ind w:left="2060"/>
        <w:spacing w:after="0" w:line="263" w:lineRule="auto"/>
        <w:rPr>
          <w:sz w:val="20"/>
          <w:szCs w:val="20"/>
          <w:color w:val="auto"/>
        </w:rPr>
      </w:pPr>
      <w:r>
        <w:rPr>
          <w:rFonts w:ascii="Arial" w:cs="Arial" w:eastAsia="Arial" w:hAnsi="Arial"/>
          <w:sz w:val="18"/>
          <w:szCs w:val="18"/>
          <w:color w:val="auto"/>
        </w:rPr>
        <w:t>Auditing management’s analysis of the realizability of its deferred tax assets was especially challenging and complex in relation to estimating projections of future taxable income that involved significant judgment and assumptions that may be affected by future market or economic conditions.</w:t>
      </w:r>
    </w:p>
    <w:p>
      <w:pPr>
        <w:spacing w:after="0" w:line="22"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060" w:right="20" w:hanging="2024"/>
        <w:spacing w:after="0" w:line="260" w:lineRule="auto"/>
        <w:tabs>
          <w:tab w:leader="none" w:pos="20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analysis of the realizability of deferred tax assets. This included controls over management’s projections of future taxable income.</w:t>
      </w:r>
    </w:p>
    <w:p>
      <w:pPr>
        <w:spacing w:after="0" w:line="23" w:lineRule="exact"/>
        <w:rPr>
          <w:sz w:val="20"/>
          <w:szCs w:val="20"/>
          <w:color w:val="auto"/>
        </w:rPr>
      </w:pPr>
    </w:p>
    <w:p>
      <w:pPr>
        <w:jc w:val="both"/>
        <w:ind w:left="2060"/>
        <w:spacing w:after="0" w:line="254" w:lineRule="auto"/>
        <w:rPr>
          <w:sz w:val="20"/>
          <w:szCs w:val="20"/>
          <w:color w:val="auto"/>
        </w:rPr>
      </w:pPr>
      <w:r>
        <w:rPr>
          <w:rFonts w:ascii="Arial" w:cs="Arial" w:eastAsia="Arial" w:hAnsi="Arial"/>
          <w:sz w:val="18"/>
          <w:szCs w:val="18"/>
          <w:color w:val="auto"/>
        </w:rPr>
        <w:t>To test the Company’s analysis of the realizability of deferred tax assets and the resultant valuation allowance, we performed audit procedures with the assistance of tax professionals that included, among others, evaluating the analyses used by management to consider the four sources of taxable income. We evaluated the assumptions used by the Company to develop projections of future taxable income by jurisdiction and tested the completeness and accuracy of the underlying data used in its projections. For example, we compared the projections of future taxable income with the actual results of prior periods, as well as management’s consideration of current industry and economic trends. We also considered the historical accuracy of management’s projections and compared the projections of future taxable income with other forecasted financial information prepared by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30" w:right="3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4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70"/>
        </w:trPr>
        <w:tc>
          <w:tcPr>
            <w:tcW w:w="4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5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903,923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503,966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550,043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492,015</w:t>
            </w:r>
          </w:p>
        </w:tc>
      </w:tr>
      <w:tr>
        <w:trPr>
          <w:trHeight w:val="27"/>
        </w:trPr>
        <w:tc>
          <w:tcPr>
            <w:tcW w:w="43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484,513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411,908</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299,680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298,277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316,523</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381,162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333,991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355,751</w:t>
            </w:r>
          </w:p>
        </w:tc>
      </w:tr>
      <w:tr>
        <w:trPr>
          <w:trHeight w:val="27"/>
        </w:trPr>
        <w:tc>
          <w:tcPr>
            <w:tcW w:w="43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56,157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Gain on divestiture</w:t>
            </w: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8,000</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87,152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73,633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59,632</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14,060</w:t>
            </w: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2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76,526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55,019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45,572</w:t>
            </w:r>
          </w:p>
        </w:tc>
      </w:tr>
      <w:tr>
        <w:trPr>
          <w:trHeight w:val="257"/>
        </w:trPr>
        <w:tc>
          <w:tcPr>
            <w:tcW w:w="43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0.86</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5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r>
      <w:tr>
        <w:trPr>
          <w:trHeight w:val="324"/>
        </w:trPr>
        <w:tc>
          <w:tcPr>
            <w:tcW w:w="4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50,692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51,533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52,755</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53,501</w:t>
            </w:r>
          </w:p>
        </w:tc>
      </w:tr>
      <w:tr>
        <w:trPr>
          <w:trHeight w:val="284"/>
        </w:trPr>
        <w:tc>
          <w:tcPr>
            <w:tcW w:w="9780" w:type="dxa"/>
            <w:vAlign w:val="bottom"/>
            <w:gridSpan w:val="8"/>
          </w:tcPr>
          <w:p>
            <w:pPr>
              <w:jc w:val="center"/>
              <w:ind w:left="13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4360" w:type="dxa"/>
            <w:vAlign w:val="bottom"/>
          </w:tcPr>
          <w:p>
            <w:pPr>
              <w:spacing w:after="0"/>
              <w:rPr>
                <w:sz w:val="24"/>
                <w:szCs w:val="24"/>
                <w:color w:val="auto"/>
              </w:rPr>
            </w:pPr>
          </w:p>
        </w:tc>
        <w:tc>
          <w:tcPr>
            <w:tcW w:w="2280" w:type="dxa"/>
            <w:vAlign w:val="bottom"/>
          </w:tcPr>
          <w:p>
            <w:pPr>
              <w:jc w:val="right"/>
              <w:ind w:right="83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323"/>
        </w:trPr>
        <w:tc>
          <w:tcPr>
            <w:tcW w:w="6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45,572</w:t>
            </w:r>
          </w:p>
        </w:tc>
      </w:tr>
      <w:tr>
        <w:trPr>
          <w:trHeight w:val="324"/>
        </w:trPr>
        <w:tc>
          <w:tcPr>
            <w:tcW w:w="6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1,949</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Unrealized loss on cash flow hedges, net of tax</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losses (gains),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13,882</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61,771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43,630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59,454</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521"/>
        </w:trPr>
        <w:tc>
          <w:tcPr>
            <w:tcW w:w="8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137,311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169,351</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$3,824 at March 28, 2020 and $3,937 at March 30, 2019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185,027</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270,276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194,337</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27,406</w:t>
            </w:r>
          </w:p>
        </w:tc>
      </w:tr>
      <w:tr>
        <w:trPr>
          <w:trHeight w:val="217"/>
        </w:trPr>
        <w:tc>
          <w:tcPr>
            <w:tcW w:w="80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603,639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576,121</w:t>
            </w: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253,399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343,979</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w w:val="97"/>
              </w:rPr>
              <w:t>Intangible assets, less accumulated amortization of $296,942 at March 28, 2020 and $263,479 at March 30, 2019</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133,106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127,693</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210,819</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4,359</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11,796</w:t>
            </w:r>
          </w:p>
        </w:tc>
      </w:tr>
      <w:tr>
        <w:trPr>
          <w:trHeight w:val="283"/>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1,267,110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1,274,767</w:t>
            </w: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27,666</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50,730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63,361</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53,200</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97,641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91,532</w:t>
            </w: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235,759</w:t>
            </w:r>
          </w:p>
        </w:tc>
      </w:tr>
      <w:tr>
        <w:trPr>
          <w:trHeight w:val="217"/>
        </w:trPr>
        <w:tc>
          <w:tcPr>
            <w:tcW w:w="80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305,513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322,454</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19,906</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89,104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28,780</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8040" w:type="dxa"/>
            <w:vAlign w:val="bottom"/>
          </w:tcPr>
          <w:p>
            <w:pPr>
              <w:ind w:left="180"/>
              <w:spacing w:after="0"/>
              <w:rPr>
                <w:sz w:val="20"/>
                <w:szCs w:val="20"/>
                <w:color w:val="auto"/>
              </w:rPr>
            </w:pPr>
            <w:r>
              <w:rPr>
                <w:rFonts w:ascii="Arial" w:cs="Arial" w:eastAsia="Arial" w:hAnsi="Arial"/>
                <w:sz w:val="16"/>
                <w:szCs w:val="16"/>
                <w:color w:val="auto"/>
                <w:w w:val="94"/>
              </w:rPr>
              <w:t>Common stock, $0.01 par value; Authorized — 150,000,000 shares; Issued and outstanding — 50,322,930 shares at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040" w:type="dxa"/>
            <w:vAlign w:val="bottom"/>
          </w:tcPr>
          <w:p>
            <w:pPr>
              <w:ind w:left="180"/>
              <w:spacing w:after="0"/>
              <w:rPr>
                <w:sz w:val="20"/>
                <w:szCs w:val="20"/>
                <w:color w:val="auto"/>
              </w:rPr>
            </w:pPr>
            <w:r>
              <w:rPr>
                <w:rFonts w:ascii="Arial" w:cs="Arial" w:eastAsia="Arial" w:hAnsi="Arial"/>
                <w:sz w:val="16"/>
                <w:szCs w:val="16"/>
                <w:color w:val="auto"/>
              </w:rPr>
              <w:t>March 28, 2020 and 51,019,918 shares at March 30, 2019</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510</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536,320</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78,512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161,418</w:t>
            </w: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(30,380)</w:t>
            </w:r>
          </w:p>
        </w:tc>
      </w:tr>
      <w:tr>
        <w:trPr>
          <w:trHeight w:val="217"/>
        </w:trPr>
        <w:tc>
          <w:tcPr>
            <w:tcW w:w="80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587,109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667,868</w:t>
            </w: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1,267,110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1,274,767</w:t>
            </w: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320" w:top="130" w:right="5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86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280" w:type="dxa"/>
            <w:vAlign w:val="bottom"/>
          </w:tcPr>
          <w:p>
            <w:pPr>
              <w:spacing w:after="0"/>
              <w:rPr>
                <w:sz w:val="9"/>
                <w:szCs w:val="9"/>
                <w:color w:val="auto"/>
              </w:rPr>
            </w:pPr>
          </w:p>
        </w:tc>
        <w:tc>
          <w:tcPr>
            <w:tcW w:w="940" w:type="dxa"/>
            <w:vAlign w:val="bottom"/>
          </w:tcPr>
          <w:p>
            <w:pPr>
              <w:jc w:val="right"/>
              <w:ind w:right="38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Retained 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Income/(Loss)</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1, 2017</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482,044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739,610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37,094</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(31,442)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13,025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13,025</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45,572</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13,882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13,882</w:t>
            </w:r>
          </w:p>
        </w:tc>
        <w:tc>
          <w:tcPr>
            <w:tcW w:w="0" w:type="dxa"/>
            <w:vAlign w:val="bottom"/>
          </w:tcPr>
          <w:p>
            <w:pPr>
              <w:spacing w:after="0"/>
              <w:rPr>
                <w:sz w:val="1"/>
                <w:szCs w:val="1"/>
                <w:color w:val="auto"/>
              </w:rPr>
            </w:pPr>
          </w:p>
        </w:tc>
      </w:tr>
      <w:tr>
        <w:trPr>
          <w:trHeight w:val="243"/>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503,955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10,188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(161,719)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17,188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17,188</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of change in accounting standards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55,019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55,019</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282"/>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30,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51,020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536,320</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161,418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(30,380)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667,868</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3,369</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8,645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8,647</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20,454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20,454</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76,526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76,526</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Balance, March 28, 2020</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50,323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553,229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78,512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(45,135)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30,</w:t>
            </w:r>
          </w:p>
        </w:tc>
        <w:tc>
          <w:tcPr>
            <w:tcW w:w="240" w:type="dxa"/>
            <w:vAlign w:val="bottom"/>
          </w:tcPr>
          <w:p>
            <w:pPr>
              <w:spacing w:after="0"/>
              <w:rPr>
                <w:sz w:val="13"/>
                <w:szCs w:val="13"/>
                <w:color w:val="auto"/>
              </w:rPr>
            </w:pPr>
          </w:p>
        </w:tc>
        <w:tc>
          <w:tcPr>
            <w:tcW w:w="12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76,526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55,019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45,572</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89,247</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50,599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2,673</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13,025</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(benefit)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(5,828)</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Unrealized (gain) loss from hedging activities</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4,123</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18,863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5,087</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14,385</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1,436</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17,670</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17,736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41,401</w:t>
            </w:r>
          </w:p>
        </w:tc>
      </w:tr>
      <w:tr>
        <w:trPr>
          <w:trHeight w:val="33"/>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220,350</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(74,799)</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2,758</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Acquisition</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(63,041)</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(266,853)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(61,654)</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short-term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3,246</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37,094</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(131,208)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(50,628)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(120,643)</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3,939</w:t>
            </w:r>
          </w:p>
        </w:tc>
      </w:tr>
      <w:tr>
        <w:trPr>
          <w:trHeight w:val="217"/>
        </w:trPr>
        <w:tc>
          <w:tcPr>
            <w:tcW w:w="66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(32,040)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40,605</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139,564</w:t>
            </w:r>
          </w:p>
        </w:tc>
      </w:tr>
      <w:tr>
        <w:trPr>
          <w:trHeight w:val="28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137,311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169,351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180,169</w:t>
            </w:r>
          </w:p>
        </w:tc>
      </w:tr>
      <w:tr>
        <w:trPr>
          <w:trHeight w:val="22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12,545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13,116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7,663</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9,083</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8,963</w:t>
            </w: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Tenant improvement allowances excluded from capital expenditures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5,660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30" w:right="3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Haemonetics Corporation ("Haemonetics" or the "Company") is a global healthcare company dedicated to providing a suite of innovative hematology products and solutions to customers to help improve patient care and reduce the cost of healthcare. Its technology addresses important medical markets including blood and plasma component collection, the surgical suite, and hospital transfusion services.</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Haemonetics develops and markets a wide range of devices and solutions to serve its customers. The Plasma business unit provides plasma collection devices and disposables and plasma donor management software that enable the collection of plasma used by biopharmaceutical companies to make life saving pharmaceuticals. The Blood Center business unit offers blood collection and processing devices and disposables for red cells, platelets and whole blood as well as related donor management software that make blood donations more efficient and track life giving blood components. The Hospital Business unit, which is comprised of Hemostasis Management, Cell Salvage and Transfusion Management products, includes devices and methodologies for measuring the coagulation of blood that enable healthcare providers to better manage their patients’ bleeding risk, as well as surgical blood salvage systems, specialized blood cell processing systems and disposables and blood transfusion management software that facilitate blood transfusions and cell processing.</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 The Company has assessed its ability to continue as a going concern. As of March 28, 2020, Haemonetics has concluded that substantial doubt about its ability to continue as a going concern does not exist.</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Refer to Note 13, </w:t>
      </w:r>
      <w:r>
        <w:rPr>
          <w:rFonts w:ascii="Arial" w:cs="Arial" w:eastAsia="Arial" w:hAnsi="Arial"/>
          <w:sz w:val="18"/>
          <w:szCs w:val="18"/>
          <w:i w:val="1"/>
          <w:iCs w:val="1"/>
          <w:color w:val="auto"/>
        </w:rPr>
        <w:t>Notes Payable and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for information pertaining to a $150.0 million draw down on the Company's revolving credit facility that was made after the balance sheet date but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prior to the issuance of the financial statements. Additionally, on April 1, 2020, the Company acquired all outstanding shares of enicor GmbH.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Haemonetics' fiscal year ends on the Saturday closest to the last day of March. Fiscal 2020, 2019 and 2018 include 52 weeks with each quarter having 13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its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immaterial reclassifications have been made to prior years' amounts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Revenues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responsible for shipment to the end customer along with any installation, training and acceptance of the equipment by the end customer. Payments from distributors are not contingent upon resale of the product.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and Other Revenues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26" w:right="37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28, 2020, cash and cash equivalents consisted of investments in United States Government Agency and institutional money market funds.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Inventories are stated at the lower of cost or market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4480" w:type="dxa"/>
            <w:vAlign w:val="bottom"/>
            <w:shd w:val="clear" w:color="auto" w:fill="CCEEFF"/>
          </w:tcPr>
          <w:p>
            <w:pPr>
              <w:jc w:val="center"/>
              <w:ind w:left="317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shd w:val="clear" w:color="auto" w:fill="CCEEFF"/>
          </w:tcPr>
          <w:p>
            <w:pPr>
              <w:spacing w:after="0"/>
              <w:rPr>
                <w:sz w:val="16"/>
                <w:szCs w:val="16"/>
                <w:color w:val="auto"/>
              </w:rPr>
            </w:pPr>
          </w:p>
        </w:tc>
        <w:tc>
          <w:tcPr>
            <w:tcW w:w="4480" w:type="dxa"/>
            <w:vAlign w:val="bottom"/>
            <w:tcBorders>
              <w:bottom w:val="single" w:sz="8" w:color="auto"/>
            </w:tcBorders>
            <w:shd w:val="clear" w:color="auto" w:fill="CCEEFF"/>
          </w:tcPr>
          <w:p>
            <w:pPr>
              <w:jc w:val="center"/>
              <w:ind w:left="315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Building</w:t>
            </w:r>
          </w:p>
        </w:tc>
        <w:tc>
          <w:tcPr>
            <w:tcW w:w="4480" w:type="dxa"/>
            <w:vAlign w:val="bottom"/>
          </w:tcPr>
          <w:p>
            <w:pPr>
              <w:jc w:val="center"/>
              <w:ind w:left="3175"/>
              <w:spacing w:after="0"/>
              <w:rPr>
                <w:sz w:val="20"/>
                <w:szCs w:val="20"/>
                <w:color w:val="auto"/>
              </w:rPr>
            </w:pPr>
            <w:r>
              <w:rPr>
                <w:rFonts w:ascii="Arial" w:cs="Arial" w:eastAsia="Arial" w:hAnsi="Arial"/>
                <w:sz w:val="18"/>
                <w:szCs w:val="18"/>
                <w:color w:val="auto"/>
                <w:w w:val="87"/>
              </w:rPr>
              <w:t>30-40 Years</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4480" w:type="dxa"/>
            <w:vAlign w:val="bottom"/>
            <w:tcBorders>
              <w:bottom w:val="single" w:sz="8" w:color="CCEEFF"/>
            </w:tcBorders>
            <w:shd w:val="clear" w:color="auto" w:fill="CCEEFF"/>
          </w:tcPr>
          <w:p>
            <w:pPr>
              <w:jc w:val="center"/>
              <w:ind w:left="3175"/>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Plant equipment and machinery</w:t>
            </w:r>
          </w:p>
        </w:tc>
        <w:tc>
          <w:tcPr>
            <w:tcW w:w="4480" w:type="dxa"/>
            <w:vAlign w:val="bottom"/>
          </w:tcPr>
          <w:p>
            <w:pPr>
              <w:jc w:val="center"/>
              <w:ind w:left="3175"/>
              <w:spacing w:after="0"/>
              <w:rPr>
                <w:sz w:val="20"/>
                <w:szCs w:val="20"/>
                <w:color w:val="auto"/>
              </w:rPr>
            </w:pPr>
            <w:r>
              <w:rPr>
                <w:rFonts w:ascii="Arial" w:cs="Arial" w:eastAsia="Arial" w:hAnsi="Arial"/>
                <w:sz w:val="18"/>
                <w:szCs w:val="18"/>
                <w:color w:val="auto"/>
                <w:w w:val="88"/>
              </w:rPr>
              <w:t>3-15 Years</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480" w:type="dxa"/>
            <w:vAlign w:val="bottom"/>
            <w:tcBorders>
              <w:bottom w:val="single" w:sz="8" w:color="CCEEFF"/>
            </w:tcBorders>
            <w:shd w:val="clear" w:color="auto" w:fill="CCEEFF"/>
          </w:tcPr>
          <w:p>
            <w:pPr>
              <w:jc w:val="center"/>
              <w:ind w:left="3175"/>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Haemonetics equipment</w:t>
            </w:r>
          </w:p>
        </w:tc>
        <w:tc>
          <w:tcPr>
            <w:tcW w:w="4480" w:type="dxa"/>
            <w:vAlign w:val="bottom"/>
          </w:tcPr>
          <w:p>
            <w:pPr>
              <w:jc w:val="center"/>
              <w:ind w:left="3155"/>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with these devices, from which it generate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February 2016, the FASB issued ASC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In July 2018, the FASB issued an update to the leasing guidance to allow an additional transition option which would allow companies to adopt the standard as of the beginning of the year of adoption as opposed to the earliest comparative period presented. The Company adopted the new standard on March 31, 2019.</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Upon transition, the Company applied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 The Company also elected to account for each lease component and the associated non-lease components as a single lease component and also elected not to recognize a lease liability or right-of-use asset for any lease that, at commencement date, has a lease term of 12 months or less and does not include an option to purchase the underlying asset that the Company is reasonably certain to exercise.</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result of adopting ASC Update No. 2016-02, the Company recognized additional right-of-use assets of $22.9 million and corresponding liabilities of $22.7 million for its existing lease portfolio on the condensed consolidated balance sheets, with no material impact to the condensed consolidated statements of operations or condensed consolidated statements of cash flows. Additionally, the Company implemented a new lease administration and lease accounting system and has updated controls and procedures for maintaining and accounting for its lease portfolio under the new standard.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Under ASC Update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reviews the operating results of that component. The Company aggregates components within an operating segment that have similar economic characteristics. Haemonetics' reporting units for purposes of assessing goodwill impairment were historically based primarily on geography. Effective as of March 31, 2019, the Company completed the transition of its operating structure to three global business units and accordingly has reorganized its reporting structure to align with its three global business units and the information that will be regularly reviewed by the Company's chief operating decision maker. Following the reorganization, the Company's reportable segments are as follows: Plasma, Blood Center, and Hospital.</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allocating goodwill from business combinations to its reporting units, the Company assigns goodwill to the reporting units that it expects to benefit from the respective business combination at the time of acquisition. In addition, for purposes of performing its goodwill impairment tests, assets and liabilities, including corporate assets, which relate to a reporting unit’s operations and would be considered in determining its fair value, are allocated to the individual reporting units. The Company allocates assets and liabilities not directly related to a specific reporting unit, but from which the reporting unit benefits, based primarily on the respective revenue contribution of each reporting unit.</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corroborated the valuations that arose from the discounted cash flow approach by performing both a market multiple valuation and by reconciling the aggregate fair value of its reporting units to its market capitalization at the time of the test.</w:t>
      </w:r>
    </w:p>
    <w:p>
      <w:pPr>
        <w:spacing w:after="0" w:line="16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fourth quarter of fiscal 2020, 2019 and 2018, the Company performed its annual goodwill impairment test under the guidelines of ASC Update No. 2017-04. The results of the goodwill impairment test performed indicated that the estimated fair value of all of its reporting units exceeded their respective carrying values. There were no reporting units at risk of impairment as of the fiscal 2020, 2019 and 2018 annual test date.</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reviews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188"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the Company determines the estimate of an intangible asset's remaining useful life should be reduced based on its expected use of the asset, the remaining carrying amount of the asset is amortized prospectively over the revised estimated useful life. During fiscal 2020, 2019 and 2018 the Company did not incur any intangible asset impairments.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reviews the net realizable value of capitalized assets periodically to assess the recoverability of amounts capitalized. There were no impairment charges recorded during fiscal 2020, 2019 and 2018. In the future, the net realizable value may be adversely affected by the loss of a significant customer or a significant change in the market place, which could result in an impairment being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current liabilities represent items payable or expected to settle within the next twelve months. The items included in the fiscal year end balances were: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Forward contracts and interest rate swaps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5,348</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8,451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46,459</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97,641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91,532</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Transition tax liability</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6,305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5,814</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89,104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28,780</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$4.3 million, $4.5 million and $3.1 million in fiscal 2020,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information and discussion of the Company's income tax provision and balances.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The Company accounts for its derivative financial instruments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and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w:t>
      </w:r>
    </w:p>
    <w:p>
      <w:pPr>
        <w:spacing w:after="0" w:line="2" w:lineRule="exact"/>
        <w:rPr>
          <w:sz w:val="20"/>
          <w:szCs w:val="20"/>
          <w:color w:val="auto"/>
        </w:rPr>
      </w:pPr>
    </w:p>
    <w:p>
      <w:pPr>
        <w:ind w:right="80" w:firstLine="8"/>
        <w:spacing w:after="0" w:line="253"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19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monetary assets or liabilities that are denominated in foreign currencies. The Company recorded foreign currency losses of $2.9 million, $2.3 million and $0.2 million in fiscal 2020, 2019 and 2018, respectively.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Exit Activities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records employee termination costs in accordance with ASC Topic 712</w:t>
      </w:r>
      <w:r>
        <w:rPr>
          <w:rFonts w:ascii="Arial" w:cs="Arial" w:eastAsia="Arial" w:hAnsi="Arial"/>
          <w:sz w:val="17"/>
          <w:szCs w:val="17"/>
          <w:i w:val="1"/>
          <w:iCs w:val="1"/>
          <w:color w:val="auto"/>
        </w:rPr>
        <w:t>, Compensation - Nonretirement and Postemployment Benefits</w:t>
      </w:r>
      <w:r>
        <w:rPr>
          <w:rFonts w:ascii="Arial" w:cs="Arial" w:eastAsia="Arial" w:hAnsi="Arial"/>
          <w:sz w:val="17"/>
          <w:szCs w:val="17"/>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Arial" w:cs="Arial" w:eastAsia="Arial" w:hAnsi="Arial"/>
          <w:sz w:val="17"/>
          <w:szCs w:val="17"/>
          <w:i w:val="1"/>
          <w:iCs w:val="1"/>
          <w:color w:val="auto"/>
        </w:rPr>
        <w:t>, Exit</w:t>
      </w:r>
      <w:r>
        <w:rPr>
          <w:rFonts w:ascii="Arial" w:cs="Arial" w:eastAsia="Arial" w:hAnsi="Arial"/>
          <w:sz w:val="17"/>
          <w:szCs w:val="17"/>
          <w:color w:val="auto"/>
        </w:rPr>
        <w:t xml:space="preserve"> </w:t>
      </w:r>
      <w:r>
        <w:rPr>
          <w:rFonts w:ascii="Arial" w:cs="Arial" w:eastAsia="Arial" w:hAnsi="Arial"/>
          <w:sz w:val="17"/>
          <w:szCs w:val="17"/>
          <w:i w:val="1"/>
          <w:iCs w:val="1"/>
          <w:color w:val="auto"/>
        </w:rPr>
        <w:t>or Disposal Cost Obligation</w:t>
      </w:r>
      <w:r>
        <w:rPr>
          <w:rFonts w:ascii="Arial" w:cs="Arial" w:eastAsia="Arial" w:hAnsi="Arial"/>
          <w:sz w:val="17"/>
          <w:szCs w:val="17"/>
          <w:color w:val="auto"/>
        </w:rPr>
        <w:t>s. It records such costs into expense over the employee’s future service period, if any.</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Arial" w:cs="Arial" w:eastAsia="Arial" w:hAnsi="Arial"/>
          <w:sz w:val="17"/>
          <w:szCs w:val="17"/>
          <w:i w:val="1"/>
          <w:iCs w:val="1"/>
          <w:color w:val="auto"/>
        </w:rPr>
        <w:t>, 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Equipment </w:t>
      </w:r>
      <w:r>
        <w:rPr>
          <w:rFonts w:ascii="Arial" w:cs="Arial" w:eastAsia="Arial" w:hAnsi="Arial"/>
          <w:sz w:val="17"/>
          <w:szCs w:val="17"/>
          <w:color w:val="auto"/>
        </w:rPr>
        <w:t>and are included primarily in selling, general and administrative costs in its consolidated statement of income. Additionally, costs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See Note 3, </w:t>
      </w: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for further information and discussion of its restructuring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historical information and market assumptions based upon the assumptions of a market participant. The Company allocates any excess purchase price over the fair value of the net tangible and intangible assets acquired to 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2020, 2019 and 2018, the Company's ten largest customers accounted for approximately 54%, 52% and 45% of net revenues, respectively. In fiscal 2020, 2019 and 2018, two Plasma customers, CSL Plasma Inc. ("CSL") and Grifols S.A. ("Grifols"), each were greater than 10% of total net revenue and in total accounted for approximately 27%, 27% and 26% of net revenues, respectively. Additionally, one customer accounted for greater than 10% of the Blood Center segment’s net revenues in fiscal 2020, 2019 and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other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In March 2017, the FASB issued ASC Update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The guidance revises the presentation of net periodic pension cost and net periodic post-retirement benefit cost. The Company adopted ASC Update No. 2017-07 during the first quarter of fiscal 2020. The adoption of ASC Update No. 2017-07 did not have a material impact on the Company's condensed consolidated financial statements.</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June 2018, the FASB issued ASC Update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new guidance aligns the accounting for non-employee share-based payments with the existing employee share-based transactions guidance. The Company adopted ASC Update No. 2018-07 during the first quarter of fiscal 2020. The adoption of ASC Update No. 2018-07 did not have a material impact on the Company's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fiscal 2020, the Company incurred $11.9 million of restructuring and turnaround costs under this program.</w:t>
      </w:r>
    </w:p>
    <w:p>
      <w:pPr>
        <w:spacing w:after="0" w:line="19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During fiscal 2020, 2019 and 2018 the Company incurred $7.9 million, $13.7 million and $36.6 million of restructuring and turnaround costs under this program, respectively. Total cumulative charges under this program are $58.2 million as of March 28, 2020. The 2018 Program is substantially complete.</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fiscal 2017, the Company launched a restructuring program (the "2017 Program") designed to reposition its organization and improve its cost structure. The Company did not incur any charges under this program during fiscal 2020 and 2019. During fiscal 2018, the Company incurred $7.2 million of restructuring and turnaround charges under this program, respectively. The 2017 Program is substantially complete.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126" w:right="39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summarizes the activity for restructuring reserves related to the 2020 Program and the 2018 and Prior Programs for the fiscal years ended March 28, 2020, March 30, 2019 and March 31, 2018, substantially all of which relates to employee severance and other employee costs: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2020 Program</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2018 and Prior</w:t>
            </w:r>
          </w:p>
        </w:tc>
        <w:tc>
          <w:tcPr>
            <w:tcW w:w="340" w:type="dxa"/>
            <w:vAlign w:val="bottom"/>
          </w:tcPr>
          <w:p>
            <w:pPr>
              <w:spacing w:after="0"/>
              <w:rPr>
                <w:sz w:val="14"/>
                <w:szCs w:val="14"/>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presents the restructuring costs by line item during fiscal 2020, 2019 and 2018 within our accompanying consolidated statements of income and comprehensive income: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4,671</w:t>
            </w:r>
          </w:p>
        </w:tc>
      </w:tr>
      <w:tr>
        <w:trPr>
          <w:trHeight w:val="27"/>
        </w:trPr>
        <w:tc>
          <w:tcPr>
            <w:tcW w:w="6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1,977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25,857</w:t>
            </w:r>
          </w:p>
        </w:tc>
      </w:tr>
      <w:tr>
        <w:trPr>
          <w:trHeight w:val="257"/>
        </w:trPr>
        <w:tc>
          <w:tcPr>
            <w:tcW w:w="658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3,591</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30,529</w:t>
            </w:r>
          </w:p>
        </w:tc>
      </w:tr>
      <w:tr>
        <w:trPr>
          <w:trHeight w:val="20"/>
        </w:trPr>
        <w:tc>
          <w:tcPr>
            <w:tcW w:w="6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28, 2020, the Company had a restructuring liability of $2.6 million, of which approximately $2.2 million is payable within the next twelve months.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In addition to the restructuring expenses included in the table above, the Company also incurred costs of $16.3 million, $13.2 million and $13.6 million in fiscal 2020, 2019 and 2018, respectively, that do not constitute restructuring costs under ASC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and which the Company instead refers to as turnaround costs. These costs consist primarily of expenditures directly related to the restructuring actions and include program management costs associated with the implementation of outsourcing initiatives and recent accounting standards.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the turnaround costs by line item during fiscal 2020, 2019 and 2018 within our accompanying consolidated statements of income and comprehensive income: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12,876</w:t>
            </w: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13,228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20" w:type="dxa"/>
            <w:vAlign w:val="bottom"/>
            <w:vMerge w:val="restart"/>
          </w:tcPr>
          <w:p>
            <w:pPr>
              <w:jc w:val="right"/>
              <w:ind w:right="81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3,649</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19,189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30,529</w:t>
            </w:r>
          </w:p>
        </w:tc>
      </w:tr>
      <w:tr>
        <w:trPr>
          <w:trHeight w:val="575"/>
        </w:trPr>
        <w:tc>
          <w:tcPr>
            <w:tcW w:w="660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6"/>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49"/>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12,618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13,596</w:t>
            </w:r>
          </w:p>
        </w:tc>
      </w:tr>
      <w:tr>
        <w:trPr>
          <w:trHeight w:val="318"/>
        </w:trPr>
        <w:tc>
          <w:tcPr>
            <w:tcW w:w="66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r>
      <w:tr>
        <w:trPr>
          <w:trHeight w:val="257"/>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19,878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13,623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44,125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jc w:val="both"/>
        <w:ind w:right="480"/>
        <w:spacing w:after="0" w:line="238" w:lineRule="auto"/>
        <w:rPr>
          <w:sz w:val="20"/>
          <w:szCs w:val="20"/>
          <w:color w:val="auto"/>
        </w:rPr>
      </w:pPr>
      <w:r>
        <w:rPr>
          <w:rFonts w:ascii="Arial" w:cs="Arial" w:eastAsia="Arial" w:hAnsi="Arial"/>
          <w:sz w:val="17"/>
          <w:szCs w:val="17"/>
          <w:color w:val="auto"/>
        </w:rPr>
        <w:t>On April 1, 2020, the Company acquired all of the outstanding equity of enicor GmbH, the manufacturer of ClotPro</w:t>
      </w:r>
      <w:r>
        <w:rPr>
          <w:rFonts w:ascii="Arial" w:cs="Arial" w:eastAsia="Arial" w:hAnsi="Arial"/>
          <w:sz w:val="24"/>
          <w:szCs w:val="24"/>
          <w:color w:val="auto"/>
          <w:vertAlign w:val="superscript"/>
        </w:rPr>
        <w:t>®</w:t>
      </w:r>
      <w:r>
        <w:rPr>
          <w:rFonts w:ascii="Arial" w:cs="Arial" w:eastAsia="Arial" w:hAnsi="Arial"/>
          <w:sz w:val="17"/>
          <w:szCs w:val="17"/>
          <w:color w:val="auto"/>
        </w:rPr>
        <w:t>, a new generation whole blood coagulation testing system. The acquisition of this innovative viscoelastic diagnostic device further augments the Company's portfolio of hemostasis analyzers within the Hospital business unit. The purchase accounting for this acquisition will be completed in fiscal 2021.</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January 13, 2020, the Company purchased the technology underlying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Hemostasis Analyzer System from Cora Healthcare, Inc. and CoraMed Technologies, LLC (the "Cora Parties") for $35.0 million. In connection with this transaction, which did not meet the definition of a business, the Company acquired ownership of intellectual property previously licensed from the Cora Parties on an exclusive basis in the field of hospitals and hospital laboratories. This acquisition will allow the Company to pursue site of care opportunities beyond the hospital setting. The intangible asset acquired as a result of this transaction was recorded in the Company's Hospital business unit.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w:t>
      </w:r>
    </w:p>
    <w:p>
      <w:pPr>
        <w:spacing w:after="0" w:line="22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On May 21, 2019, the Company transferred to CSL Plasma Inc. (“CSL”) substantially all of its tangible assets held relating to the manufacture of anti-coagulant and saline (together, “Liquids”) at its Union, South Carolina facility (“Union”), which consist primarily of property, plant and equipment and inventory, and CSL assumed certain related liabilities (the “Asset Transfer”) pursuant to the terms of a settlement, release and asset transfer agreement between the parties dated May 13, 2019. The Asset Transfer excludes all other assets related to Union, including accounts receivable, customer contracts and the Company's U.S. Food and Drug Administration (“FDA”) product approvals for manufacturing Liquids.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 CSL to manufacture Liquids under the Company's FDA product approvals, exclusively for Haemonetics and CSL, until CSL obtains independent product approvals from the FDA to manufacture the Liquids.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Company's and CSL's entry into the May 13, 2019 agreement for the Asset Transfer, the Company recognized a pre-tax impairment charge of $48.7 million in the first quarter of fiscal 2020, primarily related to the carrying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26" w:right="37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balances of the property, plant and equipment exceeding the consideration received under the terms of the Agreement. The charge will not result in any future cash expenditures. Goodwill associated with the disposal was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income before provision for income tax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81,808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56,098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87,152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73,633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59,632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w w:val="94"/>
              </w:rPr>
              <w:t>The income tax provision from continuing operations contains the following components: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12,467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14,060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Beginning in fiscal 2019, the Company incorporated certain provisions of the Tax Cuts and Jobs Act (the "Act")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For fiscal 2020, the GILTI provisions have the most significant impact to the Company. Under the new law, U.S. taxes are imposed on foreign income in excess of a deemed return on tangible assets of its foreign subsidiaries. The ability to benefit from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16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Interpretive guidance on the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The Company has made the accounting policy election to recognize GILTI as a period expense.</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are not expected to have a significant impact on the Company’s financial results.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subsidiary in Puerto Rico has been granted a fifteen-year tax grant that expires in calendar 2027. Its qualification for the tax grant is dependent on the continuation of its manufacturing activities in Puerto Rico. The Company benefits from a reduced tax rate on its earnings in Puerto Rico under the tax grant.</w:t>
      </w:r>
    </w:p>
    <w:p>
      <w:pPr>
        <w:sectPr>
          <w:pgSz w:w="11900" w:h="16838" w:orient="portrait"/>
          <w:cols w:equalWidth="0" w:num="1">
            <w:col w:w="11240"/>
          </w:cols>
          <w:pgMar w:left="320" w:top="126"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6" w:right="3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2,277</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3,541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reserves and other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4,931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Capitalized research expenses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(11,322)</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goodwill and intangibles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(13,959)</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Unremitted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deferred tax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(39,771)</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(15,547)</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valuation allowance increased by $3.3 million during fiscal 2020, primarily as a result of net operating losses and tax credits generated in jurisdictions in which the Company has concluded that its deferred tax assets are not more-likely-than-not realizable.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future taxable income can be considered a source of income to realize a benefit for deferred tax assets in certain jurisdictions. In addition, the Company has concluded that it cannot rely on future taxable income in certain risk bearing principal jurisdictions due uncertainty surrounding future taxable income (including as a result of the effects of Covid-19). The Company believes it is able to support the deferred tax assets recognized as of the end of the year based on all of the available evidence. The worldwide net deferred tax liability as of March 28, 2020 includes deferred tax liabilities related to amortizable tax basis in goodwill, which are indefinite lived and can only be used as a source of income to benefit other indefinite lived assets.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28, 2020, the Company maintains a valuation allowance against certain U.S. deferred tax assets that are not more-likely-than-not realizable and maintains a full valuation allowance against the net deferred tax assets of certain foreign subsidiaries.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March 28, 2020, the Company has no U.S. federal net operating loss carryforwards. The Company has U.S. state net operating losses of $35.6 million of which $30.3 million will begin to expire in fiscal 2021 and $5.3 million can be carried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forward indefinitely. The Company has federal and state tax research credits of $1.3 million and $4.9 million, respectively, which will begin to expire in fiscal 2039 and fiscal 2025, respectively.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April 2, 2011 through December 31, 2017. The study concluded that there were no limitations on the Company’s net operating losses and tax credit carryforwards as of December 31, 2017. The Company does not believe it has had an ownership change through March 28, 2020. Subsequent ownership changes may further affect the limitation in future years.</w:t>
      </w:r>
    </w:p>
    <w:p>
      <w:pPr>
        <w:spacing w:after="0" w:line="1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28, 2020, the Company has foreign net operating losses of approximately $14.6 million that are available to reduce future income of which $5.5 million will begin to expire in fiscal 2034 and $9.1 million can be carried forward indefinitely.</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March 28, 2020, substantially all of the unremitted earnings of the Company have been taxed in the U.S. The Company has provided $0.4 million of net foreign withholding taxes on approximately $178.3 million of unremitted earnings that are not indefinitely reinvested. The Company has not provided U.S. deferred income taxes or foreign withholding taxes on unremitted earnings of foreign subsidiaries of approximately $242.0 million as such amounts are considered to be indefinitely reinvested in the business. The accumulated earnings in the foreign subsidiaries are primarily utilized to fund working capital requirements as its subsidiaries continue to expand their operations, to service existing debt obligations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provision from continuing operations differs from tax provision computed at the U.S. federal statutory income tax rate due to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Difference between U.S. and foreign tax</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intangible low taxed income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Unremitted earnings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statutory rate changes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Non-deductible executive compensation</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other</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 compensation benefits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One-time transition tax from tax reform</w:t>
            </w:r>
          </w:p>
        </w:tc>
        <w:tc>
          <w:tcPr>
            <w:tcW w:w="260" w:type="dxa"/>
            <w:vAlign w:val="bottom"/>
          </w:tcPr>
          <w:p>
            <w:pPr>
              <w:spacing w:after="0"/>
              <w:rPr>
                <w:sz w:val="21"/>
                <w:szCs w:val="21"/>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25,798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43.3 %</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provision (benefit)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23.6 %</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recorded an income tax provision of $10.6 million, representing an effective tax rate of 12.2%. The effective tax rate is lower than the U.S. statutory rate of 21.0% primarily as a result of the impact of tax benefits of stock compensation windfall deductions; research credits generated and jurisdictional mix of earnings, partially offset by the impact of GILTI, non-deductible executive compensation, tax reserves and changes in valuation allowance. The Company has recorded an immaterial tax expense related to unremitted foreign earnings that are not considered permanently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28, 2020, the Company had $4.6 million of unrecognized tax benefits, of which $4.0 million would impact the effective tax rate, if recognized. As of March 30, 2019, the Company had $4.7 million of unrecognized tax benefits, of which $3.9 million would impact the effective tax rate, if recognized. At March 31, 2018, the Company had $4.5 million of unrecognized tax benefits, of which $3.8 million would impact the effective tax rate, if recognized.</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During the fiscal year ended March 28, 2020, the Company's unrecognized tax benefits were decreased by an immaterial amount, primarily relating to uncertain tax positions established against foreign tax provisions and various federal and state tax credits offset by the settlement of prior exposures.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its gross unrecognized tax benefits for the fiscal years ended March 28, 2020, March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Additions for tax positions of current year</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289</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4,620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4,450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March 28, 2020, the Company anticipates that the liability for unrecognized tax benefits for uncertain tax positions could change by up to $1.4 million in the next twelve months, as a result of closure of various statutes of limitations and potential settlements with tax authorities.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historical practice has been and continues to be to recognize interest and penalties related to federal, state and foreign income tax matters in income tax expense. Approximately $0.4 million, $0.2 million, and $0.2 million of gross interest and penalties were accrued at March 28, 2020, March 30, 2019, and March 31, 2018, respectively, and are not included in the amounts above. Additionally, $0.3 million of accrued interest and penalties was included in income tax expense for the year ended March 28, 2020. Such amounts were immaterial during the fiscal years ended March 30, 2019 and March 31, 2018.</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2016 and foreign income tax examinations for years before fiscal 2015.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76,526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45,572</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52,755</w:t>
            </w: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income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0.86</w:t>
            </w: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76,526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45,572</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746</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53,501</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Diluted income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0.85</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For fiscal 2020, 2019 and 2018, weighted average shares outstanding, assuming dilution, excludes the impact of 0.2 million, 0.2 million and 0.4 million anti-dilutive shares,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next two years. In July 2019, the Company completed a $75.0 million repurchase of its common stock pursuant to an accelerated share repurchase agreement ("ASR") entered into with Citibank N.A. ("Citibank") in June 2019. The total number of shares repurchased under the ASR was 0.6 million at an average price per share upon final settlement of $116.33. In October 2019, the Company completed a $50.0 million repurchase of its common stock pursuant to an ASR entered into with Morgan Stanley &amp; Co. LLC ("Morgan Stanley") in September 2019. The total number of shares repurchased under the ASR was 0.4 million at an average price per share upon final settlement of $124.37. In January 2020, the Company completed an additional $50.0 million repurchase of its common stock pursuant to an ASR entered into with Bank of America, N.A. ("Bank of America") in December 2019. The total number of shares repurchased under the ASR was 0.4 million at an average price per share upon final settlement of $114.73. As of March 28, 2020, the total remaining authorization for repurchases of the Company's common stock under the share repurchase program was $325.0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6"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As of March 28, 2020, the Company had $22.8 million of transaction price allocated to remaining performance obligations related to executed contracts with an original duration of one year or more. The Company expects to recognize approximately 60% of this amount as revenue within the next twelve months and the remaining balance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March 28, 2020 and March 30, 2019, the Company had contract assets of $5.0 million and $5.6 million, respectively. The change is primarily due to the delay in billings compared to the revenue recognized. Contract assets are classified as other current assets and other long-term assets on the consolidated balance sheet.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March 28, 2020 and March 30, 2019, the Company had contract liabilities of $20.8 million and $20.3 million, respectively. During fiscal 2020, the Company recognized $17.7 million of revenue that was included in the above March 30, 2019 contract liability balance. Contract liabilities are classified as other current liabilities and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net realizable value and include the cost of material, labor and manufacturing overhead. Cost is determined with the first-in, first-out method.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28,</w:t>
            </w:r>
          </w:p>
        </w:tc>
        <w:tc>
          <w:tcPr>
            <w:tcW w:w="180" w:type="dxa"/>
            <w:vAlign w:val="bottom"/>
          </w:tcPr>
          <w:p>
            <w:pPr>
              <w:spacing w:after="0"/>
              <w:rPr>
                <w:sz w:val="14"/>
                <w:szCs w:val="14"/>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182,388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112,307</w:t>
            </w:r>
          </w:p>
        </w:tc>
        <w:tc>
          <w:tcPr>
            <w:tcW w:w="0" w:type="dxa"/>
            <w:vAlign w:val="bottom"/>
          </w:tcPr>
          <w:p>
            <w:pPr>
              <w:spacing w:after="0"/>
              <w:rPr>
                <w:sz w:val="1"/>
                <w:szCs w:val="1"/>
                <w:color w:val="auto"/>
              </w:rPr>
            </w:pP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270,276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194,337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PROPERTY, PLANT AND EQUIPMENT</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28, 2020</w:t>
            </w:r>
          </w:p>
        </w:tc>
        <w:tc>
          <w:tcPr>
            <w:tcW w:w="180" w:type="dxa"/>
            <w:vAlign w:val="bottom"/>
          </w:tcPr>
          <w:p>
            <w:pPr>
              <w:spacing w:after="0"/>
              <w:rPr>
                <w:sz w:val="24"/>
                <w:szCs w:val="24"/>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March 30, 2019</w:t>
            </w:r>
          </w:p>
        </w:tc>
        <w:tc>
          <w:tcPr>
            <w:tcW w:w="0" w:type="dxa"/>
            <w:vAlign w:val="bottom"/>
          </w:tcPr>
          <w:p>
            <w:pPr>
              <w:spacing w:after="0"/>
              <w:rPr>
                <w:sz w:val="1"/>
                <w:szCs w:val="1"/>
                <w:color w:val="auto"/>
              </w:rPr>
            </w:pPr>
          </w:p>
        </w:tc>
      </w:tr>
      <w:tr>
        <w:trPr>
          <w:trHeight w:val="250"/>
        </w:trPr>
        <w:tc>
          <w:tcPr>
            <w:tcW w:w="81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Land</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101,296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118,821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301,297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113,600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132,783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372,984</w:t>
            </w:r>
          </w:p>
        </w:tc>
        <w:tc>
          <w:tcPr>
            <w:tcW w:w="0" w:type="dxa"/>
            <w:vAlign w:val="bottom"/>
          </w:tcPr>
          <w:p>
            <w:pPr>
              <w:spacing w:after="0"/>
              <w:rPr>
                <w:sz w:val="1"/>
                <w:szCs w:val="1"/>
                <w:color w:val="auto"/>
              </w:rPr>
            </w:pPr>
          </w:p>
        </w:tc>
      </w:tr>
      <w:tr>
        <w:trPr>
          <w:trHeight w:val="237"/>
        </w:trPr>
        <w:tc>
          <w:tcPr>
            <w:tcW w:w="82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832,434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933,222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(589,243)</w:t>
            </w:r>
          </w:p>
        </w:tc>
        <w:tc>
          <w:tcPr>
            <w:tcW w:w="0" w:type="dxa"/>
            <w:vAlign w:val="bottom"/>
          </w:tcPr>
          <w:p>
            <w:pPr>
              <w:spacing w:after="0"/>
              <w:rPr>
                <w:sz w:val="1"/>
                <w:szCs w:val="1"/>
                <w:color w:val="auto"/>
              </w:rPr>
            </w:pP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253,399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343,979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Depreciation expense was $76.6 million, $76.8 million and $57.7 million in fiscal 2020, 2019 and 2018, respectively. There was $0.5 million of asset impairments included in depreciation expense during fiscal 2020 and no asset impairments included in depreciation expense during fiscal 2019. Fiscal 2018 included $0.3 million of additional depreciation expense due to asset impairments.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2018, the Company entered into a lease for office space in Boston, MA to serve as its new corporate headquarters and replace its prior corporate headquarters located in Braintree, MA. As a result of this lease agreement, the Company received a lease incentive in the form of property, plant and equipment totaling $5.6 million which was recorded upon commencement of the lease term in October 2019. Refer to Note 12</w:t>
      </w:r>
      <w:r>
        <w:rPr>
          <w:rFonts w:ascii="Arial" w:cs="Arial" w:eastAsia="Arial" w:hAnsi="Arial"/>
          <w:sz w:val="18"/>
          <w:szCs w:val="18"/>
          <w:i w:val="1"/>
          <w:iCs w:val="1"/>
          <w:color w:val="auto"/>
        </w:rPr>
        <w:t>, Leases</w:t>
      </w:r>
      <w:r>
        <w:rPr>
          <w:rFonts w:ascii="Arial" w:cs="Arial" w:eastAsia="Arial" w:hAnsi="Arial"/>
          <w:sz w:val="18"/>
          <w:szCs w:val="18"/>
          <w:color w:val="auto"/>
        </w:rPr>
        <w:t>, for additional information regarding this lease.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26" w:right="3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2020, the Company sold $7.8 million of real estate and other assets associated with the Braintree corporate headquarters and entered into a lease with the buyer that allowed the Company to leaseback the facility on a rent-free basis through December 31, 2019 until the completion of its relocation to Boston, MA, which occurred during the third quarter of fiscal 2020. As a result of this transaction, the Company received net cash proceeds of $15.0 million and non-cash consideration of $0.9 million related to a free rent period ending in December 2019. The transaction resulted in a net gain of $8.1 million.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During the first quarter of fiscal 2020, the Company recognized a pre-tax impairment charge of $48.7 million relating to the Asset Transfer between the Company and CSL on May 13, 2019. This impairment is related to the carrying balances of the property, plant and equipment exceeding the consideration received under the terms of the Agreement. The charge will not result in any future cash expenditures. For additional information regarding the transaction, refer to Note 5 - </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During fiscal 2020, the Company impaired an additional $1.9 million of property, plant and equipment as a result of the Company's corporate headquarter move and a review of underperforming assets, resulting in total impairment charges of $50.6 million during fiscal 2020. Substantially all of these impairments were included within selling, general and administrative costs on the consolidated statements of income and primarily impacted the Plasma reporting segment. During fiscal 2019 and 2018, the Company impaired $21.2 million and $2.2 million of property, plant and equipment, respectively.</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fiscal 2019, the Company recorded impairment charges of $21.2 million, which consisted of $19.8 million of charges related to the discontinued use of the HDC filter media manufacturing line and $1.4 million of charges related to non-core and underperforming assets. These impairments were included within cost of goods sold on the condensed consolidated statements of income and impacted the Blood Center reporting segment.</w:t>
      </w:r>
    </w:p>
    <w:p>
      <w:pPr>
        <w:spacing w:after="0" w:line="149" w:lineRule="exact"/>
        <w:rPr>
          <w:sz w:val="20"/>
          <w:szCs w:val="20"/>
          <w:color w:val="auto"/>
        </w:rPr>
      </w:pPr>
    </w:p>
    <w:p>
      <w:pPr>
        <w:ind w:right="500"/>
        <w:spacing w:after="0" w:line="223" w:lineRule="auto"/>
        <w:rPr>
          <w:sz w:val="20"/>
          <w:szCs w:val="20"/>
          <w:color w:val="auto"/>
        </w:rPr>
      </w:pPr>
      <w:r>
        <w:rPr>
          <w:rFonts w:ascii="Arial" w:cs="Arial" w:eastAsia="Arial" w:hAnsi="Arial"/>
          <w:sz w:val="18"/>
          <w:szCs w:val="18"/>
          <w:color w:val="auto"/>
        </w:rPr>
        <w:t>Additionally, in the second quarter of fiscal 2019, the Company changed the estimated useful lives of PCS</w:t>
      </w:r>
      <w:r>
        <w:rPr>
          <w:rFonts w:ascii="Arial" w:cs="Arial" w:eastAsia="Arial" w:hAnsi="Arial"/>
          <w:sz w:val="21"/>
          <w:szCs w:val="21"/>
          <w:color w:val="auto"/>
          <w:vertAlign w:val="superscript"/>
        </w:rPr>
        <w:t>®</w:t>
      </w:r>
      <w:r>
        <w:rPr>
          <w:rFonts w:ascii="Arial" w:cs="Arial" w:eastAsia="Arial" w:hAnsi="Arial"/>
          <w:sz w:val="18"/>
          <w:szCs w:val="18"/>
          <w:color w:val="auto"/>
        </w:rPr>
        <w:t>2 devices included within Haemonetics Equipment, as these will be replaced by NexSys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During fiscal 2020 and 2019, the Company incurred $18.1 million and $18.0 million, respectively, of accelerated depreciation expense related to this change in estimate. As of March 28, 2020, the majority of PCS2 devices are fully depreciated.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Effective as of March 31, 2019, the Company revised the composition of its reportable segments to align with its three global business units, Plasma, Blood Center and Hospital. Refer to Note 18,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for additional information regarding the change in the Company's reportable segments</w:t>
      </w:r>
      <w:r>
        <w:rPr>
          <w:rFonts w:ascii="Arial" w:cs="Arial" w:eastAsia="Arial" w:hAnsi="Arial"/>
          <w:sz w:val="18"/>
          <w:szCs w:val="18"/>
          <w:i w:val="1"/>
          <w:iCs w:val="1"/>
          <w:color w:val="auto"/>
        </w:rPr>
        <w:t>.</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reporting unit is defined as an operating segment or one level below an operating segment, referred to as a component. The Company aggregates components within an operating segment that have similar economic characteristics. Consistent with its reportable segments, reporting units for purposes of assessing goodwill impairment have also been reorganized based on business unit and include: Plasma, Blood Center and Hospital.</w:t>
      </w:r>
    </w:p>
    <w:p>
      <w:pPr>
        <w:spacing w:after="0" w:line="16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determine the amount of goodwill within each of the new reporting units, the Company reallocated, on a relative fair value basis, $84.0 million of goodwill previously allocated to the former Europe, APAC and Japan reporting units to the new global reporting units. In addition, the $126.8 million of goodwill previously allocated to the former North America reporting units was reallocated to each new respective global reporting unit.</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represents the Company's goodwill balance by new global reportable segment for fiscal 2020 and 2019. The prior period information has been restated to conform to the current presentation: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Plasma</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Blood Center</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Hospital</w:t>
            </w: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31, 2018</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211,395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30, 2019</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210,819</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March 28, 2020</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28,979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36,632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145,041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210,652</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1"/>
        </w:trPr>
        <w:tc>
          <w:tcPr>
            <w:tcW w:w="55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68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results of the Company's goodwill impairment test performed in the fourth quarter of fiscal 2020, 2019 and 2018 indicated that the estimated fair value of all reporting units exceeded their respective carrying values. There were no reporting units at risk of impairment as of the fiscal 2020, 2019 and 2018 annual test 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of intangible assets and the related accumulated amortization as of March 28, 2020 and March 30, 2019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28, 2020</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9,878</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76,740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43,022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33,718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193,797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158,890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34,907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423,839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296,942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126,897</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23"/>
                <w:szCs w:val="23"/>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30, 2019</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66,631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34,737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194,793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142,747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52,046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379,549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263,479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116,070</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include the value assigned to license rights and other developed technology, patents, customer contracts and relationships and trade names. The estimated useful lives for all of these intangible assets are approximately 5 to 15 years. The changes to the net carrying value of the Company's intangible assets from March 30, 2019 to March 28, 2020 reflect the impact of amortization expense, partially offset by the investment in capitalized software.</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Aggregate amortization expense for amortized intangible assets for fiscal 2020, 2019, and 2018 was $34.2 million, $32.6 million and $31.9 million, respectively. There were no intangible asset impairments during fiscal 2020, 2019, and 2018.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ind w:left="3360"/>
              <w:spacing w:after="0"/>
              <w:rPr>
                <w:sz w:val="20"/>
                <w:szCs w:val="20"/>
                <w:color w:val="auto"/>
              </w:rPr>
            </w:pPr>
            <w:r>
              <w:rPr>
                <w:rFonts w:ascii="Arial" w:cs="Arial" w:eastAsia="Arial" w:hAnsi="Arial"/>
                <w:sz w:val="18"/>
                <w:szCs w:val="18"/>
                <w:b w:val="1"/>
                <w:bCs w:val="1"/>
                <w:color w:val="auto"/>
              </w:rPr>
              <w:t>HAEMONETICS CORPORATION AND SUBSIDIARIES</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8"/>
        </w:trPr>
        <w:tc>
          <w:tcPr>
            <w:tcW w:w="9560" w:type="dxa"/>
            <w:vAlign w:val="bottom"/>
            <w:gridSpan w:val="2"/>
          </w:tcPr>
          <w:p>
            <w:pPr>
              <w:ind w:left="26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48"/>
        </w:trPr>
        <w:tc>
          <w:tcPr>
            <w:tcW w:w="9560" w:type="dxa"/>
            <w:vAlign w:val="bottom"/>
            <w:gridSpan w:val="2"/>
          </w:tcPr>
          <w:p>
            <w:pPr>
              <w:spacing w:after="0"/>
              <w:rPr>
                <w:sz w:val="20"/>
                <w:szCs w:val="20"/>
                <w:color w:val="auto"/>
              </w:rPr>
            </w:pPr>
            <w:r>
              <w:rPr>
                <w:rFonts w:ascii="Arial" w:cs="Arial" w:eastAsia="Arial" w:hAnsi="Arial"/>
                <w:sz w:val="18"/>
                <w:szCs w:val="18"/>
                <w:color w:val="auto"/>
              </w:rPr>
              <w:t>Future annual amortization expense on intangible assets is estimated to be as follows: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9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27,604</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26,892</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Fiscal 2024</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9,350</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9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Fiscal 2025</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4,966</w:t>
            </w:r>
          </w:p>
        </w:tc>
      </w:tr>
      <w:tr>
        <w:trPr>
          <w:trHeight w:val="27"/>
        </w:trPr>
        <w:tc>
          <w:tcPr>
            <w:tcW w:w="9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capitalized $3.9 million and $3.5 million in software development costs for ongoing initiatives during fiscal 2020 and 2019, respectively. At March 28, 2020 and March 30, 2019, the Company had a total of $79.3 million and $75.4 million of software costs capitalized, of which $2.6 million and $8.7 million are related to in process software development initiatives, respectively, and the remaining balance represents in-service assets that are being amortized over their useful lives.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 lease liabilities and right-of-use assets using the incremental borrowing rate as of March 31, 2019. Certain adjustments to the right-of-use asset may be required for items such as initial direct costs paid or incentives received.</w:t>
      </w:r>
    </w:p>
    <w:p>
      <w:pPr>
        <w:spacing w:after="0" w:line="17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During the third quarter of fiscal 2020, the Company entered into a lease for office space in Boston, MA to serve as its new corporate headquarters and completed the relocation to this new office from its previous corporate headquarters located in Braintree, MA. The lease term associated with the new corporate headquarters extends through June 30, 2032 and includes two five year renewal options. During the third quarter of fiscal 2020, the Company recorded a right-of-use asset of $36.2 million and corresponding liabilities of $41.8 million upon commencement of the lease term in October 2019. In addition, the Company recorded $5.6 million of property, plant and equipment as a result of a lease incentive received associated with this lease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9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50"/>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long-term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52,236</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7,306</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long-term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52,014</w:t>
            </w:r>
          </w:p>
        </w:tc>
      </w:tr>
      <w:tr>
        <w:trPr>
          <w:trHeight w:val="27"/>
        </w:trPr>
        <w:tc>
          <w:tcPr>
            <w:tcW w:w="9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 information related to our operating leases:</w:t>
      </w:r>
    </w:p>
    <w:p>
      <w:pPr>
        <w:spacing w:after="0" w:line="163" w:lineRule="exact"/>
        <w:rPr>
          <w:sz w:val="20"/>
          <w:szCs w:val="20"/>
          <w:color w:val="auto"/>
        </w:rPr>
      </w:pPr>
    </w:p>
    <w:p>
      <w:pPr>
        <w:ind w:left="10060"/>
        <w:spacing w:after="0"/>
        <w:rPr>
          <w:sz w:val="20"/>
          <w:szCs w:val="20"/>
          <w:color w:val="auto"/>
        </w:rPr>
      </w:pPr>
      <w:r>
        <w:rPr>
          <w:rFonts w:ascii="Arial" w:cs="Arial" w:eastAsia="Arial" w:hAnsi="Arial"/>
          <w:sz w:val="14"/>
          <w:szCs w:val="14"/>
          <w:b w:val="1"/>
          <w:bCs w:val="1"/>
          <w:color w:val="auto"/>
        </w:rPr>
        <w:t>March 28,</w:t>
      </w:r>
    </w:p>
    <w:p>
      <w:pPr>
        <w:spacing w:after="0" w:line="4"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13335</wp:posOffset>
            </wp:positionV>
            <wp:extent cx="708914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8034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remaining lease term</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March 28, 2020 the Company's operating lease cost was $8.3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information related to our operating leases:</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used for operating leases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maturities of our operating lease liabilities as of March 28,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10.0 Years</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March 28,</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193675</wp:posOffset>
            </wp:positionV>
            <wp:extent cx="994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11" w:lineRule="exact"/>
        <w:rPr>
          <w:sz w:val="20"/>
          <w:szCs w:val="20"/>
          <w:color w:val="auto"/>
        </w:rPr>
      </w:pPr>
    </w:p>
    <w:p>
      <w:pPr>
        <w:ind w:left="1040" w:hanging="1033"/>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6,780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Leases</w:t>
      </w:r>
    </w:p>
    <w:p>
      <w:pPr>
        <w:spacing w:after="0" w:line="25" w:lineRule="exact"/>
        <w:rPr>
          <w:sz w:val="20"/>
          <w:szCs w:val="20"/>
          <w:color w:val="auto"/>
        </w:rPr>
      </w:pPr>
    </w:p>
    <w:p>
      <w:pPr>
        <w:sectPr>
          <w:pgSz w:w="11900" w:h="16838" w:orient="portrait"/>
          <w:cols w:equalWidth="0" w:num="2">
            <w:col w:w="8960" w:space="720"/>
            <w:col w:w="1560"/>
          </w:cols>
          <w:pgMar w:left="320" w:top="126" w:right="339" w:bottom="1440" w:gutter="0" w:footer="0" w:header="0"/>
          <w:type w:val="continuous"/>
        </w:sectPr>
      </w:pPr>
    </w:p>
    <w:tbl>
      <w:tblPr>
        <w:tblLayout w:type="fixed"/>
        <w:tblInd w:w="40" w:type="dxa"/>
        <w:tblCellMar>
          <w:top w:w="0" w:type="dxa"/>
          <w:left w:w="0" w:type="dxa"/>
          <w:bottom w:w="0" w:type="dxa"/>
          <w:right w:w="0" w:type="dxa"/>
        </w:tblCellMar>
      </w:tblPr>
      <w:tr>
        <w:trPr>
          <w:trHeight w:val="255"/>
        </w:trPr>
        <w:tc>
          <w:tcPr>
            <w:tcW w:w="9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9,637</w:t>
            </w:r>
          </w:p>
        </w:tc>
      </w:tr>
      <w:tr>
        <w:trPr>
          <w:trHeight w:val="243"/>
        </w:trPr>
        <w:tc>
          <w:tcPr>
            <w:tcW w:w="95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8,421</w:t>
            </w:r>
          </w:p>
        </w:tc>
      </w:tr>
      <w:tr>
        <w:trPr>
          <w:trHeight w:val="27"/>
        </w:trPr>
        <w:tc>
          <w:tcPr>
            <w:tcW w:w="9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7,499</w:t>
            </w:r>
          </w:p>
        </w:tc>
      </w:tr>
      <w:tr>
        <w:trPr>
          <w:trHeight w:val="243"/>
        </w:trPr>
        <w:tc>
          <w:tcPr>
            <w:tcW w:w="95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5,693</w:t>
            </w:r>
          </w:p>
        </w:tc>
      </w:tr>
      <w:tr>
        <w:trPr>
          <w:trHeight w:val="27"/>
        </w:trPr>
        <w:tc>
          <w:tcPr>
            <w:tcW w:w="9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5,515</w:t>
            </w:r>
          </w:p>
        </w:tc>
      </w:tr>
      <w:tr>
        <w:trPr>
          <w:trHeight w:val="243"/>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35,395</w:t>
            </w:r>
          </w:p>
        </w:tc>
      </w:tr>
      <w:tr>
        <w:trPr>
          <w:trHeight w:val="27"/>
        </w:trPr>
        <w:tc>
          <w:tcPr>
            <w:tcW w:w="9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72,160</w:t>
            </w:r>
          </w:p>
        </w:tc>
      </w:tr>
      <w:tr>
        <w:trPr>
          <w:trHeight w:val="243"/>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(12,840)</w:t>
            </w:r>
          </w:p>
        </w:tc>
      </w:tr>
      <w:tr>
        <w:trPr>
          <w:trHeight w:val="27"/>
        </w:trPr>
        <w:tc>
          <w:tcPr>
            <w:tcW w:w="9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59,320</w:t>
            </w:r>
          </w:p>
        </w:tc>
      </w:tr>
      <w:tr>
        <w:trPr>
          <w:trHeight w:val="20"/>
        </w:trPr>
        <w:tc>
          <w:tcPr>
            <w:tcW w:w="9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6" w:right="3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NOTES PAYABLE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 2020</w:t>
            </w:r>
          </w:p>
        </w:tc>
        <w:tc>
          <w:tcPr>
            <w:tcW w:w="300" w:type="dxa"/>
            <w:vAlign w:val="bottom"/>
          </w:tcPr>
          <w:p>
            <w:pPr>
              <w:spacing w:after="0"/>
              <w:rPr>
                <w:sz w:val="16"/>
                <w:szCs w:val="16"/>
                <w:color w:val="auto"/>
              </w:rPr>
            </w:pP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334,859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borrowings</w:t>
            </w: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60,163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15,261</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(27,666)</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305,513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322,454</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At March 28, 2020, $323.8 million was outstanding under the Term Loan and $60.0 million was outstanding on the Revolving Credit Facility, both with an effective interest rate of 2.9%. In April 2020, the Company borrowed an additional $150.0 million on the Revolving Credit Facility. The Company also had $25.6 million of uncommitted operating lines of credit to fund its global operations under which there were no outstanding borrowings as of March 28, 2020.</w:t>
      </w:r>
    </w:p>
    <w:p>
      <w:pPr>
        <w:spacing w:after="0" w:line="16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Credit Facilities, the Company is required to maintain a Consolidated Leverage Ratio not to exceed 3.5:1.0 and a Consolidated Interest Coverage Ratio not to be less than 4.0:1.0 during periods when the Credit Facilities are outstanding. 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dissolutions or liquidation, asset sales, affiliate transactions, change of its business, capital expenditures, share repurchase and other restricted payments. These covenants are subject to exceptions and qualifications set forth in the credit agreement.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28, 2020, the Company was in compliance with the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Pursuant to the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0.150% to 0.275%. The current commitment fee on the undrawn portion of the Revolving Credit Facility is 0.175%.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March 28, 2020, the $323.8 million term loan balance was netted down by the $1.4 million of remaining debt discount, resulting in a net note payable of $322.3 million.</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expense was $13.5 million, $12.6 million and $7.7 million for fiscal 2020, 2019 and 2018, respectively. Accrued interest associated with the outstanding debt is included as a component of other current liabilities in the accompanying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consolidated balance sheets. As of both March 28, 2020 and March 30, 2019, the Company had an insignificant amount of accrued interest associated with the outstanding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debt maturing during the next five fiscal years and thereafter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4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9"/>
        </w:trPr>
        <w:tc>
          <w:tcPr>
            <w:tcW w:w="5800" w:type="dxa"/>
            <w:vAlign w:val="bottom"/>
          </w:tcPr>
          <w:p>
            <w:pPr>
              <w:spacing w:after="0"/>
              <w:rPr>
                <w:sz w:val="6"/>
                <w:szCs w:val="6"/>
                <w:color w:val="auto"/>
              </w:rPr>
            </w:pPr>
          </w:p>
        </w:tc>
        <w:tc>
          <w:tcPr>
            <w:tcW w:w="454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81,919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2022</w:t>
            </w:r>
          </w:p>
        </w:tc>
        <w:tc>
          <w:tcPr>
            <w:tcW w:w="4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17,545</w:t>
            </w:r>
          </w:p>
        </w:tc>
      </w:tr>
      <w:tr>
        <w:trPr>
          <w:trHeight w:val="27"/>
        </w:trPr>
        <w:tc>
          <w:tcPr>
            <w:tcW w:w="5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214,422</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2024</w:t>
            </w:r>
          </w:p>
        </w:tc>
        <w:tc>
          <w:tcPr>
            <w:tcW w:w="4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70,026</w:t>
            </w:r>
          </w:p>
        </w:tc>
      </w:tr>
      <w:tr>
        <w:trPr>
          <w:trHeight w:val="27"/>
        </w:trPr>
        <w:tc>
          <w:tcPr>
            <w:tcW w:w="5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4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FAIR VALUE MEASUREMENTS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manufactures, markets and sells its products globally. For the fiscal year ended March 28, 2020, 34.6% of the Company's sales were generated outside the U.S. in local currencies. The Company also incurs certain manufacturing, marketing and selling costs in international markets in local currency.</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March 28, 2020 and March 30, 2019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$93.8 million as of March 28, 2020 and $81.5 million as of March 30, 2019. At March 28, 2020, gains of $0.1 million, net of tax, will be reclassified to earnings within the next twelve months. Substantially all currency cash flow hedges outstanding as of March 28, 2020 mature within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$98.0 million as of March 28, 2020 and $37.4 million as of March 30,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 million Term Loan and a $350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$345.6 million of indebtedness. For fiscal 2020, the Company recorded a loss of $8.9 million, net of tax, in accumulated other comprehensive loss to recognize the effective portion of the fair value of the Swaps that qualify as cash flow hedges.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22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income and comprehensive income for the fiscal year ended March 28,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Location in Consolidated</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(Loss) Recognized in</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Accumulated Other</w:t>
            </w:r>
          </w:p>
        </w:tc>
        <w:tc>
          <w:tcPr>
            <w:tcW w:w="1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and</w:t>
            </w: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Statements of Income and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into Earnings</w:t>
            </w:r>
          </w:p>
        </w:tc>
        <w:tc>
          <w:tcPr>
            <w:tcW w:w="100" w:type="dxa"/>
            <w:vAlign w:val="bottom"/>
          </w:tcPr>
          <w:p>
            <w:pPr>
              <w:spacing w:after="0"/>
              <w:rPr>
                <w:sz w:val="16"/>
                <w:szCs w:val="16"/>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7"/>
              </w:rPr>
              <w:t>Comprehensive Income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Testing</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Designated foreign currency hedge contracts, net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revenues, COGS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and other</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Interest and other</w:t>
            </w:r>
          </w:p>
        </w:tc>
        <w:tc>
          <w:tcPr>
            <w:tcW w:w="0" w:type="dxa"/>
            <w:vAlign w:val="bottom"/>
          </w:tcPr>
          <w:p>
            <w:pPr>
              <w:spacing w:after="0"/>
              <w:rPr>
                <w:sz w:val="1"/>
                <w:szCs w:val="1"/>
                <w:color w:val="auto"/>
              </w:rPr>
            </w:pPr>
          </w:p>
        </w:tc>
      </w:tr>
      <w:tr>
        <w:trPr>
          <w:trHeight w:val="230"/>
        </w:trPr>
        <w:tc>
          <w:tcPr>
            <w:tcW w:w="3740" w:type="dxa"/>
            <w:vAlign w:val="bottom"/>
            <w:gridSpan w:val="2"/>
          </w:tcPr>
          <w:p>
            <w:pPr>
              <w:ind w:left="40"/>
              <w:spacing w:after="0"/>
              <w:rPr>
                <w:sz w:val="20"/>
                <w:szCs w:val="20"/>
                <w:color w:val="auto"/>
              </w:rPr>
            </w:pPr>
            <w:r>
              <w:rPr>
                <w:rFonts w:ascii="Arial" w:cs="Arial" w:eastAsia="Arial" w:hAnsi="Arial"/>
                <w:sz w:val="18"/>
                <w:szCs w:val="18"/>
                <w:color w:val="auto"/>
                <w:w w:val="93"/>
              </w:rPr>
              <w:t>Non-designated foreign currency hedge contracts</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March 28, 2020 or March 30, 2019. As of March 28, 2020, no material deferred tax assets were recognized for designated foreign currency hedges.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28, 2020,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the fair value of the Company's derivative instruments as they appear in its consolidated balance sheets as of March 28, 2020 and March 30,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900" w:type="dxa"/>
            <w:vAlign w:val="bottom"/>
            <w:gridSpan w:val="2"/>
          </w:tcPr>
          <w:p>
            <w:pPr>
              <w:ind w:left="1080"/>
              <w:spacing w:after="0"/>
              <w:rPr>
                <w:sz w:val="20"/>
                <w:szCs w:val="20"/>
                <w:color w:val="auto"/>
              </w:rPr>
            </w:pPr>
            <w:r>
              <w:rPr>
                <w:rFonts w:ascii="Arial" w:cs="Arial" w:eastAsia="Arial" w:hAnsi="Arial"/>
                <w:sz w:val="14"/>
                <w:szCs w:val="14"/>
                <w:color w:val="auto"/>
              </w:rPr>
              <w:t>Location in</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March 28, 2020</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As of March 30, 2019</w:t>
            </w:r>
          </w:p>
        </w:tc>
        <w:tc>
          <w:tcPr>
            <w:tcW w:w="0" w:type="dxa"/>
            <w:vAlign w:val="bottom"/>
          </w:tcPr>
          <w:p>
            <w:pPr>
              <w:spacing w:after="0"/>
              <w:rPr>
                <w:sz w:val="1"/>
                <w:szCs w:val="1"/>
                <w:color w:val="auto"/>
              </w:rPr>
            </w:pPr>
          </w:p>
        </w:tc>
      </w:tr>
      <w:tr>
        <w:trPr>
          <w:trHeight w:val="188"/>
        </w:trPr>
        <w:tc>
          <w:tcPr>
            <w:tcW w:w="52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00" w:type="dxa"/>
            <w:vAlign w:val="bottom"/>
            <w:gridSpan w:val="2"/>
          </w:tcPr>
          <w:p>
            <w:pPr>
              <w:ind w:left="1000"/>
              <w:spacing w:after="0"/>
              <w:rPr>
                <w:sz w:val="20"/>
                <w:szCs w:val="20"/>
                <w:color w:val="auto"/>
              </w:rPr>
            </w:pPr>
            <w:r>
              <w:rPr>
                <w:rFonts w:ascii="Arial" w:cs="Arial" w:eastAsia="Arial" w:hAnsi="Arial"/>
                <w:sz w:val="14"/>
                <w:szCs w:val="14"/>
                <w:color w:val="auto"/>
              </w:rPr>
              <w:t>Balance Sheet</w:t>
            </w:r>
          </w:p>
        </w:tc>
        <w:tc>
          <w:tcPr>
            <w:tcW w:w="158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18,345</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24"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right="280" w:firstLine="8"/>
        <w:spacing w:after="0" w:line="250"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right="480" w:firstLine="8"/>
        <w:spacing w:after="0" w:line="260"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5" w:lineRule="exact"/>
        <w:rPr>
          <w:sz w:val="20"/>
          <w:szCs w:val="20"/>
          <w:color w:val="auto"/>
        </w:rPr>
      </w:pPr>
    </w:p>
    <w:p>
      <w:pPr>
        <w:ind w:left="60" w:right="34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26" w:right="3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March 28, 2020 and March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3"/>
              </w:rPr>
              <w:t>As of March 28, 2020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44,564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44,564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45,780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18,345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3"/>
              </w:rPr>
              <w:t>As of March 30, 2019</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79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38,257</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36"/>
        </w:trPr>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13,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has a Savings Plus Plan (the "401k Plan") that is a 401(k) plan that allows its U.S. employees to accumulate savings on a pre-tax basis. In addition, matching contributions are made to the 401k Plan based upon pre-established rates. The Company's matching contributions amounted to approximately $4.7 million, $5.0 million and $5.5 million in fiscal 2020, 2019 and 2018, respectively. Upon Board approval, additional discretionary contributions can also be made. No discretionary contributions were made for the 401k Plan in fiscal 2020, 2019, or 2018.</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Some of the Company's subsidiaries also have defined contribution plans, to which both the employee and the employer make contributions. The employer contributions to these plans totaled $0.6 million, $0.6 million and $0.7 million in fiscal 2020, 2019 and 2018, respectively.</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80"/>
          </w:cols>
          <w:pgMar w:left="320" w:top="126" w:right="39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 (loss).</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2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2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2,349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77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(30,637)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(30,476)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Plan settlements and curtailments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(28,370)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(30,637)</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16,287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Pr>
          <w:p>
            <w:pPr>
              <w:ind w:left="40"/>
              <w:spacing w:after="0" w:line="257" w:lineRule="exact"/>
              <w:rPr>
                <w:sz w:val="20"/>
                <w:szCs w:val="20"/>
                <w:color w:val="auto"/>
              </w:rPr>
            </w:pPr>
            <w:r>
              <w:rPr>
                <w:rFonts w:ascii="Arial" w:cs="Arial" w:eastAsia="Arial" w:hAnsi="Arial"/>
                <w:sz w:val="18"/>
                <w:szCs w:val="18"/>
                <w:color w:val="auto"/>
              </w:rPr>
              <w:t>Funded Status</w:t>
            </w:r>
            <w:r>
              <w:rPr>
                <w:rFonts w:ascii="Arial" w:cs="Arial" w:eastAsia="Arial" w:hAnsi="Arial"/>
                <w:sz w:val="25"/>
                <w:szCs w:val="25"/>
                <w:color w:val="auto"/>
                <w:vertAlign w:val="superscript"/>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(12,819)</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Substantially all of the unfunded status is non-current</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$6.3 million and $6.1 million at March 28, 2020 and March 30, 2019, respectively. The total liability for this plan, which is included in the table above, was $9.2 million and $9.4 million as of March 28, 2020 and March 30, 2019, respectively.</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accumulated benefit obligation for all plans was $27.9 million and $28.6 million for fiscal 2020 and 2019, respectively. There were no plans where the plan assets were greater than the accumulated benefit obligation as of March 28, 2020 and March 30,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components of the change recorded in the Company's accumulated other comprehensive loss related to its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April 1, 2017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1,922</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28, 2020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amortize $0.3 million from accumulated other comprehensive loss to net periodic benefit cost during fiscal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rates used to determine the net periodic benefit costs and projected benefit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0.75%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6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obligation for post-retirement or post-employment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 policy for pension plans is to balance risk and return through a diversified portfolio to reduce interest rate and market risk.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Maturities are managed so that sufficient liquidity exists to meet immediate and future benefit payment requirements.</w:t>
      </w:r>
    </w:p>
    <w:p>
      <w:pPr>
        <w:spacing w:after="0" w:line="21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the Company's defined benefit pension plan at fair value as of March 28, 2020. Using the same three-level valuation hierarchy for disclosure of fair value measurements as described in Note 14, </w:t>
      </w:r>
      <w:r>
        <w:rPr>
          <w:rFonts w:ascii="Arial" w:cs="Arial" w:eastAsia="Arial" w:hAnsi="Arial"/>
          <w:sz w:val="18"/>
          <w:szCs w:val="18"/>
          <w:i w:val="1"/>
          <w:iCs w:val="1"/>
          <w:color w:val="auto"/>
        </w:rPr>
        <w:t>Derivatives and Fair Value Measurements</w:t>
      </w:r>
      <w:r>
        <w:rPr>
          <w:rFonts w:ascii="Arial" w:cs="Arial" w:eastAsia="Arial" w:hAnsi="Arial"/>
          <w:sz w:val="18"/>
          <w:szCs w:val="18"/>
          <w:color w:val="auto"/>
        </w:rPr>
        <w:t>, all of the assets of the Company’s plan are classified within Level 2 of the fair value hierarchy because the plan assets are primarily insurance contracts.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28, 2020.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3360"/>
              <w:spacing w:after="0"/>
              <w:rPr>
                <w:sz w:val="20"/>
                <w:szCs w:val="20"/>
                <w:color w:val="auto"/>
              </w:rPr>
            </w:pPr>
            <w:r>
              <w:rPr>
                <w:rFonts w:ascii="Arial" w:cs="Arial" w:eastAsia="Arial" w:hAnsi="Arial"/>
                <w:sz w:val="18"/>
                <w:szCs w:val="18"/>
                <w:b w:val="1"/>
                <w:bCs w:val="1"/>
                <w:color w:val="auto"/>
              </w:rPr>
              <w:t>HAEMONETICS CORPORATION AND SUBSIDIARIES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8"/>
        </w:trPr>
        <w:tc>
          <w:tcPr>
            <w:tcW w:w="9780" w:type="dxa"/>
            <w:vAlign w:val="bottom"/>
          </w:tcPr>
          <w:p>
            <w:pPr>
              <w:ind w:left="26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48"/>
        </w:trPr>
        <w:tc>
          <w:tcPr>
            <w:tcW w:w="9780" w:type="dxa"/>
            <w:vAlign w:val="bottom"/>
          </w:tcPr>
          <w:p>
            <w:pPr>
              <w:spacing w:after="0"/>
              <w:rPr>
                <w:sz w:val="20"/>
                <w:szCs w:val="20"/>
                <w:color w:val="auto"/>
              </w:rPr>
            </w:pPr>
            <w:r>
              <w:rPr>
                <w:rFonts w:ascii="Arial" w:cs="Arial" w:eastAsia="Arial" w:hAnsi="Arial"/>
                <w:sz w:val="18"/>
                <w:szCs w:val="18"/>
                <w:color w:val="auto"/>
              </w:rPr>
              <w:t>Estimated future benefit payments are as follows: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1,526</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2025</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Fiscal 2026-2030</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7,251</w:t>
            </w:r>
          </w:p>
        </w:tc>
      </w:tr>
      <w:tr>
        <w:trPr>
          <w:trHeight w:val="27"/>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14,033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2021 are expected to be consistent with the current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22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 discarded the collected blood. As of March 28, 2020, the Company has recorded cumulative charges of $1.9 million associated with this recall which consists of $0.1 million of charges associated with customer returns and inventory reserves and $1.8 million of charges associated with customer claims. Substantially all outstanding claims have been paid as of March 28,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July 25, 2019 (the "Effective Date"), the Haemonetics Corporation 2019 Long-Term Incentive Compensation Plan (the “2019 Equity Plan”) was approved and became effective.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three independent members of the Company's Board of Directors, and is the successor to the Haemonetics Corporation 2005 Long-Term Incentive Compensation Plan, as amended (the "2005 Equity Plan").</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Upon the Effective Date, no further awards were granted under the 2005 Equity Plan; however, each outstanding award under the 2005 Equity Plan will remain outstanding under that plan and continue to be governed under its terms and any applicable award agreement. The maximum number of shares available for award under 2019 Equity Plan is 5,759,433, which consists of 2,700,000 shares of common stock authorized for issuance under the 2019 Equity Plan plus 3,059,433 shares of common stock reserved for issuance under the 2005 Equity Plan that remained available for grant under the 2005 Plan as of the Effective Date. Under the 2019 Equity Plan,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as of March 28, 2020 were 5,891,063.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Compensation cost related to share-based transactions is recognized in the consolidated financial statements based on fair value. The total amount of share-based compensation expense, which is recorded on a straight line basis,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shd w:val="clear" w:color="auto" w:fill="CCEEFF"/>
          </w:tcPr>
          <w:p>
            <w:pPr>
              <w:jc w:val="center"/>
              <w:ind w:left="754"/>
              <w:spacing w:after="0"/>
              <w:rPr>
                <w:sz w:val="20"/>
                <w:szCs w:val="20"/>
                <w:color w:val="auto"/>
              </w:rPr>
            </w:pPr>
            <w:r>
              <w:rPr>
                <w:rFonts w:ascii="Arial" w:cs="Arial" w:eastAsia="Arial" w:hAnsi="Arial"/>
                <w:sz w:val="18"/>
                <w:szCs w:val="18"/>
                <w:color w:val="auto"/>
                <w:w w:val="89"/>
              </w:rPr>
              <w:t>$18,022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left="754"/>
              <w:spacing w:after="0"/>
              <w:rPr>
                <w:sz w:val="20"/>
                <w:szCs w:val="20"/>
                <w:color w:val="auto"/>
              </w:rPr>
            </w:pPr>
            <w:r>
              <w:rPr>
                <w:rFonts w:ascii="Arial" w:cs="Arial" w:eastAsia="Arial" w:hAnsi="Arial"/>
                <w:sz w:val="18"/>
                <w:szCs w:val="18"/>
                <w:color w:val="auto"/>
                <w:w w:val="89"/>
              </w:rPr>
              <w:t>$12,878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center"/>
              <w:ind w:left="734"/>
              <w:spacing w:after="0"/>
              <w:rPr>
                <w:sz w:val="20"/>
                <w:szCs w:val="20"/>
                <w:color w:val="auto"/>
              </w:rPr>
            </w:pPr>
            <w:r>
              <w:rPr>
                <w:rFonts w:ascii="Arial" w:cs="Arial" w:eastAsia="Arial" w:hAnsi="Arial"/>
                <w:sz w:val="18"/>
                <w:szCs w:val="18"/>
                <w:color w:val="auto"/>
                <w:w w:val="88"/>
              </w:rPr>
              <w:t>1,210</w:t>
            </w:r>
          </w:p>
        </w:tc>
        <w:tc>
          <w:tcPr>
            <w:tcW w:w="120" w:type="dxa"/>
            <w:vAlign w:val="bottom"/>
          </w:tcPr>
          <w:p>
            <w:pPr>
              <w:spacing w:after="0"/>
              <w:rPr>
                <w:sz w:val="21"/>
                <w:szCs w:val="21"/>
                <w:color w:val="auto"/>
              </w:rPr>
            </w:pPr>
          </w:p>
        </w:tc>
        <w:tc>
          <w:tcPr>
            <w:tcW w:w="1460" w:type="dxa"/>
            <w:vAlign w:val="bottom"/>
          </w:tcPr>
          <w:p>
            <w:pPr>
              <w:jc w:val="center"/>
              <w:ind w:left="774"/>
              <w:spacing w:after="0"/>
              <w:rPr>
                <w:sz w:val="20"/>
                <w:szCs w:val="20"/>
                <w:color w:val="auto"/>
              </w:rPr>
            </w:pPr>
            <w:r>
              <w:rPr>
                <w:rFonts w:ascii="Arial" w:cs="Arial" w:eastAsia="Arial" w:hAnsi="Arial"/>
                <w:sz w:val="18"/>
                <w:szCs w:val="18"/>
                <w:color w:val="auto"/>
                <w:w w:val="88"/>
              </w:rPr>
              <w:t>2,972</w:t>
            </w:r>
          </w:p>
        </w:tc>
        <w:tc>
          <w:tcPr>
            <w:tcW w:w="12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2,114</w:t>
            </w: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6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88"/>
              </w:rPr>
              <w:t>1,222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88"/>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r>
      <w:tr>
        <w:trPr>
          <w:trHeight w:val="237"/>
        </w:trPr>
        <w:tc>
          <w:tcPr>
            <w:tcW w:w="6640" w:type="dxa"/>
            <w:vAlign w:val="bottom"/>
          </w:tcPr>
          <w:p>
            <w:pPr>
              <w:spacing w:after="0"/>
              <w:rPr>
                <w:sz w:val="20"/>
                <w:szCs w:val="20"/>
                <w:color w:val="auto"/>
              </w:rPr>
            </w:pPr>
          </w:p>
        </w:tc>
        <w:tc>
          <w:tcPr>
            <w:tcW w:w="146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89"/>
              </w:rPr>
              <w:t>$20,454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89"/>
              </w:rPr>
              <w:t>$17,188</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$13,025</w:t>
            </w:r>
          </w:p>
        </w:tc>
      </w:tr>
      <w:tr>
        <w:trPr>
          <w:trHeight w:val="27"/>
        </w:trPr>
        <w:tc>
          <w:tcPr>
            <w:tcW w:w="66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28,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($000’s)</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30, 2019</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1,013,403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40,902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207,892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460" w:type="dxa"/>
            <w:vAlign w:val="bottom"/>
          </w:tcPr>
          <w:p>
            <w:pPr>
              <w:jc w:val="right"/>
              <w:spacing w:after="0"/>
              <w:rPr>
                <w:sz w:val="20"/>
                <w:szCs w:val="20"/>
                <w:color w:val="auto"/>
              </w:rPr>
            </w:pPr>
            <w:r>
              <w:rPr>
                <w:rFonts w:ascii="Arial" w:cs="Arial" w:eastAsia="Arial" w:hAnsi="Arial"/>
                <w:sz w:val="18"/>
                <w:szCs w:val="18"/>
                <w:color w:val="auto"/>
              </w:rPr>
              <w:t>(58,033)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66.73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28, 2020</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918,988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60.43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37,471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28, 2020</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354,968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21,499</w:t>
            </w:r>
          </w:p>
        </w:tc>
        <w:tc>
          <w:tcPr>
            <w:tcW w:w="0" w:type="dxa"/>
            <w:vAlign w:val="bottom"/>
          </w:tcPr>
          <w:p>
            <w:pPr>
              <w:spacing w:after="0"/>
              <w:rPr>
                <w:sz w:val="1"/>
                <w:szCs w:val="1"/>
                <w:color w:val="auto"/>
              </w:rPr>
            </w:pPr>
          </w:p>
        </w:tc>
      </w:tr>
      <w:tr>
        <w:trPr>
          <w:trHeight w:val="324"/>
        </w:trPr>
        <w:tc>
          <w:tcPr>
            <w:tcW w:w="5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28, 2020</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836,674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57.93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36,170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$18.1 million, $19.4 million and $15.4 million during fiscal 2020, 2019 and 2018, respectively.</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March 28, 2020, there was $8.4 million of total unrecognized compensation cost related to non-vested stock options. This cost is expected to be recognized over a weighted average period of 2.5 years.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average of the high and low stock prices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92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4.8</w:t>
            </w:r>
          </w:p>
        </w:tc>
      </w:tr>
      <w:tr>
        <w:trPr>
          <w:trHeight w:val="27"/>
        </w:trPr>
        <w:tc>
          <w:tcPr>
            <w:tcW w:w="6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8"/>
              </w:rPr>
              <w:t>28.25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10.25</w:t>
            </w:r>
          </w:p>
        </w:tc>
      </w:tr>
      <w:tr>
        <w:trPr>
          <w:trHeight w:val="27"/>
        </w:trPr>
        <w:tc>
          <w:tcPr>
            <w:tcW w:w="6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March 28,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March 30, 2019</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309,222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105,943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March 28, 2020</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268,217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75.34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RSUs granted and total fair value of RSUs vested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RSU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Fair value of RSUs vested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33.03</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28, 2020, there was $14.3 million of total unrecognized compensation cost related to non-vested restricted stock units. This cost is expected to be recognized over a weighted 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PSUs granted in fiscal 2020 have a comparison group consisting of the Standard and Poor's ("S&amp;P") Mid Cap 400 Index while PSUs granted in fiscal 2019 and 2018 have a comparison group consisting of the S&amp;P Small Cap 600 and the S&amp;P Mid Cap 400 indices.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586,222 shares related to outstanding performance based awards.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March 28,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30, 2019</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448,656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70"/>
        </w:trPr>
        <w:tc>
          <w:tcPr>
            <w:tcW w:w="8320" w:type="dxa"/>
            <w:vAlign w:val="bottom"/>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262,758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Vested</w:t>
            </w:r>
            <w:r>
              <w:rPr>
                <w:rFonts w:ascii="Arial" w:cs="Arial" w:eastAsia="Arial" w:hAnsi="Arial"/>
                <w:sz w:val="25"/>
                <w:szCs w:val="25"/>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(28,497)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28, 2020</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293,111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95.17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172,879 shares issued for awards vested during fiscal 2020 based on achievement of performance metrics.</w:t>
      </w:r>
    </w:p>
    <w:p>
      <w:pPr>
        <w:spacing w:after="0" w:line="13" w:lineRule="exact"/>
        <w:rPr>
          <w:rFonts w:ascii="Arial" w:cs="Arial" w:eastAsia="Arial" w:hAnsi="Arial"/>
          <w:sz w:val="9"/>
          <w:szCs w:val="9"/>
          <w:color w:val="auto"/>
        </w:rPr>
      </w:pPr>
    </w:p>
    <w:p>
      <w:pPr>
        <w:jc w:val="both"/>
        <w:ind w:right="100" w:firstLine="8"/>
        <w:spacing w:after="0" w:line="248" w:lineRule="auto"/>
        <w:tabs>
          <w:tab w:leader="none" w:pos="141"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the vesting of 336,152 shares that were earned for awards granted in fiscal 2017 for various performance periods ending during fiscal 2020, based on actual relative total shareholder return of 200%. Also includes the vesting of 53,654 shares that were earned in connection with the fiscal 2018 and 2017 internal metrics awards granted to the Company's chief executive officer for the performance period ended March 30, 2019 that were certified by the Committee in May 2019 at 144.31% and 80.05%, respectively.</w:t>
      </w:r>
    </w:p>
    <w:p>
      <w:pPr>
        <w:spacing w:after="0" w:line="19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rPr>
              <w:t>27.07%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Peer group stock price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29.77%</w:t>
            </w:r>
          </w:p>
        </w:tc>
        <w:tc>
          <w:tcPr>
            <w:tcW w:w="100" w:type="dxa"/>
            <w:vAlign w:val="bottom"/>
          </w:tcPr>
          <w:p>
            <w:pPr>
              <w:spacing w:after="0"/>
              <w:rPr>
                <w:sz w:val="21"/>
                <w:szCs w:val="21"/>
                <w:color w:val="auto"/>
              </w:rPr>
            </w:pPr>
          </w:p>
        </w:tc>
        <w:tc>
          <w:tcPr>
            <w:tcW w:w="1860" w:type="dxa"/>
            <w:vAlign w:val="bottom"/>
          </w:tcPr>
          <w:p>
            <w:pPr>
              <w:jc w:val="right"/>
              <w:ind w:right="295"/>
              <w:spacing w:after="0"/>
              <w:rPr>
                <w:sz w:val="20"/>
                <w:szCs w:val="20"/>
                <w:color w:val="auto"/>
              </w:rPr>
            </w:pPr>
            <w:r>
              <w:rPr>
                <w:rFonts w:ascii="Arial" w:cs="Arial" w:eastAsia="Arial" w:hAnsi="Arial"/>
                <w:sz w:val="18"/>
                <w:szCs w:val="18"/>
                <w:color w:val="auto"/>
              </w:rPr>
              <w:t>34.98%</w:t>
            </w:r>
          </w:p>
        </w:tc>
        <w:tc>
          <w:tcPr>
            <w:tcW w:w="1280" w:type="dxa"/>
            <w:vAlign w:val="bottom"/>
          </w:tcPr>
          <w:p>
            <w:pPr>
              <w:jc w:val="right"/>
              <w:spacing w:after="0"/>
              <w:rPr>
                <w:sz w:val="20"/>
                <w:szCs w:val="20"/>
                <w:color w:val="auto"/>
              </w:rPr>
            </w:pPr>
            <w:r>
              <w:rPr>
                <w:rFonts w:ascii="Arial" w:cs="Arial" w:eastAsia="Arial" w:hAnsi="Arial"/>
                <w:sz w:val="18"/>
                <w:szCs w:val="18"/>
                <w:color w:val="auto"/>
              </w:rPr>
              <w:t>34.13%</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50.30%</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47.57%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r>
      <w:tr>
        <w:trPr>
          <w:trHeight w:val="27"/>
        </w:trPr>
        <w:tc>
          <w:tcPr>
            <w:tcW w:w="6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and total fair value of PSUs vested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 per PSU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46.49</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Fair value of PSUs vested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March 28, 2020, there was $15.2 million of total unrecognized compensation cost related to non-vested performance share units. This cost is expected to be recognized over a weighted average period of 1.8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Expected life (months)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0" w:lineRule="exact"/>
        <w:rPr>
          <w:sz w:val="20"/>
          <w:szCs w:val="20"/>
          <w:color w:val="auto"/>
        </w:rPr>
      </w:pPr>
    </w:p>
    <w:p>
      <w:pPr>
        <w:spacing w:after="0" w:line="24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$27.11, $21.51 and $9.66 during fiscal 2020,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ENTERPRISE-WIDE INFORMATION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Hospital</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costs related to compliance with the European Union Medical Device Regulation, gains and losses on asset dispositions, certain transaction costs and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Plasma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460,637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426,781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363,254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347,373</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Hospital</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194,604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190,821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178,116</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business unit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980,902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888,743</w:t>
            </w:r>
          </w:p>
        </w:tc>
      </w:tr>
      <w:tr>
        <w:trPr>
          <w:trHeight w:val="270"/>
        </w:trPr>
        <w:tc>
          <w:tcPr>
            <w:tcW w:w="66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19,830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19,906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20,574</w:t>
            </w: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988,479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967,579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903,923</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00" w:hanging="165"/>
        <w:spacing w:after="0"/>
        <w:tabs>
          <w:tab w:leader="none" w:pos="20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Reflects revenue for service, maintenance and parts.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6"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Plasma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225,351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146,986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170,172</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Hospital</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67,258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384,416</w:t>
            </w:r>
          </w:p>
        </w:tc>
      </w:tr>
      <w:tr>
        <w:trPr>
          <w:trHeight w:val="270"/>
        </w:trPr>
        <w:tc>
          <w:tcPr>
            <w:tcW w:w="660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(255,727)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(263,603)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(257,229)</w:t>
            </w: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4,060</w:t>
            </w:r>
          </w:p>
        </w:tc>
      </w:tr>
      <w:tr>
        <w:trPr>
          <w:trHeight w:val="270"/>
        </w:trPr>
        <w:tc>
          <w:tcPr>
            <w:tcW w:w="6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Impairment of assets and other related charges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w:t>
            </w: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PCS2 accelerated depreciation and related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(44,125)</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European Medical Device Regulation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70"/>
        </w:trPr>
        <w:tc>
          <w:tcPr>
            <w:tcW w:w="6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83,545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56,157</w:t>
            </w:r>
          </w:p>
        </w:tc>
      </w:tr>
    </w:tbl>
    <w:p>
      <w:pPr>
        <w:spacing w:after="0" w:line="8" w:lineRule="exact"/>
        <w:rPr>
          <w:sz w:val="20"/>
          <w:szCs w:val="20"/>
          <w:color w:val="auto"/>
        </w:rPr>
      </w:pPr>
    </w:p>
    <w:p>
      <w:pPr>
        <w:ind w:left="40" w:right="160" w:hanging="5"/>
        <w:spacing w:after="0" w:line="230" w:lineRule="auto"/>
        <w:tabs>
          <w:tab w:leader="none" w:pos="181" w:val="left"/>
        </w:tabs>
        <w:numPr>
          <w:ilvl w:val="0"/>
          <w:numId w:val="26"/>
        </w:numPr>
        <w:rPr>
          <w:rFonts w:ascii="Arial" w:cs="Arial" w:eastAsia="Arial" w:hAnsi="Arial"/>
          <w:sz w:val="9"/>
          <w:szCs w:val="9"/>
          <w:color w:val="auto"/>
        </w:rPr>
      </w:pPr>
      <w:r>
        <w:rPr>
          <w:rFonts w:ascii="Arial" w:cs="Arial" w:eastAsia="Arial" w:hAnsi="Arial"/>
          <w:sz w:val="14"/>
          <w:szCs w:val="14"/>
          <w:color w:val="auto"/>
        </w:rPr>
        <w:t>Reflects shared service expenses including quality and regulatory, customer and field service, research and development, manufacturing and supply chain, as well as other corporate support functions.</w:t>
      </w:r>
    </w:p>
    <w:p>
      <w:pPr>
        <w:ind w:left="180" w:hanging="145"/>
        <w:spacing w:after="0"/>
        <w:tabs>
          <w:tab w:leader="none" w:pos="180" w:val="left"/>
        </w:tabs>
        <w:numPr>
          <w:ilvl w:val="0"/>
          <w:numId w:val="26"/>
        </w:numPr>
        <w:rPr>
          <w:rFonts w:ascii="Arial" w:cs="Arial" w:eastAsia="Arial" w:hAnsi="Arial"/>
          <w:sz w:val="8"/>
          <w:szCs w:val="8"/>
          <w:color w:val="auto"/>
        </w:rPr>
      </w:pPr>
      <w:r>
        <w:rPr>
          <w:rFonts w:ascii="Arial" w:cs="Arial" w:eastAsia="Arial" w:hAnsi="Arial"/>
          <w:sz w:val="13"/>
          <w:szCs w:val="13"/>
          <w:color w:val="auto"/>
        </w:rPr>
        <w:t>Includes a $1.9 million adjustment to fiscal 2020 Plasma revenue due to an accelerated charge incurred as a result of the divestiture of the Union, South Carolina liquid solutions operation.</w:t>
      </w:r>
    </w:p>
    <w:p>
      <w:pPr>
        <w:ind w:left="180" w:hanging="145"/>
        <w:spacing w:after="0" w:line="221" w:lineRule="auto"/>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transaction costs and costs related to the resolution of customer damages associated with product recalls.</w:t>
      </w:r>
    </w:p>
    <w:p>
      <w:pPr>
        <w:ind w:left="180" w:hanging="145"/>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Reflects gain on the sale of the Company's Braintree 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-483235</wp:posOffset>
            </wp:positionV>
            <wp:extent cx="2914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Plasma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38,429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47,985</w:t>
            </w:r>
          </w:p>
        </w:tc>
      </w:tr>
      <w:tr>
        <w:trPr>
          <w:trHeight w:val="27"/>
        </w:trPr>
        <w:tc>
          <w:tcPr>
            <w:tcW w:w="6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11,439</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Hospital</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61,721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29,823</w:t>
            </w:r>
          </w:p>
        </w:tc>
      </w:tr>
      <w:tr>
        <w:trPr>
          <w:trHeight w:val="27"/>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depreciation and amortization (excluding impairment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110,289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109,418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89,247</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6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23"/>
                <w:szCs w:val="23"/>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23"/>
                <w:szCs w:val="23"/>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70"/>
        </w:trPr>
        <w:tc>
          <w:tcPr>
            <w:tcW w:w="660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Plasma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141,903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192,628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186,007</w:t>
            </w:r>
          </w:p>
        </w:tc>
      </w:tr>
      <w:tr>
        <w:trPr>
          <w:trHeight w:val="27"/>
        </w:trPr>
        <w:tc>
          <w:tcPr>
            <w:tcW w:w="6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122,898</w:t>
            </w: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Hospital</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17,738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23,251</w:t>
            </w:r>
          </w:p>
        </w:tc>
      </w:tr>
      <w:tr>
        <w:trPr>
          <w:trHeight w:val="27"/>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253,399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343,979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332,156</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hanging="145"/>
        <w:spacing w:after="0"/>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126" w:right="39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principle operating regions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186,488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269,849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236,603</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1,511</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13,696</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36,431</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43,915</w:t>
            </w: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253,399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343,979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332,156</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hanging="145"/>
        <w:spacing w:after="0"/>
        <w:tabs>
          <w:tab w:leader="none" w:pos="180" w:val="left"/>
        </w:tabs>
        <w:numPr>
          <w:ilvl w:val="0"/>
          <w:numId w:val="28"/>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49"/>
        </w:trPr>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548,731</w:t>
            </w:r>
          </w:p>
        </w:tc>
      </w:tr>
      <w:tr>
        <w:trPr>
          <w:trHeight w:val="243"/>
        </w:trPr>
        <w:tc>
          <w:tcPr>
            <w:tcW w:w="6920" w:type="dxa"/>
            <w:vAlign w:val="bottom"/>
          </w:tcPr>
          <w:p>
            <w:pPr>
              <w:ind w:left="16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72,218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69,908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67,319</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164,226</w:t>
            </w:r>
          </w:p>
        </w:tc>
      </w:tr>
      <w:tr>
        <w:trPr>
          <w:trHeight w:val="243"/>
        </w:trPr>
        <w:tc>
          <w:tcPr>
            <w:tcW w:w="6920" w:type="dxa"/>
            <w:vAlign w:val="bottom"/>
          </w:tcPr>
          <w:p>
            <w:pPr>
              <w:ind w:left="160"/>
              <w:spacing w:after="0"/>
              <w:rPr>
                <w:sz w:val="20"/>
                <w:szCs w:val="20"/>
                <w:color w:val="auto"/>
              </w:rPr>
            </w:pPr>
            <w:r>
              <w:rPr>
                <w:rFonts w:ascii="Arial" w:cs="Arial" w:eastAsia="Arial" w:hAnsi="Arial"/>
                <w:sz w:val="18"/>
                <w:szCs w:val="18"/>
                <w:color w:val="auto"/>
              </w:rPr>
              <w:t>Asia</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109,295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118,700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115,127</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8,520</w:t>
            </w:r>
          </w:p>
        </w:tc>
      </w:tr>
      <w:tr>
        <w:trPr>
          <w:trHeight w:val="257"/>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988,479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967,579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903,923</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products and services</w:t>
            </w:r>
          </w:p>
        </w:tc>
        <w:tc>
          <w:tcPr>
            <w:tcW w:w="2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435,956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Blood Center products and services</w:t>
            </w:r>
          </w:p>
        </w:tc>
        <w:tc>
          <w:tcPr>
            <w:tcW w:w="2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252,829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269,203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284,902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products and services</w:t>
            </w:r>
          </w:p>
        </w:tc>
        <w:tc>
          <w:tcPr>
            <w:tcW w:w="2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198,419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196,539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183,065</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8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988,479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967,579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903,923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60" w:type="dxa"/>
            <w:vAlign w:val="bottom"/>
            <w:vMerge w:val="restart"/>
          </w:tcPr>
          <w:p>
            <w:pPr>
              <w:jc w:val="right"/>
              <w:ind w:right="1110"/>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6" w:right="37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LOSS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loss, net of tax, for the years ended March 28, 2020 and March 30,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Defined benefit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plans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70"/>
        </w:trPr>
        <w:tc>
          <w:tcPr>
            <w:tcW w:w="5480" w:type="dxa"/>
            <w:vAlign w:val="bottom"/>
            <w:gridSpan w:val="2"/>
          </w:tcPr>
          <w:p>
            <w:pPr>
              <w:ind w:left="40"/>
              <w:spacing w:after="0" w:line="270" w:lineRule="exact"/>
              <w:rPr>
                <w:sz w:val="20"/>
                <w:szCs w:val="20"/>
                <w:color w:val="auto"/>
              </w:rPr>
            </w:pPr>
            <w:r>
              <w:rPr>
                <w:rFonts w:ascii="Arial" w:cs="Arial" w:eastAsia="Arial" w:hAnsi="Arial"/>
                <w:sz w:val="18"/>
                <w:szCs w:val="18"/>
                <w:color w:val="auto"/>
                <w:w w:val="99"/>
              </w:rPr>
              <w:t>Amounts reclassified from accumulated other comprehensive loss</w:t>
            </w:r>
            <w:r>
              <w:rPr>
                <w:rFonts w:ascii="Arial" w:cs="Arial" w:eastAsia="Arial" w:hAnsi="Arial"/>
                <w:sz w:val="25"/>
                <w:szCs w:val="25"/>
                <w:color w:val="auto"/>
                <w:w w:val="99"/>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4"/>
        </w:trPr>
        <w:tc>
          <w:tcPr>
            <w:tcW w:w="5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0" w:type="dxa"/>
            <w:vAlign w:val="bottom"/>
          </w:tcPr>
          <w:p>
            <w:pPr>
              <w:spacing w:after="0"/>
              <w:rPr>
                <w:sz w:val="1"/>
                <w:szCs w:val="1"/>
                <w:color w:val="auto"/>
              </w:rPr>
            </w:pPr>
          </w:p>
        </w:tc>
      </w:tr>
      <w:tr>
        <w:trPr>
          <w:trHeight w:val="270"/>
        </w:trPr>
        <w:tc>
          <w:tcPr>
            <w:tcW w:w="5480" w:type="dxa"/>
            <w:vAlign w:val="bottom"/>
            <w:gridSpan w:val="2"/>
          </w:tcPr>
          <w:p>
            <w:pPr>
              <w:ind w:left="40"/>
              <w:spacing w:after="0" w:line="270" w:lineRule="exact"/>
              <w:rPr>
                <w:sz w:val="20"/>
                <w:szCs w:val="20"/>
                <w:color w:val="auto"/>
              </w:rPr>
            </w:pPr>
            <w:r>
              <w:rPr>
                <w:rFonts w:ascii="Arial" w:cs="Arial" w:eastAsia="Arial" w:hAnsi="Arial"/>
                <w:sz w:val="18"/>
                <w:szCs w:val="18"/>
                <w:color w:val="auto"/>
                <w:w w:val="99"/>
              </w:rPr>
              <w:t>Amounts reclassified from accumulated other comprehensive loss</w:t>
            </w:r>
            <w:r>
              <w:rPr>
                <w:rFonts w:ascii="Arial" w:cs="Arial" w:eastAsia="Arial" w:hAnsi="Arial"/>
                <w:sz w:val="25"/>
                <w:szCs w:val="25"/>
                <w:color w:val="auto"/>
                <w:w w:val="99"/>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63"/>
        </w:trPr>
        <w:tc>
          <w:tcPr>
            <w:tcW w:w="5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50"/>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28,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(31,100)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(13,826)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8255</wp:posOffset>
            </wp:positionV>
            <wp:extent cx="363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5" w:lineRule="exact"/>
        <w:rPr>
          <w:sz w:val="20"/>
          <w:szCs w:val="20"/>
          <w:color w:val="auto"/>
        </w:rPr>
      </w:pPr>
    </w:p>
    <w:p>
      <w:pPr>
        <w:ind w:left="160" w:hanging="125"/>
        <w:spacing w:after="0"/>
        <w:tabs>
          <w:tab w:leader="none" w:pos="160" w:val="left"/>
        </w:tabs>
        <w:numPr>
          <w:ilvl w:val="0"/>
          <w:numId w:val="29"/>
        </w:numPr>
        <w:rPr>
          <w:rFonts w:ascii="Arial" w:cs="Arial" w:eastAsia="Arial" w:hAnsi="Arial"/>
          <w:sz w:val="9"/>
          <w:szCs w:val="9"/>
          <w:color w:val="auto"/>
        </w:rPr>
      </w:pPr>
      <w:r>
        <w:rPr>
          <w:rFonts w:ascii="Arial" w:cs="Arial" w:eastAsia="Arial" w:hAnsi="Arial"/>
          <w:sz w:val="14"/>
          <w:szCs w:val="14"/>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-98425</wp:posOffset>
            </wp:positionV>
            <wp:extent cx="3634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6" w:right="35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SUMMARY OF QUARTERLY DATA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2020</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3"/>
                <w:szCs w:val="13"/>
                <w:color w:val="auto"/>
              </w:rPr>
            </w:pPr>
          </w:p>
        </w:tc>
        <w:tc>
          <w:tcPr>
            <w:tcW w:w="11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238,451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252,566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258,970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238,492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113,557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49,739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40,907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2019</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1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241,581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249,295</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83,244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111,907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111,175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111,210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18,726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6" w:right="3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March 28, 2020.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March 28, 2020.</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28, 2020 that have materially affected, or are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320" w:top="130" w:right="3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Haemonetics Corporation and subsidiaries’ internal control over financial reporting as of March 28, 2020,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28, 2020,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2020 consolidated financial statements of the Company and our report dated May 20, 2020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30" w:right="3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adopted a Code of Ethics that applies to our Chief Executive Officer, Chief Financial Officer and senior financial officers. The Code of Ethics is incorporated into the Company’s Code of Conduct located on the Company’s website </w:t>
      </w:r>
      <w:r>
        <w:rPr>
          <w:rFonts w:ascii="Arial" w:cs="Arial" w:eastAsia="Arial" w:hAnsi="Arial"/>
          <w:sz w:val="16"/>
          <w:szCs w:val="16"/>
          <w:i w:val="1"/>
          <w:iCs w:val="1"/>
          <w:color w:val="auto"/>
        </w:rPr>
        <w:t>www.haemonetics.com</w:t>
      </w:r>
      <w:r>
        <w:rPr>
          <w:rFonts w:ascii="Arial" w:cs="Arial" w:eastAsia="Arial" w:hAnsi="Arial"/>
          <w:sz w:val="16"/>
          <w:szCs w:val="16"/>
          <w:color w:val="auto"/>
        </w:rPr>
        <w:t>, under the “About Haemonetics” menu, under the “Investor Relations Home”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18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30" w:right="37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A)</w:t>
            </w:r>
          </w:p>
        </w:tc>
        <w:tc>
          <w:tcPr>
            <w:tcW w:w="760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3040" w:type="dxa"/>
            <w:vAlign w:val="bottom"/>
          </w:tcPr>
          <w:p>
            <w:pPr>
              <w:spacing w:after="0"/>
              <w:rPr>
                <w:sz w:val="20"/>
                <w:szCs w:val="20"/>
                <w:color w:val="auto"/>
              </w:rPr>
            </w:pPr>
          </w:p>
        </w:tc>
      </w:tr>
      <w:tr>
        <w:trPr>
          <w:trHeight w:val="378"/>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3040" w:type="dxa"/>
            <w:vAlign w:val="bottom"/>
          </w:tcPr>
          <w:p>
            <w:pPr>
              <w:spacing w:after="0"/>
              <w:rPr>
                <w:sz w:val="24"/>
                <w:szCs w:val="24"/>
                <w:color w:val="auto"/>
              </w:rPr>
            </w:pPr>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Report of Independent Registered Public Accounting Firm</w:t>
              </w:r>
            </w:hyperlink>
          </w:p>
        </w:tc>
        <w:tc>
          <w:tcPr>
            <w:tcW w:w="304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Income</w:t>
              </w:r>
            </w:hyperlink>
          </w:p>
        </w:tc>
        <w:tc>
          <w:tcPr>
            <w:tcW w:w="304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Comprehensive Income</w:t>
              </w:r>
            </w:hyperlink>
          </w:p>
        </w:tc>
        <w:tc>
          <w:tcPr>
            <w:tcW w:w="304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Balance Sheets</w:t>
              </w:r>
            </w:hyperlink>
          </w:p>
        </w:tc>
        <w:tc>
          <w:tcPr>
            <w:tcW w:w="304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r>
      <w:tr>
        <w:trPr>
          <w:trHeight w:val="230"/>
        </w:trPr>
        <w:tc>
          <w:tcPr>
            <w:tcW w:w="8120" w:type="dxa"/>
            <w:vAlign w:val="bottom"/>
            <w:gridSpan w:val="4"/>
          </w:tcPr>
          <w:p>
            <w:pPr>
              <w:ind w:left="180"/>
              <w:spacing w:after="0"/>
              <w:rPr>
                <w:rFonts w:ascii="Arial" w:cs="Arial" w:eastAsia="Arial" w:hAnsi="Arial"/>
                <w:sz w:val="18"/>
                <w:szCs w:val="18"/>
                <w:color w:val="0000FF"/>
              </w:rPr>
            </w:pPr>
            <w:hyperlink w:anchor="page50">
              <w:r>
                <w:rPr>
                  <w:rFonts w:ascii="Arial" w:cs="Arial" w:eastAsia="Arial" w:hAnsi="Arial"/>
                  <w:sz w:val="18"/>
                  <w:szCs w:val="18"/>
                  <w:u w:val="single" w:color="auto"/>
                  <w:color w:val="0000FF"/>
                </w:rPr>
                <w:t>Consolidated Statements of Stockholders’</w:t>
              </w:r>
              <w:r>
                <w:rPr>
                  <w:rFonts w:ascii="Arial" w:cs="Arial" w:eastAsia="Arial" w:hAnsi="Arial"/>
                  <w:sz w:val="18"/>
                  <w:szCs w:val="18"/>
                  <w:color w:val="0000FF"/>
                </w:rPr>
                <w:t xml:space="preserve"> Equ</w:t>
              </w:r>
            </w:hyperlink>
            <w:r>
              <w:rPr>
                <w:rFonts w:ascii="Arial" w:cs="Arial" w:eastAsia="Arial" w:hAnsi="Arial"/>
                <w:sz w:val="18"/>
                <w:szCs w:val="18"/>
                <w:color w:val="0000FF"/>
              </w:rPr>
              <w:t>ity</w:t>
            </w:r>
          </w:p>
        </w:tc>
        <w:tc>
          <w:tcPr>
            <w:tcW w:w="304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290"/>
        </w:trPr>
        <w:tc>
          <w:tcPr>
            <w:tcW w:w="3520" w:type="dxa"/>
            <w:vAlign w:val="bottom"/>
            <w:gridSpan w:val="2"/>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Cash Flows</w:t>
              </w:r>
            </w:hyperlink>
          </w:p>
        </w:tc>
        <w:tc>
          <w:tcPr>
            <w:tcW w:w="200" w:type="dxa"/>
            <w:vAlign w:val="bottom"/>
            <w:tcBorders>
              <w:top w:val="single" w:sz="8" w:color="0000FF"/>
            </w:tcBorders>
          </w:tcPr>
          <w:p>
            <w:pPr>
              <w:spacing w:after="0"/>
              <w:rPr>
                <w:sz w:val="24"/>
                <w:szCs w:val="24"/>
                <w:color w:val="auto"/>
              </w:rPr>
            </w:pPr>
          </w:p>
        </w:tc>
        <w:tc>
          <w:tcPr>
            <w:tcW w:w="4400" w:type="dxa"/>
            <w:vAlign w:val="bottom"/>
          </w:tcPr>
          <w:p>
            <w:pPr>
              <w:spacing w:after="0"/>
              <w:rPr>
                <w:sz w:val="24"/>
                <w:szCs w:val="24"/>
                <w:color w:val="auto"/>
              </w:rPr>
            </w:pPr>
          </w:p>
        </w:tc>
        <w:tc>
          <w:tcPr>
            <w:tcW w:w="304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Notes to Consolidated Financial Statements</w:t>
              </w:r>
            </w:hyperlink>
          </w:p>
        </w:tc>
        <w:tc>
          <w:tcPr>
            <w:tcW w:w="304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tc>
      </w:tr>
      <w:tr>
        <w:trPr>
          <w:trHeight w:val="270"/>
        </w:trPr>
        <w:tc>
          <w:tcPr>
            <w:tcW w:w="8120" w:type="dxa"/>
            <w:vAlign w:val="bottom"/>
            <w:gridSpan w:val="4"/>
          </w:tcPr>
          <w:p>
            <w:pPr>
              <w:spacing w:after="0"/>
              <w:rPr>
                <w:sz w:val="20"/>
                <w:szCs w:val="20"/>
                <w:color w:val="auto"/>
              </w:rPr>
            </w:pPr>
            <w:r>
              <w:rPr>
                <w:rFonts w:ascii="Arial" w:cs="Arial" w:eastAsia="Arial" w:hAnsi="Arial"/>
                <w:sz w:val="18"/>
                <w:szCs w:val="18"/>
                <w:color w:val="auto"/>
              </w:rPr>
              <w:t>Schedules required by Article 12 of Regulation S-X</w:t>
            </w:r>
          </w:p>
        </w:tc>
        <w:tc>
          <w:tcPr>
            <w:tcW w:w="3040" w:type="dxa"/>
            <w:vAlign w:val="bottom"/>
          </w:tcPr>
          <w:p>
            <w:pPr>
              <w:spacing w:after="0"/>
              <w:rPr>
                <w:sz w:val="23"/>
                <w:szCs w:val="23"/>
                <w:color w:val="auto"/>
              </w:rPr>
            </w:pPr>
          </w:p>
        </w:tc>
      </w:tr>
      <w:tr>
        <w:trPr>
          <w:trHeight w:val="270"/>
        </w:trPr>
        <w:tc>
          <w:tcPr>
            <w:tcW w:w="8120" w:type="dxa"/>
            <w:vAlign w:val="bottom"/>
            <w:gridSpan w:val="4"/>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II Valuation and Qualifying Accounts</w:t>
              </w:r>
            </w:hyperlink>
          </w:p>
        </w:tc>
        <w:tc>
          <w:tcPr>
            <w:tcW w:w="304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98</w:t>
              </w:r>
            </w:hyperlink>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127" w:lineRule="exact"/>
        <w:rPr>
          <w:sz w:val="20"/>
          <w:szCs w:val="20"/>
          <w:color w:val="auto"/>
        </w:rPr>
      </w:pPr>
    </w:p>
    <w:p>
      <w:pPr>
        <w:ind w:left="840" w:hanging="832"/>
        <w:spacing w:after="0"/>
        <w:tabs>
          <w:tab w:leader="none" w:pos="84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320" w:top="130" w:right="4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EXHIBITS FILED WITH SECURITIES AND EXCHANGE COMMISSION</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Number and Description of Exhibit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Articles of Organization</w:t>
      </w:r>
    </w:p>
    <w:p>
      <w:pPr>
        <w:sectPr>
          <w:pgSz w:w="11900" w:h="16838" w:orient="portrait"/>
          <w:cols w:equalWidth="0" w:num="1">
            <w:col w:w="11160"/>
          </w:cols>
          <w:pgMar w:left="320" w:top="130" w:right="419" w:bottom="1440" w:gutter="0" w:footer="0" w:header="0"/>
        </w:sectPr>
      </w:pPr>
    </w:p>
    <w:p>
      <w:pPr>
        <w:spacing w:after="0" w:line="67" w:lineRule="exact"/>
        <w:rPr>
          <w:sz w:val="20"/>
          <w:szCs w:val="20"/>
          <w:color w:val="auto"/>
        </w:rPr>
      </w:pPr>
    </w:p>
    <w:p>
      <w:pPr>
        <w:ind w:left="40"/>
        <w:spacing w:after="0"/>
        <w:rPr>
          <w:rFonts w:ascii="Arial" w:cs="Arial" w:eastAsia="Arial" w:hAnsi="Arial"/>
          <w:sz w:val="17"/>
          <w:szCs w:val="17"/>
          <w:u w:val="single" w:color="auto"/>
          <w:color w:val="0000FF"/>
        </w:rPr>
      </w:pPr>
      <w:hyperlink r:id="rId17">
        <w:r>
          <w:rPr>
            <w:rFonts w:ascii="Arial" w:cs="Arial" w:eastAsia="Arial" w:hAnsi="Arial"/>
            <w:sz w:val="17"/>
            <w:szCs w:val="17"/>
            <w:u w:val="single" w:color="auto"/>
            <w:color w:val="0000FF"/>
          </w:rPr>
          <w:t>3A</w:t>
        </w:r>
      </w:hyperlink>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140"/>
        <w:spacing w:after="0" w:line="316" w:lineRule="auto"/>
        <w:rPr>
          <w:sz w:val="20"/>
          <w:szCs w:val="20"/>
          <w:color w:val="auto"/>
        </w:rPr>
      </w:pPr>
      <w:r>
        <w:rPr>
          <w:rFonts w:ascii="Arial" w:cs="Arial" w:eastAsia="Arial" w:hAnsi="Arial"/>
          <w:sz w:val="16"/>
          <w:szCs w:val="16"/>
          <w:color w:val="auto"/>
        </w:rPr>
        <w:t>Restated Articles of Organization of Haemonetics Corporation, reflecting Articles of Amendment dated August 23, 1993, August 21, 2006, July 26, 2018 and July 25, 2019 (filed as Exhibit 3.1 to the Company's Form 8-K dated July 29, 2019 and incorporated herein by reference).</w:t>
      </w:r>
    </w:p>
    <w:p>
      <w:pPr>
        <w:spacing w:after="0" w:line="2" w:lineRule="exact"/>
        <w:rPr>
          <w:sz w:val="20"/>
          <w:szCs w:val="20"/>
          <w:color w:val="auto"/>
        </w:rPr>
      </w:pPr>
    </w:p>
    <w:p>
      <w:pPr>
        <w:sectPr>
          <w:pgSz w:w="11900" w:h="16838" w:orient="portrait"/>
          <w:cols w:equalWidth="0" w:num="2">
            <w:col w:w="260" w:space="680"/>
            <w:col w:w="10220"/>
          </w:cols>
          <w:pgMar w:left="320" w:top="130" w:right="419" w:bottom="1440" w:gutter="0" w:footer="0" w:header="0"/>
          <w:type w:val="continuous"/>
        </w:sectPr>
      </w:pPr>
    </w:p>
    <w:p>
      <w:pPr>
        <w:ind w:left="40"/>
        <w:spacing w:after="0"/>
        <w:rPr>
          <w:rFonts w:ascii="Arial" w:cs="Arial" w:eastAsia="Arial" w:hAnsi="Arial"/>
          <w:sz w:val="16"/>
          <w:szCs w:val="16"/>
          <w:u w:val="single" w:color="auto"/>
          <w:color w:val="0000FF"/>
        </w:rPr>
      </w:pPr>
      <w:hyperlink r:id="rId18">
        <w:r>
          <w:rPr>
            <w:rFonts w:ascii="Arial" w:cs="Arial" w:eastAsia="Arial" w:hAnsi="Arial"/>
            <w:sz w:val="16"/>
            <w:szCs w:val="16"/>
            <w:u w:val="single" w:color="auto"/>
            <w:color w:val="0000FF"/>
          </w:rPr>
          <w:t>3B</w:t>
        </w:r>
      </w:hyperlink>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By-Laws of the Company, as amended through July 25, 2019 (filed as Exhibit 3.3 to the Company's Form 8-K dated July 29, 2019 and incorporated herein by reference).</w:t>
      </w:r>
    </w:p>
    <w:p>
      <w:pPr>
        <w:spacing w:after="0" w:line="200" w:lineRule="exact"/>
        <w:rPr>
          <w:sz w:val="20"/>
          <w:szCs w:val="20"/>
          <w:color w:val="auto"/>
        </w:rPr>
      </w:pPr>
    </w:p>
    <w:p>
      <w:pPr>
        <w:sectPr>
          <w:pgSz w:w="11900" w:h="16838" w:orient="portrait"/>
          <w:cols w:equalWidth="0" w:num="2">
            <w:col w:w="240" w:space="700"/>
            <w:col w:w="10220"/>
          </w:cols>
          <w:pgMar w:left="320" w:top="130" w:right="419" w:bottom="1440" w:gutter="0" w:footer="0" w:header="0"/>
          <w:type w:val="continuous"/>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Instruments Defining the Rights of Security Holders</w:t>
      </w:r>
    </w:p>
    <w:p>
      <w:pPr>
        <w:sectPr>
          <w:pgSz w:w="11900" w:h="16838" w:orient="portrait"/>
          <w:cols w:equalWidth="0" w:num="1">
            <w:col w:w="11160"/>
          </w:cols>
          <w:pgMar w:left="320" w:top="130" w:right="41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4A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Specimen certificate for shares of common stock (filed as Exhibit 4B to the Company's Amendment No. 1 to Form S-1 No. 33-39490 and incorporated herein by reference).</w:t>
      </w:r>
    </w:p>
    <w:p>
      <w:pPr>
        <w:spacing w:after="0" w:line="8" w:lineRule="exact"/>
        <w:rPr>
          <w:sz w:val="20"/>
          <w:szCs w:val="20"/>
          <w:color w:val="auto"/>
        </w:rPr>
      </w:pPr>
    </w:p>
    <w:p>
      <w:pPr>
        <w:sectPr>
          <w:pgSz w:w="11900" w:h="16838" w:orient="portrait"/>
          <w:cols w:equalWidth="0" w:num="2">
            <w:col w:w="260" w:space="660"/>
            <w:col w:w="10240"/>
          </w:cols>
          <w:pgMar w:left="320" w:top="130" w:right="419" w:bottom="1440" w:gutter="0" w:footer="0" w:header="0"/>
          <w:type w:val="continuous"/>
        </w:sectPr>
      </w:pPr>
    </w:p>
    <w:p>
      <w:pPr>
        <w:ind w:left="4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4B*</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Description of Common Stock</w:t>
      </w:r>
    </w:p>
    <w:p>
      <w:pPr>
        <w:spacing w:after="0" w:line="222" w:lineRule="exact"/>
        <w:rPr>
          <w:sz w:val="20"/>
          <w:szCs w:val="20"/>
          <w:color w:val="auto"/>
        </w:rPr>
      </w:pPr>
    </w:p>
    <w:p>
      <w:pPr>
        <w:sectPr>
          <w:pgSz w:w="11900" w:h="16838" w:orient="portrait"/>
          <w:cols w:equalWidth="0" w:num="2">
            <w:col w:w="340" w:space="600"/>
            <w:col w:w="10220"/>
          </w:cols>
          <w:pgMar w:left="320" w:top="130" w:right="41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Material Contracts</w:t>
      </w:r>
    </w:p>
    <w:p>
      <w:pPr>
        <w:spacing w:after="0" w:line="67" w:lineRule="exact"/>
        <w:rPr>
          <w:sz w:val="20"/>
          <w:szCs w:val="20"/>
          <w:color w:val="auto"/>
        </w:rPr>
      </w:pPr>
    </w:p>
    <w:p>
      <w:pPr>
        <w:ind w:left="940" w:right="2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w:t>
      </w:r>
      <w:r>
        <w:rPr>
          <w:sz w:val="20"/>
          <w:szCs w:val="20"/>
          <w:color w:val="auto"/>
        </w:rPr>
        <w:tab/>
      </w:r>
      <w:r>
        <w:rPr>
          <w:rFonts w:ascii="Arial" w:cs="Arial" w:eastAsia="Arial" w:hAnsi="Arial"/>
          <w:sz w:val="18"/>
          <w:szCs w:val="18"/>
          <w:color w:val="auto"/>
        </w:rPr>
        <w:t>Haemonetics Corporation 2005 Long-Term Incentive Compensation Plan, reflecting amendments dated July 31, 2008, July 29, 2009, July 21, 2011, November 30, 2012, July 24, 2013, January 21, 2014, and July 23, 2014 (filed as Exhibit 10.1 to the Company's Form 8-K dated July 25, 2014 and incorporated herein by reference).</w:t>
      </w:r>
    </w:p>
    <w:p>
      <w:pPr>
        <w:spacing w:after="0" w:line="22" w:lineRule="exact"/>
        <w:rPr>
          <w:sz w:val="20"/>
          <w:szCs w:val="20"/>
          <w:color w:val="auto"/>
        </w:rPr>
      </w:pPr>
    </w:p>
    <w:p>
      <w:pPr>
        <w:ind w:left="940" w:right="26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10B†</w:t>
      </w:r>
      <w:r>
        <w:rPr>
          <w:sz w:val="20"/>
          <w:szCs w:val="20"/>
          <w:color w:val="auto"/>
        </w:rPr>
        <w:tab/>
      </w:r>
      <w:r>
        <w:rPr>
          <w:rFonts w:ascii="Arial" w:cs="Arial" w:eastAsia="Arial" w:hAnsi="Arial"/>
          <w:sz w:val="18"/>
          <w:szCs w:val="18"/>
          <w:color w:val="auto"/>
        </w:rPr>
        <w:t>Haemonetics Corporation 2019 Long-Term Incentive Compensation Plan (filed as Exhibit 10.1 to the Company's Form 8-K dated July 29, 2019 and incorporated herein by reference).</w:t>
      </w:r>
    </w:p>
    <w:p>
      <w:pPr>
        <w:spacing w:after="0" w:line="8" w:lineRule="exact"/>
        <w:rPr>
          <w:sz w:val="20"/>
          <w:szCs w:val="20"/>
          <w:color w:val="auto"/>
        </w:rPr>
      </w:pPr>
    </w:p>
    <w:p>
      <w:pPr>
        <w:ind w:left="940" w:right="22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10C†</w:t>
      </w:r>
      <w:r>
        <w:rPr>
          <w:sz w:val="20"/>
          <w:szCs w:val="20"/>
          <w:color w:val="auto"/>
        </w:rPr>
        <w:tab/>
      </w:r>
      <w:r>
        <w:rPr>
          <w:rFonts w:ascii="Arial" w:cs="Arial" w:eastAsia="Arial" w:hAnsi="Arial"/>
          <w:sz w:val="16"/>
          <w:szCs w:val="16"/>
          <w:color w:val="auto"/>
        </w:rPr>
        <w:t>Form of Non-Qualified Stock Option Award Agreement under 2005 Long Term-Incentive Compensation Plan for Non-employee Directors (filed as Exhibit 10.1 to the Company's Form 10-Q for the quarter ended October 1, 2005 and incorporated herein by reference).</w:t>
      </w:r>
    </w:p>
    <w:p>
      <w:pPr>
        <w:spacing w:after="0" w:line="2" w:lineRule="exact"/>
        <w:rPr>
          <w:sz w:val="20"/>
          <w:szCs w:val="20"/>
          <w:color w:val="auto"/>
        </w:rPr>
      </w:pPr>
    </w:p>
    <w:p>
      <w:pPr>
        <w:ind w:left="94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10D†</w:t>
      </w:r>
      <w:r>
        <w:rPr>
          <w:sz w:val="20"/>
          <w:szCs w:val="20"/>
          <w:color w:val="auto"/>
        </w:rPr>
        <w:tab/>
      </w:r>
      <w:r>
        <w:rPr>
          <w:rFonts w:ascii="Arial" w:cs="Arial" w:eastAsia="Arial" w:hAnsi="Arial"/>
          <w:sz w:val="17"/>
          <w:szCs w:val="17"/>
          <w:color w:val="auto"/>
        </w:rPr>
        <w:t>Form of Non-Qualified Stock Option Award Agreement under 2005 Long-Term Incentive Compensation Plan for Employees (filed as Exhibit 10S to the Company's Form 10-K for the fiscal year ended March 30, 2010 and incorporated herein by reference).</w:t>
      </w:r>
    </w:p>
    <w:p>
      <w:pPr>
        <w:spacing w:after="0" w:line="1" w:lineRule="exact"/>
        <w:rPr>
          <w:sz w:val="20"/>
          <w:szCs w:val="20"/>
          <w:color w:val="auto"/>
        </w:rPr>
      </w:pPr>
    </w:p>
    <w:p>
      <w:pPr>
        <w:jc w:val="both"/>
        <w:ind w:left="940" w:right="26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10E†</w:t>
      </w:r>
      <w:r>
        <w:rPr>
          <w:sz w:val="20"/>
          <w:szCs w:val="20"/>
          <w:color w:val="auto"/>
        </w:rPr>
        <w:tab/>
      </w:r>
      <w:r>
        <w:rPr>
          <w:rFonts w:ascii="Arial" w:cs="Arial" w:eastAsia="Arial" w:hAnsi="Arial"/>
          <w:sz w:val="16"/>
          <w:szCs w:val="16"/>
          <w:color w:val="auto"/>
        </w:rPr>
        <w:t>Form of Non-Qualified Stock Option Award Agreement under the 2005 Long-Term Incentive Compensation Plan for Employees (adopted fiscal 2019) (filed as Exhibit 10.2 to the Company's Form 10-Q for the quarter ended June 30, 2018 and incorporated herein by reference).</w:t>
      </w:r>
    </w:p>
    <w:p>
      <w:pPr>
        <w:spacing w:after="0" w:line="2" w:lineRule="exact"/>
        <w:rPr>
          <w:sz w:val="20"/>
          <w:szCs w:val="20"/>
          <w:color w:val="auto"/>
        </w:rPr>
      </w:pPr>
    </w:p>
    <w:p>
      <w:pPr>
        <w:ind w:left="940" w:right="10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10F†</w:t>
      </w:r>
      <w:r>
        <w:rPr>
          <w:sz w:val="20"/>
          <w:szCs w:val="20"/>
          <w:color w:val="auto"/>
        </w:rPr>
        <w:tab/>
      </w:r>
      <w:r>
        <w:rPr>
          <w:rFonts w:ascii="Arial" w:cs="Arial" w:eastAsia="Arial" w:hAnsi="Arial"/>
          <w:sz w:val="17"/>
          <w:szCs w:val="17"/>
          <w:color w:val="auto"/>
        </w:rPr>
        <w:t>Form of Non-Qualified Stock Option Award Agreement under 2019 Long-Term Incentive Compensation Plan (adopted fiscal 2020) (filed as Exhibit 10.4 to the Company's Form 10-Q for the quarter ended September 28, 2019 and incorporated herein by reference).</w:t>
      </w:r>
    </w:p>
    <w:p>
      <w:pPr>
        <w:spacing w:after="0" w:line="1" w:lineRule="exact"/>
        <w:rPr>
          <w:sz w:val="20"/>
          <w:szCs w:val="20"/>
          <w:color w:val="auto"/>
        </w:rPr>
      </w:pPr>
    </w:p>
    <w:p>
      <w:pPr>
        <w:ind w:left="940" w:right="8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10G†</w:t>
      </w:r>
      <w:r>
        <w:rPr>
          <w:sz w:val="20"/>
          <w:szCs w:val="20"/>
          <w:color w:val="auto"/>
        </w:rPr>
        <w:tab/>
      </w:r>
      <w:r>
        <w:rPr>
          <w:rFonts w:ascii="Arial" w:cs="Arial" w:eastAsia="Arial" w:hAnsi="Arial"/>
          <w:sz w:val="16"/>
          <w:szCs w:val="16"/>
          <w:color w:val="auto"/>
        </w:rPr>
        <w:t>Form of Restricted Stock Unit Award Agreement with Non-Employee Directors under 2005 Long-Term Incentive Compensation Plan (fiscal 2019) (filed as Exhibit 10.5 to the Company's Form 10-Q for the quarter ended June 30, 2018 and incorporated herein by reference).</w:t>
      </w:r>
    </w:p>
    <w:p>
      <w:pPr>
        <w:spacing w:after="0" w:line="2" w:lineRule="exact"/>
        <w:rPr>
          <w:sz w:val="20"/>
          <w:szCs w:val="20"/>
          <w:color w:val="auto"/>
        </w:rPr>
      </w:pPr>
    </w:p>
    <w:p>
      <w:pPr>
        <w:ind w:left="940" w:right="8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10H†</w:t>
      </w:r>
      <w:r>
        <w:rPr>
          <w:sz w:val="20"/>
          <w:szCs w:val="20"/>
          <w:color w:val="auto"/>
        </w:rPr>
        <w:tab/>
      </w:r>
      <w:r>
        <w:rPr>
          <w:rFonts w:ascii="Arial" w:cs="Arial" w:eastAsia="Arial" w:hAnsi="Arial"/>
          <w:sz w:val="16"/>
          <w:szCs w:val="16"/>
          <w:color w:val="auto"/>
        </w:rPr>
        <w:t>Form of Restricted Stock Unit Award Agreement with Non-Employee Directors under 2019 Long-Term Incentive Compensation Plan (fiscal 2020) (filed as Exhibit 10.2 to the Company's Form 10-Q for the quarter ended September 28, 2019 and incorporated herein by reference).</w:t>
      </w:r>
    </w:p>
    <w:p>
      <w:pPr>
        <w:spacing w:after="0" w:line="2" w:lineRule="exact"/>
        <w:rPr>
          <w:sz w:val="20"/>
          <w:szCs w:val="20"/>
          <w:color w:val="auto"/>
        </w:rPr>
      </w:pPr>
    </w:p>
    <w:p>
      <w:pPr>
        <w:ind w:left="940" w:right="2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10I†</w:t>
      </w:r>
      <w:r>
        <w:rPr>
          <w:sz w:val="20"/>
          <w:szCs w:val="20"/>
          <w:color w:val="auto"/>
        </w:rPr>
        <w:tab/>
      </w:r>
      <w:r>
        <w:rPr>
          <w:rFonts w:ascii="Arial" w:cs="Arial" w:eastAsia="Arial" w:hAnsi="Arial"/>
          <w:sz w:val="18"/>
          <w:szCs w:val="18"/>
          <w:color w:val="auto"/>
        </w:rPr>
        <w:t>Form of Restricted Stock Unit Award Agreement with Employees under 2005 Long-Term Incentive Compensation Plan (filed as Exhibit 10U to the Company's Form 10-K for the year ended April 3, 2010 and incorporated herein by reference).</w:t>
      </w:r>
    </w:p>
    <w:p>
      <w:pPr>
        <w:spacing w:after="0" w:line="8" w:lineRule="exact"/>
        <w:rPr>
          <w:sz w:val="20"/>
          <w:szCs w:val="20"/>
          <w:color w:val="auto"/>
        </w:rPr>
      </w:pPr>
    </w:p>
    <w:p>
      <w:pPr>
        <w:ind w:left="940" w:right="2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10J†</w:t>
      </w:r>
      <w:r>
        <w:rPr>
          <w:sz w:val="20"/>
          <w:szCs w:val="20"/>
          <w:color w:val="auto"/>
        </w:rPr>
        <w:tab/>
      </w:r>
      <w:r>
        <w:rPr>
          <w:rFonts w:ascii="Arial" w:cs="Arial" w:eastAsia="Arial" w:hAnsi="Arial"/>
          <w:sz w:val="17"/>
          <w:szCs w:val="17"/>
          <w:color w:val="auto"/>
        </w:rPr>
        <w:t>Form of Restricted Stock Unit Award Agreement with Employees under 2005 Long-Term Incentive Compensation Plan (adopted fiscal 2019) (filed as Exhibit 10.4 to the Company's Form 10-Q for the quarter ended June 30, 2018 and incorporated herein by reference).</w:t>
      </w:r>
    </w:p>
    <w:p>
      <w:pPr>
        <w:spacing w:after="0" w:line="1" w:lineRule="exact"/>
        <w:rPr>
          <w:sz w:val="20"/>
          <w:szCs w:val="20"/>
          <w:color w:val="auto"/>
        </w:rPr>
      </w:pPr>
    </w:p>
    <w:p>
      <w:pPr>
        <w:ind w:left="940" w:right="2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10K†</w:t>
      </w:r>
      <w:r>
        <w:rPr>
          <w:sz w:val="20"/>
          <w:szCs w:val="20"/>
          <w:color w:val="auto"/>
        </w:rPr>
        <w:tab/>
      </w:r>
      <w:r>
        <w:rPr>
          <w:rFonts w:ascii="Arial" w:cs="Arial" w:eastAsia="Arial" w:hAnsi="Arial"/>
          <w:sz w:val="16"/>
          <w:szCs w:val="16"/>
          <w:color w:val="auto"/>
        </w:rPr>
        <w:t>Form of Restricted Stock Unit Award Agreement with Employees under 2019 Long-Term Incentive Compensation Plan (adopted fiscal 2020) (filed as Exhibit 10.3 to the Company's Form 10-Q for the quarter ended September 28, 2019 and incorporated herein by reference).</w:t>
      </w:r>
    </w:p>
    <w:p>
      <w:pPr>
        <w:spacing w:after="0" w:line="2" w:lineRule="exact"/>
        <w:rPr>
          <w:sz w:val="20"/>
          <w:szCs w:val="20"/>
          <w:color w:val="auto"/>
        </w:rPr>
      </w:pPr>
    </w:p>
    <w:p>
      <w:pPr>
        <w:ind w:left="940" w:right="38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10L†</w:t>
      </w:r>
      <w:r>
        <w:rPr>
          <w:sz w:val="20"/>
          <w:szCs w:val="20"/>
          <w:color w:val="auto"/>
        </w:rPr>
        <w:tab/>
      </w:r>
      <w:r>
        <w:rPr>
          <w:rFonts w:ascii="Arial" w:cs="Arial" w:eastAsia="Arial" w:hAnsi="Arial"/>
          <w:sz w:val="16"/>
          <w:szCs w:val="16"/>
          <w:color w:val="auto"/>
        </w:rPr>
        <w:t>Form of Performance Share Unit Award Agreement Under 2005 Long-Term Incentive Compensation Plan (rTSR Metrics, adopted fiscal 2017) (filed as Exhibit 10AN to the Company's Form 10-K for the year ended March 31, 2018 and incorporated herein by reference).</w:t>
      </w:r>
    </w:p>
    <w:p>
      <w:pPr>
        <w:spacing w:after="0" w:line="2" w:lineRule="exact"/>
        <w:rPr>
          <w:sz w:val="20"/>
          <w:szCs w:val="20"/>
          <w:color w:val="auto"/>
        </w:rPr>
      </w:pPr>
    </w:p>
    <w:p>
      <w:pPr>
        <w:ind w:left="940" w:right="38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10M†</w:t>
      </w:r>
      <w:r>
        <w:rPr>
          <w:sz w:val="20"/>
          <w:szCs w:val="20"/>
          <w:color w:val="auto"/>
        </w:rPr>
        <w:tab/>
      </w:r>
      <w:r>
        <w:rPr>
          <w:rFonts w:ascii="Arial" w:cs="Arial" w:eastAsia="Arial" w:hAnsi="Arial"/>
          <w:sz w:val="16"/>
          <w:szCs w:val="16"/>
          <w:color w:val="auto"/>
        </w:rPr>
        <w:t>Form of Performance Share Unit Award Agreement Under 2005 Long-Term Incentive Compensation Plan (rTSR Metrics, adopted fiscal 2018) (filed as Exhibit 10AO to the Company's Form 10-K for the year ended March 31, 2018 and incorporated herein by reference).</w:t>
      </w:r>
    </w:p>
    <w:p>
      <w:pPr>
        <w:spacing w:after="0" w:line="2" w:lineRule="exact"/>
        <w:rPr>
          <w:sz w:val="20"/>
          <w:szCs w:val="20"/>
          <w:color w:val="auto"/>
        </w:rPr>
      </w:pPr>
    </w:p>
    <w:p>
      <w:pPr>
        <w:ind w:left="940" w:right="380" w:hanging="899"/>
        <w:spacing w:after="0" w:line="342" w:lineRule="auto"/>
        <w:tabs>
          <w:tab w:leader="none" w:pos="920" w:val="left"/>
        </w:tabs>
        <w:rPr>
          <w:sz w:val="20"/>
          <w:szCs w:val="20"/>
          <w:color w:val="auto"/>
        </w:rPr>
      </w:pPr>
      <w:r>
        <w:rPr>
          <w:rFonts w:ascii="Arial" w:cs="Arial" w:eastAsia="Arial" w:hAnsi="Arial"/>
          <w:sz w:val="16"/>
          <w:szCs w:val="16"/>
          <w:u w:val="single" w:color="auto"/>
          <w:color w:val="0000FF"/>
        </w:rPr>
        <w:t>10N†</w:t>
      </w:r>
      <w:r>
        <w:rPr>
          <w:sz w:val="20"/>
          <w:szCs w:val="20"/>
          <w:color w:val="auto"/>
        </w:rPr>
        <w:tab/>
      </w:r>
      <w:r>
        <w:rPr>
          <w:rFonts w:ascii="Arial" w:cs="Arial" w:eastAsia="Arial" w:hAnsi="Arial"/>
          <w:sz w:val="16"/>
          <w:szCs w:val="16"/>
          <w:color w:val="auto"/>
        </w:rPr>
        <w:t>Form of Performance Share Unit Award Agreement Under 2005 Long-Term Incentive Compensation Plan (rTSR Metrics, adopted fiscal 2019) (filed as Exhibit 10.3 to the Company's Form 10-Q for the quarter ended June 30, 2018 and incorporated herein by reference).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320" w:top="130" w:right="41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940" w:right="2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10O†</w:t>
      </w:r>
      <w:r>
        <w:rPr>
          <w:sz w:val="20"/>
          <w:szCs w:val="20"/>
          <w:color w:val="auto"/>
        </w:rPr>
        <w:tab/>
      </w:r>
      <w:r>
        <w:rPr>
          <w:rFonts w:ascii="Arial" w:cs="Arial" w:eastAsia="Arial" w:hAnsi="Arial"/>
          <w:sz w:val="16"/>
          <w:szCs w:val="16"/>
          <w:color w:val="auto"/>
        </w:rPr>
        <w:t>Form of Performance Share Unit Award Agreement Under 2005 Long-Term Incentive Compensation Plan (rTSR Metrics, adopted fiscal 2020) (filed herewith as Exhibit 10AV to the Company's Form 10-K for the year ended March 30, 2019 and incorporated herein by reference).</w:t>
      </w:r>
    </w:p>
    <w:p>
      <w:pPr>
        <w:spacing w:after="0" w:line="2" w:lineRule="exact"/>
        <w:rPr>
          <w:sz w:val="20"/>
          <w:szCs w:val="20"/>
          <w:color w:val="auto"/>
        </w:rPr>
      </w:pPr>
    </w:p>
    <w:p>
      <w:pPr>
        <w:jc w:val="both"/>
        <w:ind w:left="940" w:right="42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10P†</w:t>
      </w:r>
      <w:r>
        <w:rPr>
          <w:sz w:val="20"/>
          <w:szCs w:val="20"/>
          <w:color w:val="auto"/>
        </w:rPr>
        <w:tab/>
      </w:r>
      <w:r>
        <w:rPr>
          <w:rFonts w:ascii="Arial" w:cs="Arial" w:eastAsia="Arial" w:hAnsi="Arial"/>
          <w:sz w:val="18"/>
          <w:szCs w:val="18"/>
          <w:color w:val="auto"/>
        </w:rPr>
        <w:t>Form of Performance Share Unit Award Agreement Under 2019 Long-Term Incentive Compensation Plan (rTSR Metrics, adopted fiscal 2020) (filed herewith as Exhibit 10.5 to the Company's Form 10-Q for the quarter ended September 28, 2019 and incorporated herein by reference).</w:t>
      </w:r>
    </w:p>
    <w:p>
      <w:pPr>
        <w:spacing w:after="0" w:line="22" w:lineRule="exact"/>
        <w:rPr>
          <w:sz w:val="20"/>
          <w:szCs w:val="20"/>
          <w:color w:val="auto"/>
        </w:rPr>
      </w:pPr>
    </w:p>
    <w:p>
      <w:pPr>
        <w:ind w:left="940" w:right="26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10Q†</w:t>
      </w:r>
      <w:r>
        <w:rPr>
          <w:sz w:val="20"/>
          <w:szCs w:val="20"/>
          <w:color w:val="auto"/>
        </w:rPr>
        <w:tab/>
      </w:r>
      <w:r>
        <w:rPr>
          <w:rFonts w:ascii="Arial" w:cs="Arial" w:eastAsia="Arial" w:hAnsi="Arial"/>
          <w:sz w:val="18"/>
          <w:szCs w:val="18"/>
          <w:color w:val="auto"/>
        </w:rPr>
        <w:t>Amended and Restated 2007 Employee Stock Purchase Plan (as amended and restated on July 21, 2016 incorporated as Exhibit 10.2 to the Company’s Form 10-Q, for the quarter ended July 2, 2016 and incorporated herein by reference).</w:t>
      </w:r>
    </w:p>
    <w:p>
      <w:pPr>
        <w:spacing w:after="0" w:line="8" w:lineRule="exact"/>
        <w:rPr>
          <w:sz w:val="20"/>
          <w:szCs w:val="20"/>
          <w:color w:val="auto"/>
        </w:rPr>
      </w:pPr>
    </w:p>
    <w:p>
      <w:pPr>
        <w:ind w:left="940" w:right="30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10R†</w:t>
      </w:r>
      <w:r>
        <w:rPr>
          <w:sz w:val="20"/>
          <w:szCs w:val="20"/>
          <w:color w:val="auto"/>
        </w:rPr>
        <w:tab/>
      </w:r>
      <w:r>
        <w:rPr>
          <w:rFonts w:ascii="Arial" w:cs="Arial" w:eastAsia="Arial" w:hAnsi="Arial"/>
          <w:sz w:val="18"/>
          <w:szCs w:val="18"/>
          <w:color w:val="auto"/>
        </w:rPr>
        <w:t>Amended and Restated Non-Qualified Deferred Compensation Plan as amended and restated on July 24, 2013 (filed as Exhibit 10.2 to the Company's Form 8-K dated July 26, 2013 and incorporated herein by reference).</w:t>
      </w:r>
    </w:p>
    <w:p>
      <w:pPr>
        <w:spacing w:after="0" w:line="8" w:lineRule="exact"/>
        <w:rPr>
          <w:sz w:val="20"/>
          <w:szCs w:val="20"/>
          <w:color w:val="auto"/>
        </w:rPr>
      </w:pPr>
    </w:p>
    <w:p>
      <w:pPr>
        <w:ind w:left="940" w:right="12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10S†</w:t>
      </w:r>
      <w:r>
        <w:rPr>
          <w:sz w:val="20"/>
          <w:szCs w:val="20"/>
          <w:color w:val="auto"/>
        </w:rPr>
        <w:tab/>
      </w:r>
      <w:r>
        <w:rPr>
          <w:rFonts w:ascii="Arial" w:cs="Arial" w:eastAsia="Arial" w:hAnsi="Arial"/>
          <w:sz w:val="18"/>
          <w:szCs w:val="18"/>
          <w:color w:val="auto"/>
        </w:rPr>
        <w:t>Employment Agreement effective as of May 16, 2016 between the Company and Christopher Simon (filed as Exhibit 10.1 to the Company’s Form 8-K dated May 10, 2016 and incorporated herein by reference).</w:t>
      </w:r>
    </w:p>
    <w:p>
      <w:pPr>
        <w:spacing w:after="0" w:line="8" w:lineRule="exact"/>
        <w:rPr>
          <w:sz w:val="20"/>
          <w:szCs w:val="20"/>
          <w:color w:val="auto"/>
        </w:rPr>
      </w:pPr>
    </w:p>
    <w:p>
      <w:pPr>
        <w:ind w:left="940" w:right="10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10T†</w:t>
      </w:r>
      <w:r>
        <w:rPr>
          <w:sz w:val="20"/>
          <w:szCs w:val="20"/>
          <w:color w:val="auto"/>
        </w:rPr>
        <w:tab/>
      </w:r>
      <w:r>
        <w:rPr>
          <w:rFonts w:ascii="Arial" w:cs="Arial" w:eastAsia="Arial" w:hAnsi="Arial"/>
          <w:sz w:val="17"/>
          <w:szCs w:val="17"/>
          <w:color w:val="auto"/>
        </w:rPr>
        <w:t>Executive Severance Agreement between the Company and Christopher A. Simon dated as of November 7, 2017 (filed as Exhibit 10.4 to the Company’s Form 10-Q dated for the quarter ended September 30, 2017 and incorporated herein by reference).</w:t>
      </w:r>
    </w:p>
    <w:p>
      <w:pPr>
        <w:spacing w:after="0" w:line="1" w:lineRule="exact"/>
        <w:rPr>
          <w:sz w:val="20"/>
          <w:szCs w:val="20"/>
          <w:color w:val="auto"/>
        </w:rPr>
      </w:pPr>
    </w:p>
    <w:p>
      <w:pPr>
        <w:ind w:left="940" w:right="28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10U†</w:t>
      </w:r>
      <w:r>
        <w:rPr>
          <w:sz w:val="20"/>
          <w:szCs w:val="20"/>
          <w:color w:val="auto"/>
        </w:rPr>
        <w:tab/>
      </w:r>
      <w:r>
        <w:rPr>
          <w:rFonts w:ascii="Arial" w:cs="Arial" w:eastAsia="Arial" w:hAnsi="Arial"/>
          <w:sz w:val="17"/>
          <w:szCs w:val="17"/>
          <w:color w:val="auto"/>
        </w:rPr>
        <w:t>Change in Control Agreement between the Company and Christopher A. Simon dated as of November 7, 2017 (filed as Exhibit 10.5 to the Company’s Form 8-K dated 10-Q dated for the quarter ended September 30, 2017 and incorporated herein by reference).</w:t>
      </w:r>
    </w:p>
    <w:p>
      <w:pPr>
        <w:spacing w:after="0" w:line="1" w:lineRule="exact"/>
        <w:rPr>
          <w:sz w:val="20"/>
          <w:szCs w:val="20"/>
          <w:color w:val="auto"/>
        </w:rPr>
      </w:pPr>
    </w:p>
    <w:p>
      <w:pPr>
        <w:ind w:left="940" w:right="4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10V†</w:t>
      </w:r>
      <w:r>
        <w:rPr>
          <w:sz w:val="20"/>
          <w:szCs w:val="20"/>
          <w:color w:val="auto"/>
        </w:rPr>
        <w:tab/>
      </w:r>
      <w:r>
        <w:rPr>
          <w:rFonts w:ascii="Arial" w:cs="Arial" w:eastAsia="Arial" w:hAnsi="Arial"/>
          <w:sz w:val="18"/>
          <w:szCs w:val="18"/>
          <w:color w:val="auto"/>
        </w:rPr>
        <w:t>Form of Executive Severance Agreement between the Company and executive officers other than Christopher A. Simon (filed as Exhibit 10.2 to the Company’s Form 10-Q for the quarter ended September 30, 2017 and incorporated herein by reference).</w:t>
      </w:r>
    </w:p>
    <w:p>
      <w:pPr>
        <w:spacing w:after="0" w:line="8" w:lineRule="exact"/>
        <w:rPr>
          <w:sz w:val="20"/>
          <w:szCs w:val="20"/>
          <w:color w:val="auto"/>
        </w:rPr>
      </w:pPr>
    </w:p>
    <w:p>
      <w:pPr>
        <w:ind w:left="940" w:right="2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10W†</w:t>
      </w:r>
      <w:r>
        <w:rPr>
          <w:sz w:val="20"/>
          <w:szCs w:val="20"/>
          <w:color w:val="auto"/>
        </w:rPr>
        <w:tab/>
      </w:r>
      <w:r>
        <w:rPr>
          <w:rFonts w:ascii="Arial" w:cs="Arial" w:eastAsia="Arial" w:hAnsi="Arial"/>
          <w:sz w:val="18"/>
          <w:szCs w:val="18"/>
          <w:color w:val="auto"/>
        </w:rPr>
        <w:t>Form of Change in Control Agreement between the Company and executive officers other than Christopher A. Simon (filed as Exhibit 10.3 to the Company’s Form 10-Q for the quarter ended September 30, 2017 and incorporated herein by reference).</w:t>
      </w:r>
    </w:p>
    <w:p>
      <w:pPr>
        <w:spacing w:after="0" w:line="8" w:lineRule="exact"/>
        <w:rPr>
          <w:sz w:val="20"/>
          <w:szCs w:val="20"/>
          <w:color w:val="auto"/>
        </w:rPr>
      </w:pPr>
    </w:p>
    <w:p>
      <w:pPr>
        <w:ind w:left="940" w:right="22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10X†</w:t>
      </w:r>
      <w:r>
        <w:rPr>
          <w:sz w:val="20"/>
          <w:szCs w:val="20"/>
          <w:color w:val="auto"/>
        </w:rPr>
        <w:tab/>
      </w:r>
      <w:r>
        <w:rPr>
          <w:rFonts w:ascii="Arial" w:cs="Arial" w:eastAsia="Arial" w:hAnsi="Arial"/>
          <w:sz w:val="18"/>
          <w:szCs w:val="18"/>
          <w:color w:val="auto"/>
        </w:rPr>
        <w:t>Haemonetics Corporation Worldwide Employee Bonus Plan (as amended and restated effective April 23, 2019) (filed as Exhibit 10.1 to the Company's Form 8-K dated April 29, 2019 and incorporated herein by reference).</w:t>
      </w:r>
    </w:p>
    <w:p>
      <w:pPr>
        <w:spacing w:after="0" w:line="8" w:lineRule="exact"/>
        <w:rPr>
          <w:sz w:val="20"/>
          <w:szCs w:val="20"/>
          <w:color w:val="auto"/>
        </w:rPr>
      </w:pPr>
    </w:p>
    <w:p>
      <w:pPr>
        <w:ind w:left="940" w:right="52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10Y</w:t>
      </w:r>
      <w:r>
        <w:rPr>
          <w:sz w:val="20"/>
          <w:szCs w:val="20"/>
          <w:color w:val="auto"/>
        </w:rPr>
        <w:tab/>
      </w:r>
      <w:r>
        <w:rPr>
          <w:rFonts w:ascii="Arial" w:cs="Arial" w:eastAsia="Arial" w:hAnsi="Arial"/>
          <w:sz w:val="18"/>
          <w:szCs w:val="18"/>
          <w:color w:val="auto"/>
        </w:rPr>
        <w:t>Form of Indemnification Agreement (as executed with each director and executive officer of the Company) (filed as Exhibit 10.1 to the Company's Form 10-Q for the quarter ended September 29, 2018 and incorporated herein by reference).</w:t>
      </w:r>
    </w:p>
    <w:p>
      <w:pPr>
        <w:spacing w:after="0" w:line="8" w:lineRule="exact"/>
        <w:rPr>
          <w:sz w:val="20"/>
          <w:szCs w:val="20"/>
          <w:color w:val="auto"/>
        </w:rPr>
      </w:pPr>
    </w:p>
    <w:p>
      <w:pPr>
        <w:ind w:left="940" w:right="300" w:hanging="899"/>
        <w:spacing w:after="0" w:line="298" w:lineRule="auto"/>
        <w:tabs>
          <w:tab w:leader="none" w:pos="920" w:val="left"/>
        </w:tabs>
        <w:rPr>
          <w:sz w:val="20"/>
          <w:szCs w:val="20"/>
          <w:color w:val="auto"/>
        </w:rPr>
      </w:pPr>
      <w:r>
        <w:rPr>
          <w:rFonts w:ascii="Arial" w:cs="Arial" w:eastAsia="Arial" w:hAnsi="Arial"/>
          <w:sz w:val="17"/>
          <w:szCs w:val="17"/>
          <w:u w:val="single" w:color="auto"/>
          <w:color w:val="0000FF"/>
        </w:rPr>
        <w:t>10Z‡</w:t>
      </w:r>
      <w:r>
        <w:rPr>
          <w:sz w:val="20"/>
          <w:szCs w:val="20"/>
          <w:color w:val="auto"/>
        </w:rPr>
        <w:tab/>
      </w:r>
      <w:r>
        <w:rPr>
          <w:rFonts w:ascii="Arial" w:cs="Arial" w:eastAsia="Arial" w:hAnsi="Arial"/>
          <w:sz w:val="17"/>
          <w:szCs w:val="17"/>
          <w:color w:val="auto"/>
        </w:rPr>
        <w:t>Office Lease Agreement, dated as of December 18, 2018, by and between OPG 125 Summer Owner (DE) LLC and the Company (filed as Exhibit 10.1 to the Company's Form 10-Q for the quarter ended December 29, 2018 and incorporated herein by reference).</w:t>
      </w:r>
    </w:p>
    <w:p>
      <w:pPr>
        <w:spacing w:after="0" w:line="1" w:lineRule="exact"/>
        <w:rPr>
          <w:sz w:val="20"/>
          <w:szCs w:val="20"/>
          <w:color w:val="auto"/>
        </w:rPr>
      </w:pPr>
    </w:p>
    <w:p>
      <w:pPr>
        <w:ind w:left="940" w:hanging="899"/>
        <w:spacing w:after="0" w:line="277" w:lineRule="auto"/>
        <w:tabs>
          <w:tab w:leader="none" w:pos="920" w:val="left"/>
        </w:tabs>
        <w:rPr>
          <w:sz w:val="20"/>
          <w:szCs w:val="20"/>
          <w:color w:val="auto"/>
        </w:rPr>
      </w:pPr>
      <w:r>
        <w:rPr>
          <w:rFonts w:ascii="Arial" w:cs="Arial" w:eastAsia="Arial" w:hAnsi="Arial"/>
          <w:sz w:val="18"/>
          <w:szCs w:val="18"/>
          <w:u w:val="single" w:color="auto"/>
          <w:color w:val="0000FF"/>
        </w:rPr>
        <w:t>10AA</w:t>
      </w:r>
      <w:r>
        <w:rPr>
          <w:sz w:val="20"/>
          <w:szCs w:val="20"/>
          <w:color w:val="auto"/>
        </w:rPr>
        <w:tab/>
      </w:r>
      <w:r>
        <w:rPr>
          <w:rFonts w:ascii="Arial" w:cs="Arial" w:eastAsia="Arial" w:hAnsi="Arial"/>
          <w:sz w:val="18"/>
          <w:szCs w:val="18"/>
          <w:color w:val="auto"/>
        </w:rPr>
        <w:t>Lease dated August 26, 2019 by and between the Company and HRP Wood Road, LLC (filed as Exhibit 10.6 to the Company's Form 10-Q for the quarter ended September 28, 2019 and incorporated herein by reference).</w:t>
      </w:r>
    </w:p>
    <w:p>
      <w:pPr>
        <w:spacing w:after="0" w:line="8" w:lineRule="exact"/>
        <w:rPr>
          <w:sz w:val="20"/>
          <w:szCs w:val="20"/>
          <w:color w:val="auto"/>
        </w:rPr>
      </w:pPr>
    </w:p>
    <w:p>
      <w:pPr>
        <w:ind w:left="940" w:right="100" w:hanging="899"/>
        <w:spacing w:after="0" w:line="277" w:lineRule="auto"/>
        <w:tabs>
          <w:tab w:leader="none" w:pos="920" w:val="left"/>
        </w:tabs>
        <w:rPr>
          <w:sz w:val="20"/>
          <w:szCs w:val="20"/>
          <w:color w:val="auto"/>
        </w:rPr>
      </w:pPr>
      <w:r>
        <w:rPr>
          <w:rFonts w:ascii="Arial" w:cs="Arial" w:eastAsia="Arial" w:hAnsi="Arial"/>
          <w:sz w:val="18"/>
          <w:szCs w:val="18"/>
          <w:color w:val="auto"/>
        </w:rPr>
        <w:t>10AB</w:t>
      </w:r>
      <w:r>
        <w:rPr>
          <w:sz w:val="20"/>
          <w:szCs w:val="20"/>
          <w:color w:val="auto"/>
        </w:rPr>
        <w:tab/>
      </w:r>
      <w:r>
        <w:rPr>
          <w:rFonts w:ascii="Arial" w:cs="Arial" w:eastAsia="Arial" w:hAnsi="Arial"/>
          <w:sz w:val="18"/>
          <w:szCs w:val="18"/>
          <w:color w:val="auto"/>
        </w:rPr>
        <w:t>Lease dated July 17, 1990 between the Buncher Company and the Company of property in Pittsburgh, Pennsylvania (filed as Exhibit 10-K to the Company's Form S-1 No. 33-39490 and incorporated herein by reference).</w:t>
      </w:r>
    </w:p>
    <w:p>
      <w:pPr>
        <w:spacing w:after="0" w:line="8" w:lineRule="exact"/>
        <w:rPr>
          <w:sz w:val="20"/>
          <w:szCs w:val="20"/>
          <w:color w:val="auto"/>
        </w:rPr>
      </w:pPr>
    </w:p>
    <w:p>
      <w:pPr>
        <w:ind w:left="940" w:right="440" w:hanging="899"/>
        <w:spacing w:after="0" w:line="263" w:lineRule="auto"/>
        <w:tabs>
          <w:tab w:leader="none" w:pos="920" w:val="left"/>
        </w:tabs>
        <w:rPr>
          <w:sz w:val="20"/>
          <w:szCs w:val="20"/>
          <w:color w:val="auto"/>
        </w:rPr>
      </w:pPr>
      <w:r>
        <w:rPr>
          <w:rFonts w:ascii="Arial" w:cs="Arial" w:eastAsia="Arial" w:hAnsi="Arial"/>
          <w:sz w:val="18"/>
          <w:szCs w:val="18"/>
          <w:color w:val="auto"/>
        </w:rPr>
        <w:t>10AC</w:t>
      </w:r>
      <w:r>
        <w:rPr>
          <w:sz w:val="20"/>
          <w:szCs w:val="20"/>
          <w:color w:val="auto"/>
        </w:rPr>
        <w:tab/>
      </w:r>
      <w:r>
        <w:rPr>
          <w:rFonts w:ascii="Arial" w:cs="Arial" w:eastAsia="Arial" w:hAnsi="Arial"/>
          <w:sz w:val="18"/>
          <w:szCs w:val="18"/>
          <w:color w:val="auto"/>
        </w:rPr>
        <w:t>First Amendment to lease dated July 17, 1990, made as of April 30, 1991 between Buncher Company and the Company of property in Pittsburgh, Pennsylvania (filed as Exhibit 10AI to the Company's Form 10-Q for the quarter ended December 28, 1996 and incorporated herein by reference).</w:t>
      </w:r>
    </w:p>
    <w:p>
      <w:pPr>
        <w:spacing w:after="0" w:line="22" w:lineRule="exact"/>
        <w:rPr>
          <w:sz w:val="20"/>
          <w:szCs w:val="20"/>
          <w:color w:val="auto"/>
        </w:rPr>
      </w:pPr>
    </w:p>
    <w:p>
      <w:pPr>
        <w:ind w:left="940" w:right="6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10AD</w:t>
      </w:r>
      <w:r>
        <w:rPr>
          <w:sz w:val="20"/>
          <w:szCs w:val="20"/>
          <w:color w:val="auto"/>
        </w:rPr>
        <w:tab/>
      </w:r>
      <w:r>
        <w:rPr>
          <w:rFonts w:ascii="Arial" w:cs="Arial" w:eastAsia="Arial" w:hAnsi="Arial"/>
          <w:sz w:val="18"/>
          <w:szCs w:val="18"/>
          <w:color w:val="auto"/>
        </w:rPr>
        <w:t>Second Amendment to lease dated July 17, 1990, made as of October 18, 2000 between Buncher Company and the Company for the property in Pittsburgh, Pennsylvania (filed as Exhibit 10AG to the Company's Form 10-K for the year ended March 29, 2003 and incorporated herein by reference).</w:t>
      </w:r>
    </w:p>
    <w:p>
      <w:pPr>
        <w:spacing w:after="0" w:line="22" w:lineRule="exact"/>
        <w:rPr>
          <w:sz w:val="20"/>
          <w:szCs w:val="20"/>
          <w:color w:val="auto"/>
        </w:rPr>
      </w:pPr>
    </w:p>
    <w:p>
      <w:pPr>
        <w:ind w:left="940" w:right="10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10AE</w:t>
      </w:r>
      <w:r>
        <w:rPr>
          <w:sz w:val="20"/>
          <w:szCs w:val="20"/>
          <w:color w:val="auto"/>
        </w:rPr>
        <w:tab/>
      </w:r>
      <w:r>
        <w:rPr>
          <w:rFonts w:ascii="Arial" w:cs="Arial" w:eastAsia="Arial" w:hAnsi="Arial"/>
          <w:sz w:val="18"/>
          <w:szCs w:val="18"/>
          <w:color w:val="auto"/>
        </w:rPr>
        <w:t>Third Amendment to lease dated July 17, 1990, made as of March 23, 2004 between Buncher Company and the Company for the property in Pittsburgh, Pennsylvania (filed as Exhibit 10D to the Company's Form 10-K for the year ended March 30, 2013 and incorporated herein by reference).</w:t>
      </w:r>
    </w:p>
    <w:p>
      <w:pPr>
        <w:spacing w:after="0" w:line="22" w:lineRule="exact"/>
        <w:rPr>
          <w:sz w:val="20"/>
          <w:szCs w:val="20"/>
          <w:color w:val="auto"/>
        </w:rPr>
      </w:pPr>
    </w:p>
    <w:p>
      <w:pPr>
        <w:ind w:left="940" w:right="2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10AF</w:t>
      </w:r>
      <w:r>
        <w:rPr>
          <w:sz w:val="20"/>
          <w:szCs w:val="20"/>
          <w:color w:val="auto"/>
        </w:rPr>
        <w:tab/>
      </w:r>
      <w:r>
        <w:rPr>
          <w:rFonts w:ascii="Arial" w:cs="Arial" w:eastAsia="Arial" w:hAnsi="Arial"/>
          <w:sz w:val="18"/>
          <w:szCs w:val="18"/>
          <w:color w:val="auto"/>
        </w:rPr>
        <w:t>Fourth Amendment to lease dated July 17, 1990, made as of March 12, 2008 between Buncher Company and the Company for the property in Pittsburgh, Pennsylvania (filed as Exhibit 10E to the Company's Form 10-K for the year ended March 30, 2013 and incorporated herein by reference).</w:t>
      </w:r>
    </w:p>
    <w:p>
      <w:pPr>
        <w:spacing w:after="0" w:line="22" w:lineRule="exact"/>
        <w:rPr>
          <w:sz w:val="20"/>
          <w:szCs w:val="20"/>
          <w:color w:val="auto"/>
        </w:rPr>
      </w:pPr>
    </w:p>
    <w:p>
      <w:pPr>
        <w:ind w:left="940" w:right="14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10AG</w:t>
      </w:r>
      <w:r>
        <w:rPr>
          <w:sz w:val="20"/>
          <w:szCs w:val="20"/>
          <w:color w:val="auto"/>
        </w:rPr>
        <w:tab/>
      </w:r>
      <w:r>
        <w:rPr>
          <w:rFonts w:ascii="Arial" w:cs="Arial" w:eastAsia="Arial" w:hAnsi="Arial"/>
          <w:sz w:val="18"/>
          <w:szCs w:val="18"/>
          <w:color w:val="auto"/>
        </w:rPr>
        <w:t>Fifth Amendment to lease dated July 17, 1990, made as of October 1, 2008 between Buncher Company and the Company for the property in Pittsburgh, Pennsylvania (filed as Exhibit 10F to the Company's Form 10-K for the year ended March 30, 2013 and incorporated herein by reference).</w:t>
      </w:r>
    </w:p>
    <w:p>
      <w:pPr>
        <w:spacing w:after="0" w:line="22" w:lineRule="exact"/>
        <w:rPr>
          <w:sz w:val="20"/>
          <w:szCs w:val="20"/>
          <w:color w:val="auto"/>
        </w:rPr>
      </w:pPr>
    </w:p>
    <w:p>
      <w:pPr>
        <w:jc w:val="both"/>
        <w:ind w:left="940" w:right="18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10AH</w:t>
      </w:r>
      <w:r>
        <w:rPr>
          <w:sz w:val="20"/>
          <w:szCs w:val="20"/>
          <w:color w:val="auto"/>
        </w:rPr>
        <w:tab/>
      </w:r>
      <w:r>
        <w:rPr>
          <w:rFonts w:ascii="Arial" w:cs="Arial" w:eastAsia="Arial" w:hAnsi="Arial"/>
          <w:sz w:val="18"/>
          <w:szCs w:val="18"/>
          <w:color w:val="auto"/>
        </w:rPr>
        <w:t>Sixth Amendment to lease dated July 17, 1990 made as of January 8, 2010 between Buncher Company and the Company for the property in Pittsburgh, Pennsylvania (filed as Exhibit 10G to the Company's Form 10-K for the year ended March 30, 2013 and incorporated herein by reference).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30" w:right="37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left="940" w:right="8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10AI</w:t>
      </w:r>
      <w:r>
        <w:rPr>
          <w:sz w:val="20"/>
          <w:szCs w:val="20"/>
          <w:color w:val="auto"/>
        </w:rPr>
        <w:tab/>
      </w:r>
      <w:r>
        <w:rPr>
          <w:rFonts w:ascii="Arial" w:cs="Arial" w:eastAsia="Arial" w:hAnsi="Arial"/>
          <w:sz w:val="18"/>
          <w:szCs w:val="18"/>
          <w:color w:val="auto"/>
        </w:rPr>
        <w:t>Seventh Amendment to lease dated July 17, 1990, made as of March 31, 2011 between Buncher Company and the Company for the property in Pittsburgh, Pennsylvania (filed as Exhibit 10H to the Company's Form 10-K for the year ended March 30, 2013 and incorporated herein by reference).</w:t>
      </w:r>
    </w:p>
    <w:p>
      <w:pPr>
        <w:spacing w:after="0" w:line="22" w:lineRule="exact"/>
        <w:rPr>
          <w:sz w:val="20"/>
          <w:szCs w:val="20"/>
          <w:color w:val="auto"/>
        </w:rPr>
      </w:pPr>
    </w:p>
    <w:p>
      <w:pPr>
        <w:ind w:left="940" w:right="6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10AJ</w:t>
      </w:r>
      <w:r>
        <w:rPr>
          <w:sz w:val="20"/>
          <w:szCs w:val="20"/>
          <w:color w:val="auto"/>
        </w:rPr>
        <w:tab/>
      </w:r>
      <w:r>
        <w:rPr>
          <w:rFonts w:ascii="Arial" w:cs="Arial" w:eastAsia="Arial" w:hAnsi="Arial"/>
          <w:sz w:val="18"/>
          <w:szCs w:val="18"/>
          <w:color w:val="auto"/>
        </w:rPr>
        <w:t>Eighth Amendment to lease dated July 17, 1990, made as of February 26, 2013 between Buncher Company and the Company for the property in Pittsburgh, Pennsylvania (filed as Exhibit 10I to the Company's Form 10-K for the year ended March 30, 2013 and incorporated herein by reference).</w:t>
      </w:r>
    </w:p>
    <w:p>
      <w:pPr>
        <w:sectPr>
          <w:pgSz w:w="11900" w:h="16838" w:orient="portrait"/>
          <w:cols w:equalWidth="0" w:num="1">
            <w:col w:w="11220"/>
          </w:cols>
          <w:pgMar w:left="320" w:top="130" w:right="359" w:bottom="1440" w:gutter="0" w:footer="0" w:header="0"/>
        </w:sectPr>
      </w:pPr>
    </w:p>
    <w:p>
      <w:pPr>
        <w:spacing w:after="0" w:line="22" w:lineRule="exact"/>
        <w:rPr>
          <w:sz w:val="20"/>
          <w:szCs w:val="20"/>
          <w:color w:val="auto"/>
        </w:rPr>
      </w:pPr>
    </w:p>
    <w:p>
      <w:pPr>
        <w:ind w:left="40"/>
        <w:spacing w:after="0"/>
        <w:rPr>
          <w:rFonts w:ascii="Arial" w:cs="Arial" w:eastAsia="Arial" w:hAnsi="Arial"/>
          <w:sz w:val="17"/>
          <w:szCs w:val="17"/>
          <w:u w:val="single" w:color="auto"/>
          <w:color w:val="0000FF"/>
        </w:rPr>
      </w:pPr>
      <w:hyperlink r:id="rId19">
        <w:r>
          <w:rPr>
            <w:rFonts w:ascii="Arial" w:cs="Arial" w:eastAsia="Arial" w:hAnsi="Arial"/>
            <w:sz w:val="17"/>
            <w:szCs w:val="17"/>
            <w:u w:val="single" w:color="auto"/>
            <w:color w:val="0000FF"/>
          </w:rPr>
          <w:t>10AK</w:t>
        </w:r>
      </w:hyperlink>
    </w:p>
    <w:p>
      <w:pPr>
        <w:spacing w:after="0" w:line="200" w:lineRule="exact"/>
        <w:rPr>
          <w:sz w:val="20"/>
          <w:szCs w:val="20"/>
          <w:color w:val="auto"/>
        </w:rPr>
      </w:pPr>
    </w:p>
    <w:p>
      <w:pPr>
        <w:spacing w:after="0" w:line="361" w:lineRule="exact"/>
        <w:rPr>
          <w:sz w:val="20"/>
          <w:szCs w:val="20"/>
          <w:color w:val="auto"/>
        </w:rPr>
      </w:pPr>
    </w:p>
    <w:p>
      <w:pPr>
        <w:ind w:left="4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10AL</w:t>
        </w:r>
      </w:hyperlink>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Ninth Amendment to lease dated July 17, 1990, made as of March 12, 2014 between Buncher Company and the Company for the property in Pittsburgh, Pennsylvania (filed as Exhibit 10J to the Company's Form 10-K for the year ended March 31, 2018 and incorporated herein by reference).</w:t>
      </w:r>
    </w:p>
    <w:p>
      <w:pPr>
        <w:spacing w:after="0" w:line="4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Tenth Amendment to lease dated July 17, 1990, made as of May 31, 2017 between Buncher Company and the Company for the property in Pittsburgh, Pennsylvania (filed as Exhibit 10K to the Company's Form 10-K for the year ended March 31, 2018 and incorporated herein by reference).</w:t>
      </w:r>
    </w:p>
    <w:p>
      <w:pPr>
        <w:spacing w:after="0" w:line="22" w:lineRule="exact"/>
        <w:rPr>
          <w:sz w:val="20"/>
          <w:szCs w:val="20"/>
          <w:color w:val="auto"/>
        </w:rPr>
      </w:pPr>
    </w:p>
    <w:p>
      <w:pPr>
        <w:sectPr>
          <w:pgSz w:w="11900" w:h="16838" w:orient="portrait"/>
          <w:cols w:equalWidth="0" w:num="2">
            <w:col w:w="480" w:space="460"/>
            <w:col w:w="10280"/>
          </w:cols>
          <w:pgMar w:left="320" w:top="130" w:right="359" w:bottom="1440" w:gutter="0" w:footer="0" w:header="0"/>
          <w:type w:val="continuous"/>
        </w:sectPr>
      </w:pPr>
    </w:p>
    <w:p>
      <w:pPr>
        <w:ind w:left="40"/>
        <w:spacing w:after="0"/>
        <w:rPr>
          <w:rFonts w:ascii="Arial" w:cs="Arial" w:eastAsia="Arial" w:hAnsi="Arial"/>
          <w:sz w:val="17"/>
          <w:szCs w:val="17"/>
          <w:u w:val="single" w:color="auto"/>
          <w:color w:val="0000FF"/>
        </w:rPr>
      </w:pPr>
      <w:hyperlink r:id="rId21">
        <w:r>
          <w:rPr>
            <w:rFonts w:ascii="Arial" w:cs="Arial" w:eastAsia="Arial" w:hAnsi="Arial"/>
            <w:sz w:val="17"/>
            <w:szCs w:val="17"/>
            <w:u w:val="single" w:color="auto"/>
            <w:color w:val="0000FF"/>
          </w:rPr>
          <w:t>10AM</w:t>
        </w:r>
      </w:hyperlink>
    </w:p>
    <w:p>
      <w:pPr>
        <w:spacing w:after="0" w:line="200" w:lineRule="exact"/>
        <w:rPr>
          <w:sz w:val="20"/>
          <w:szCs w:val="20"/>
          <w:color w:val="auto"/>
        </w:rPr>
      </w:pPr>
    </w:p>
    <w:p>
      <w:pPr>
        <w:spacing w:after="0" w:line="361" w:lineRule="exact"/>
        <w:rPr>
          <w:sz w:val="20"/>
          <w:szCs w:val="20"/>
          <w:color w:val="auto"/>
        </w:rPr>
      </w:pPr>
    </w:p>
    <w:p>
      <w:pPr>
        <w:ind w:left="4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10AN</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Eleventh Amendment to lease dated July 17, 1990, made as of March 2, 2018 between Buncher Company and the Company for the property in Pittsburgh, Pennsylvania (filed as Exhibit 10L to the Company's Form 10-K for the year ended March 31, 2018 and incorporated herein by reference).</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Lease dated February 21, 2000 between BBVA Bancomer Servicios, S.A., as Trustee of the “Submetropoli de Tijuana” Trust and Haemonetics Mexico Manufacturing, S. de R.L. de C.V., as successor in interest to Ensatec, S.A. de C.V. with authorization of El Florido California, S.A. de C.V., for property located in Tijuana, Mexico (filed as Exhibit 10J to the Company's Form 10-K for the year ended March 30, 2013 and incorporated herein by reference).</w:t>
      </w:r>
    </w:p>
    <w:p>
      <w:pPr>
        <w:spacing w:after="0" w:line="25" w:lineRule="exact"/>
        <w:rPr>
          <w:sz w:val="20"/>
          <w:szCs w:val="20"/>
          <w:color w:val="auto"/>
        </w:rPr>
      </w:pPr>
    </w:p>
    <w:p>
      <w:pPr>
        <w:sectPr>
          <w:pgSz w:w="11900" w:h="16838" w:orient="portrait"/>
          <w:cols w:equalWidth="0" w:num="2">
            <w:col w:w="500" w:space="440"/>
            <w:col w:w="10280"/>
          </w:cols>
          <w:pgMar w:left="320" w:top="130" w:right="3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10AO</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6"/>
              </w:rPr>
              <w:t>Amendment to Lease dated February 21, 2000 made as of July 25, 2008 between BBVA Bancomer Servicios, S.A., as Trustee of the</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“Submetropoli de Tijuana” Trust Haemonetics Mexico Manufacturing, S. de R.L. de C.V., as successor in interest to Ensatec, S.A. de C.V., for</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property located in Tijuana, Mexico (filed as Exhibit 10K to the Company's Form 10-K for the year ended March 30, 2013 and incorporated</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herein by reference).</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10AP</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1"/>
              </w:rPr>
              <w:t>Extension to Lease dated February 21, 2000, made as of August 14, 2011 between PROCADEF 1, S.A.P.I. de C.V. and Haemonetics Mexico</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5"/>
              </w:rPr>
              <w:t>Manufacturing, S. de R.L. de C.V., as successor in interest to Ensatec, S.A. de C.V., for property located in Tijuana, Mexico (Spanish to</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8"/>
              </w:rPr>
              <w:t>English translation filed as Exhibit 10L to the Company's Form 10-K for the year ended March 30, 2013 and incorporated herein by</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reference).</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10AQ</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Amendment Letter to Lease dated February 21, 2000, made as of August 14, 2011 between BBVA Bancomer Servicios, S.A., as Trustee of the</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“Submetropoli de Tijuana” Trust and Haemonetics Mexico Manufacturing, S. de R.L. de C.V., as successor in interest to Ensatec, S.A. de</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6"/>
              </w:rPr>
              <w:t>C.V., for property located in Tijuana, Mexico (filed as Exhibit 10M to the Company's Form 10-K for the year ended March 30, 2013 and</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10AR</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Notice of Assignment to Lease dated February 21, 2000, made as of February 23, 2012 between BBVA Bancomer Servicios, S.A., as Trustee</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1"/>
              </w:rPr>
              <w:t>of the “Submetropoli de Tijuana” Trust and Haemonetics Mexico Manufacturing, S. de R.L. de C.V., as successor in interest to Ensatec, S.A.</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2"/>
              </w:rPr>
              <w:t>de C.V. for property located in Tijuana, Mexico (Spanish to English translation filed as Exhibit 10N to the Company's Form 10-K for the year</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ended March 30, 2013 and incorporated herein by reference).</w:t>
            </w:r>
          </w:p>
        </w:tc>
      </w:tr>
      <w:tr>
        <w:trPr>
          <w:trHeight w:val="283"/>
        </w:trPr>
        <w:tc>
          <w:tcPr>
            <w:tcW w:w="680" w:type="dxa"/>
            <w:vAlign w:val="bottom"/>
          </w:tcPr>
          <w:p>
            <w:pPr>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10AS</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1"/>
              </w:rPr>
              <w:t>Amendment to Lease dated February 21, 2000 made as of January 1, 2018 between MEGA2013, S.A.P.I. de CV (as successor in interest to</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ABBVA Bancomer Servicios, S.A., as Trustee of the “Submetropoli de Tijuana” Trust) and Haemonetics Mexico Manufacturing, S. de R.L.</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de C.V., as successor in interest to Ensatec, S.A. de C.V., for property located in Tijuana, Mexico (filed as Exhibit 10R to the Company's Form</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10-K for the year ended March 31, 2018 and incorporated herein by reference).</w:t>
            </w:r>
          </w:p>
        </w:tc>
      </w:tr>
      <w:tr>
        <w:trPr>
          <w:trHeight w:val="283"/>
        </w:trPr>
        <w:tc>
          <w:tcPr>
            <w:tcW w:w="680" w:type="dxa"/>
            <w:vAlign w:val="bottom"/>
          </w:tcPr>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10AT</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4"/>
              </w:rPr>
              <w:t>Lease Agreement effective December 3, 2007 between Mrs. Blanca Estela Colunga Santelices, by her own right, and Pall Life Sciences</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Mexico, S.de R.L. de C.V. for the property located in Tijuana, Mexico (Spanish to English translation filed as Exhibit 10W to the Company's</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10AU</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Assignment to Lease Agreement effective December 3, 2007, made as of December 2, 2011 between Mrs. Blanca Estela Colunga Santelices,</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by her own right, Pall Life Sciences Mexico, S.de R.L. de C.V., (“Assignor”) and Haemonetics Mexico Manufacturing, S. de R.L. de C.V.as</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5"/>
              </w:rPr>
              <w:t>successor in interest to Pall Mexico Manufacturing S. de R.L. de C.V., (“Assignee”) assigned in favor of the property located in Tijuana,</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7"/>
              </w:rPr>
              <w:t>Mexico (filed as Exhibit 10X to the Company's Form 10-K for the year ended March 30, 2013 and incorporated herein by reference).</w:t>
            </w:r>
          </w:p>
        </w:tc>
      </w:tr>
      <w:tr>
        <w:trPr>
          <w:trHeight w:val="283"/>
        </w:trPr>
        <w:tc>
          <w:tcPr>
            <w:tcW w:w="680" w:type="dxa"/>
            <w:vAlign w:val="bottom"/>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10AV</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Amendment to Lease Agreement effective December 3, 2007, made in 2017 between Mrs. Blanca Estela Colunga Santelices, by her own</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2"/>
              </w:rPr>
              <w:t>right, Pall Life Sciences Mexico, S.de R.L. de C.V. (“Assignor”) and Haemonetics Mexico Manufacturing, S. de R.L. de C.V. as successor in</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interest to Pall Mexico Manufacturing S. de R.L. de C.V., (“Assignee”) assigned in favor of the property located in Tijuana, Mexico (filed as</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Exhibit 10U to the Company's Form 10-K for the year ended March 31, 2018 and incorporated herein by reference).</w:t>
            </w:r>
          </w:p>
        </w:tc>
      </w:tr>
      <w:tr>
        <w:trPr>
          <w:trHeight w:val="283"/>
        </w:trPr>
        <w:tc>
          <w:tcPr>
            <w:tcW w:w="680" w:type="dxa"/>
            <w:vAlign w:val="bottom"/>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10AW</w:t>
              </w:r>
            </w:hyperlink>
          </w:p>
        </w:tc>
        <w:tc>
          <w:tcPr>
            <w:tcW w:w="10500" w:type="dxa"/>
            <w:vAlign w:val="bottom"/>
          </w:tcPr>
          <w:p>
            <w:pPr>
              <w:ind w:left="220"/>
              <w:spacing w:after="0"/>
              <w:rPr>
                <w:sz w:val="20"/>
                <w:szCs w:val="20"/>
                <w:color w:val="auto"/>
              </w:rPr>
            </w:pPr>
            <w:r>
              <w:rPr>
                <w:rFonts w:ascii="Arial" w:cs="Arial" w:eastAsia="Arial" w:hAnsi="Arial"/>
                <w:sz w:val="18"/>
                <w:szCs w:val="18"/>
                <w:color w:val="auto"/>
                <w:w w:val="98"/>
              </w:rPr>
              <w:t>Sublease Contract to Lease Agreement effective December 3, 2007, made as of December 3, 2011 between Haemonetics Mexico</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 S.</w:t>
            </w:r>
          </w:p>
        </w:tc>
      </w:tr>
      <w:tr>
        <w:trPr>
          <w:trHeight w:val="216"/>
        </w:trPr>
        <w:tc>
          <w:tcPr>
            <w:tcW w:w="68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3"/>
              </w:rPr>
              <w:t>de R.L. de C.V., for the property located in Tijuana, Mexico (filed as Exhibit 10Y to the Company's Form 10-K for the year ended March 30,</w:t>
            </w:r>
          </w:p>
        </w:tc>
      </w:tr>
      <w:tr>
        <w:trPr>
          <w:trHeight w:val="230"/>
        </w:trPr>
        <w:tc>
          <w:tcPr>
            <w:tcW w:w="680" w:type="dxa"/>
            <w:vAlign w:val="bottom"/>
          </w:tcPr>
          <w:p>
            <w:pPr>
              <w:spacing w:after="0"/>
              <w:rPr>
                <w:sz w:val="20"/>
                <w:szCs w:val="20"/>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2013 and incorporated herein by reference).</w:t>
            </w: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130" w:right="359" w:bottom="1440" w:gutter="0" w:footer="0" w:header="0"/>
          <w:type w:val="continuous"/>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940" w:hanging="899"/>
        <w:spacing w:after="0" w:line="259" w:lineRule="auto"/>
        <w:tabs>
          <w:tab w:leader="none" w:pos="920" w:val="left"/>
        </w:tabs>
        <w:rPr>
          <w:sz w:val="20"/>
          <w:szCs w:val="20"/>
          <w:color w:val="auto"/>
        </w:rPr>
      </w:pPr>
      <w:r>
        <w:rPr>
          <w:rFonts w:ascii="Arial" w:cs="Arial" w:eastAsia="Arial" w:hAnsi="Arial"/>
          <w:sz w:val="18"/>
          <w:szCs w:val="18"/>
          <w:u w:val="single" w:color="auto"/>
          <w:color w:val="0000FF"/>
        </w:rPr>
        <w:t>10AX</w:t>
      </w:r>
      <w:r>
        <w:rPr>
          <w:sz w:val="20"/>
          <w:szCs w:val="20"/>
          <w:color w:val="auto"/>
        </w:rPr>
        <w:tab/>
      </w:r>
      <w:r>
        <w:rPr>
          <w:rFonts w:ascii="Arial" w:cs="Arial" w:eastAsia="Arial" w:hAnsi="Arial"/>
          <w:sz w:val="18"/>
          <w:szCs w:val="18"/>
          <w:color w:val="auto"/>
        </w:rPr>
        <w:t>Sublease Contract to Lease Agreement effective December 3, 2007, made as of February 23, 2012 between Haemonetics Mexico Manufacturing, S. de R.L. de C.V. as successor in interest to Pall Mexico Manufacturing S. de R.L. de C.V. and Ensatec, S.A. de C.V., for the property located in Tijuana, Mexico (filed as Exhibit 10Z to the Company's Form 10-K for the year ended March 30, 2013 and incorporated herein by reference).</w:t>
      </w:r>
    </w:p>
    <w:p>
      <w:pPr>
        <w:spacing w:after="0" w:line="25" w:lineRule="exact"/>
        <w:rPr>
          <w:sz w:val="20"/>
          <w:szCs w:val="20"/>
          <w:color w:val="auto"/>
        </w:rPr>
      </w:pPr>
    </w:p>
    <w:p>
      <w:pPr>
        <w:jc w:val="both"/>
        <w:ind w:left="940" w:right="60" w:hanging="899"/>
        <w:spacing w:after="0" w:line="316" w:lineRule="auto"/>
        <w:tabs>
          <w:tab w:leader="none" w:pos="920" w:val="left"/>
        </w:tabs>
        <w:rPr>
          <w:sz w:val="20"/>
          <w:szCs w:val="20"/>
          <w:color w:val="auto"/>
        </w:rPr>
      </w:pPr>
      <w:r>
        <w:rPr>
          <w:rFonts w:ascii="Arial" w:cs="Arial" w:eastAsia="Arial" w:hAnsi="Arial"/>
          <w:sz w:val="16"/>
          <w:szCs w:val="16"/>
          <w:u w:val="single" w:color="auto"/>
          <w:color w:val="0000FF"/>
        </w:rPr>
        <w:t>10AY</w:t>
      </w:r>
      <w:r>
        <w:rPr>
          <w:sz w:val="20"/>
          <w:szCs w:val="20"/>
          <w:color w:val="auto"/>
        </w:rPr>
        <w:tab/>
      </w:r>
      <w:r>
        <w:rPr>
          <w:rFonts w:ascii="Arial" w:cs="Arial" w:eastAsia="Arial" w:hAnsi="Arial"/>
          <w:sz w:val="16"/>
          <w:szCs w:val="16"/>
          <w:color w:val="auto"/>
        </w:rPr>
        <w:t>Lease dated September 19, 2013 between the Penang Development Corporation and Haemonetics Malaysia Sdn Bhd of the property located in Penang, Malaysia (filed as Exhibit 10D to the Company's 10-Q for the quarter ended June 28, 2014 and incorporated herein by reference).</w:t>
      </w:r>
    </w:p>
    <w:p>
      <w:pPr>
        <w:spacing w:after="0" w:line="2" w:lineRule="exact"/>
        <w:rPr>
          <w:sz w:val="20"/>
          <w:szCs w:val="20"/>
          <w:color w:val="auto"/>
        </w:rPr>
      </w:pPr>
    </w:p>
    <w:p>
      <w:pPr>
        <w:ind w:left="940" w:right="460" w:hanging="899"/>
        <w:spacing w:after="0" w:line="263" w:lineRule="auto"/>
        <w:tabs>
          <w:tab w:leader="none" w:pos="920" w:val="left"/>
        </w:tabs>
        <w:rPr>
          <w:sz w:val="20"/>
          <w:szCs w:val="20"/>
          <w:color w:val="auto"/>
        </w:rPr>
      </w:pPr>
      <w:r>
        <w:rPr>
          <w:rFonts w:ascii="Arial" w:cs="Arial" w:eastAsia="Arial" w:hAnsi="Arial"/>
          <w:sz w:val="18"/>
          <w:szCs w:val="18"/>
          <w:u w:val="single" w:color="auto"/>
          <w:color w:val="0000FF"/>
        </w:rPr>
        <w:t>10AZ</w:t>
      </w:r>
      <w:r>
        <w:rPr>
          <w:sz w:val="20"/>
          <w:szCs w:val="20"/>
          <w:color w:val="auto"/>
        </w:rPr>
        <w:tab/>
      </w:r>
      <w:r>
        <w:rPr>
          <w:rFonts w:ascii="Arial" w:cs="Arial" w:eastAsia="Arial" w:hAnsi="Arial"/>
          <w:sz w:val="18"/>
          <w:szCs w:val="18"/>
          <w:color w:val="auto"/>
        </w:rPr>
        <w:t>Credit Agreement, dated as of June 15, 2018, by and among Haemonetics Corporation, the Lenders from time to time party thereto and JPMorgan Chase Bank, N.A., as Administrative Agent (filed as Exhibit 10.1 to the Company’s Form 8-K dated July 18, 2018 and incorporated herein by reference).</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Subsidiaries Certifications and Consents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 w:type="dxa"/>
            <w:vAlign w:val="bottom"/>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21.1</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680" w:type="dxa"/>
            <w:vAlign w:val="bottom"/>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23.1</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31.1</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w w:val="91"/>
              </w:rPr>
              <w:t>Certification pursuant to Section 302 of Sarbanes-Oxley Act of 2002, of Christopher A. Simon, President and Chief Executive Officer of the</w:t>
            </w:r>
          </w:p>
        </w:tc>
      </w:tr>
      <w:tr>
        <w:trPr>
          <w:trHeight w:val="230"/>
        </w:trPr>
        <w:tc>
          <w:tcPr>
            <w:tcW w:w="6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Company.</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31.2</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 the</w:t>
            </w:r>
          </w:p>
        </w:tc>
      </w:tr>
      <w:tr>
        <w:trPr>
          <w:trHeight w:val="230"/>
        </w:trPr>
        <w:tc>
          <w:tcPr>
            <w:tcW w:w="6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Company.</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32.1</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Christopher A. Simon, President and Chief Executive Officer of the Company.</w:t>
            </w:r>
          </w:p>
        </w:tc>
      </w:tr>
      <w:tr>
        <w:trPr>
          <w:trHeight w:val="256"/>
        </w:trPr>
        <w:tc>
          <w:tcPr>
            <w:tcW w:w="68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32.2</w:t>
              </w:r>
            </w:hyperlink>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220"/>
              <w:spacing w:after="0"/>
              <w:rPr>
                <w:sz w:val="20"/>
                <w:szCs w:val="20"/>
                <w:color w:val="auto"/>
              </w:rPr>
            </w:pPr>
            <w:r>
              <w:rPr>
                <w:rFonts w:ascii="Arial" w:cs="Arial" w:eastAsia="Arial" w:hAnsi="Arial"/>
                <w:sz w:val="18"/>
                <w:szCs w:val="18"/>
                <w:color w:val="auto"/>
                <w:w w:val="94"/>
              </w:rPr>
              <w:t>The following materials from Haemonetics Corporation on Form 10-K for the year ended March 28, 2020, formatted in inline Extensible</w:t>
            </w:r>
          </w:p>
        </w:tc>
      </w:tr>
      <w:tr>
        <w:trPr>
          <w:trHeight w:val="216"/>
        </w:trPr>
        <w:tc>
          <w:tcPr>
            <w:tcW w:w="6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Business Reporting Language (XBRL) includes: (i) Consolidated Statements of Income, (ii) Consolidated Statements of Comprehensive</w:t>
            </w:r>
          </w:p>
        </w:tc>
      </w:tr>
      <w:tr>
        <w:trPr>
          <w:trHeight w:val="216"/>
        </w:trPr>
        <w:tc>
          <w:tcPr>
            <w:tcW w:w="6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0"/>
              </w:rPr>
              <w:t>Income, (iii) Consolidated Balance Sheets, (iv) Consolidated Statement of Stockholders' Equity, (v) Consolidated Statements of Cash Flows,</w:t>
            </w:r>
          </w:p>
        </w:tc>
      </w:tr>
      <w:tr>
        <w:trPr>
          <w:trHeight w:val="230"/>
        </w:trPr>
        <w:tc>
          <w:tcPr>
            <w:tcW w:w="6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and (vi) Notes to Consolidated Financial Statements.</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 and contained in Exhibit 101).</w:t>
            </w:r>
          </w:p>
        </w:tc>
      </w:tr>
    </w:tbl>
    <w:p>
      <w:pPr>
        <w:spacing w:after="0" w:line="175"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Document filed or furnished with this report.</w:t>
      </w:r>
    </w:p>
    <w:p>
      <w:pPr>
        <w:spacing w:after="0" w:line="63"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sz w:val="20"/>
          <w:szCs w:val="20"/>
          <w:color w:val="auto"/>
        </w:rPr>
      </w:pPr>
    </w:p>
    <w:p>
      <w:pPr>
        <w:ind w:left="500" w:right="140" w:hanging="465"/>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the exhibit. Confidential materials omitted and filed separately with the Securities and Exchange Commission.</w:t>
      </w:r>
    </w:p>
    <w:p>
      <w:pPr>
        <w:spacing w:after="0" w:line="8" w:lineRule="exact"/>
        <w:rPr>
          <w:sz w:val="20"/>
          <w:szCs w:val="20"/>
          <w:color w:val="auto"/>
        </w:rPr>
      </w:pPr>
    </w:p>
    <w:p>
      <w:pPr>
        <w:ind w:left="500" w:right="40" w:hanging="465"/>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130" w:right="45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334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Chief Executive Officer and a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2020</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820" w:type="dxa"/>
            <w:vAlign w:val="bottom"/>
          </w:tcPr>
          <w:p>
            <w:pPr>
              <w:jc w:val="center"/>
              <w:ind w:left="251"/>
              <w:spacing w:after="0"/>
              <w:rPr>
                <w:sz w:val="20"/>
                <w:szCs w:val="20"/>
                <w:color w:val="auto"/>
              </w:rPr>
            </w:pPr>
            <w:r>
              <w:rPr>
                <w:rFonts w:ascii="Arial" w:cs="Arial" w:eastAsia="Arial" w:hAnsi="Arial"/>
                <w:sz w:val="14"/>
                <w:szCs w:val="14"/>
                <w:b w:val="1"/>
                <w:bCs w:val="1"/>
                <w:color w:val="auto"/>
                <w:w w:val="97"/>
              </w:rPr>
              <w:t>Title</w:t>
            </w:r>
          </w:p>
        </w:tc>
        <w:tc>
          <w:tcPr>
            <w:tcW w:w="1460" w:type="dxa"/>
            <w:vAlign w:val="bottom"/>
          </w:tcPr>
          <w:p>
            <w:pPr>
              <w:jc w:val="center"/>
              <w:ind w:left="39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780" w:type="dxa"/>
            <w:vAlign w:val="bottom"/>
          </w:tcPr>
          <w:p>
            <w:pPr>
              <w:jc w:val="center"/>
              <w:spacing w:after="0"/>
              <w:rPr>
                <w:sz w:val="20"/>
                <w:szCs w:val="20"/>
                <w:color w:val="auto"/>
              </w:rPr>
            </w:pPr>
            <w:r>
              <w:rPr>
                <w:rFonts w:ascii="Arial" w:cs="Arial" w:eastAsia="Arial" w:hAnsi="Arial"/>
                <w:sz w:val="18"/>
                <w:szCs w:val="18"/>
                <w:color w:val="auto"/>
                <w:w w:val="92"/>
              </w:rPr>
              <w:t>/s/ Christopher A. Simon</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1"/>
              </w:rPr>
              <w:t>President, Chief Executive Officer and a 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vMerge w:val="restart"/>
          </w:tcPr>
          <w:p>
            <w:pPr>
              <w:jc w:val="center"/>
              <w:ind w:left="251"/>
              <w:spacing w:after="0"/>
              <w:rPr>
                <w:sz w:val="20"/>
                <w:szCs w:val="20"/>
                <w:color w:val="auto"/>
              </w:rPr>
            </w:pPr>
            <w:r>
              <w:rPr>
                <w:rFonts w:ascii="Arial" w:cs="Arial" w:eastAsia="Arial" w:hAnsi="Arial"/>
                <w:sz w:val="18"/>
                <w:szCs w:val="18"/>
                <w:color w:val="auto"/>
                <w:w w:val="93"/>
              </w:rPr>
              <w:t>(Principal Executive Officer)</w:t>
            </w: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3"/>
              </w:rPr>
              <w:t>Christopher A. Simon</w:t>
            </w:r>
          </w:p>
        </w:tc>
        <w:tc>
          <w:tcPr>
            <w:tcW w:w="482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5"/>
              </w:rPr>
              <w:t>/s/ William Burke</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2"/>
              </w:rPr>
              <w:t>Executive Vice President, Chief Financial Officer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8"/>
              </w:rPr>
              <w:t>William Burke</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4"/>
              </w:rPr>
              <w:t>(Principal Financial Officer)</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1"/>
              </w:rPr>
              <w:t>/s/ Dan Goldstein</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1"/>
              </w:rPr>
              <w:t>Vice President, Corporate Controller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1"/>
              </w:rPr>
              <w:t>Dan Goldstein</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4"/>
              </w:rPr>
              <w:t>(Principal Accounting Officer)</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2"/>
              </w:rPr>
              <w:t>/s/ Robert Abernathy</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0"/>
              </w:rPr>
              <w:t>Robert Abernathy</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780" w:type="dxa"/>
            <w:vAlign w:val="bottom"/>
          </w:tcPr>
          <w:p>
            <w:pPr>
              <w:jc w:val="center"/>
              <w:spacing w:after="0"/>
              <w:rPr>
                <w:sz w:val="20"/>
                <w:szCs w:val="20"/>
                <w:color w:val="auto"/>
              </w:rPr>
            </w:pPr>
            <w:r>
              <w:rPr>
                <w:rFonts w:ascii="Arial" w:cs="Arial" w:eastAsia="Arial" w:hAnsi="Arial"/>
                <w:sz w:val="18"/>
                <w:szCs w:val="18"/>
                <w:color w:val="auto"/>
                <w:w w:val="91"/>
              </w:rPr>
              <w:t>/s/ Catherine Burzik</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3"/>
              </w:rPr>
              <w:t>Catherine Burzik</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2"/>
              </w:rPr>
              <w:t>/s/ Michael J. Coyle</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3"/>
              </w:rPr>
              <w:t>Michael J. Coyle</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1"/>
              </w:rPr>
              <w:t>/s/ Charles Dockendorff</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2"/>
              </w:rPr>
              <w:t>Charles Dockendorff</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Pr>
          <w:p>
            <w:pPr>
              <w:jc w:val="center"/>
              <w:spacing w:after="0"/>
              <w:rPr>
                <w:sz w:val="20"/>
                <w:szCs w:val="20"/>
                <w:color w:val="auto"/>
              </w:rPr>
            </w:pPr>
            <w:r>
              <w:rPr>
                <w:rFonts w:ascii="Arial" w:cs="Arial" w:eastAsia="Arial" w:hAnsi="Arial"/>
                <w:sz w:val="18"/>
                <w:szCs w:val="18"/>
                <w:color w:val="auto"/>
                <w:w w:val="91"/>
              </w:rPr>
              <w:t>Ronald Gelbman</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8"/>
              </w:rPr>
              <w:t>/s/ Mark Kroll</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780" w:type="dxa"/>
            <w:vAlign w:val="bottom"/>
          </w:tcPr>
          <w:p>
            <w:pPr>
              <w:jc w:val="center"/>
              <w:spacing w:after="0"/>
              <w:rPr>
                <w:sz w:val="20"/>
                <w:szCs w:val="20"/>
                <w:color w:val="auto"/>
              </w:rPr>
            </w:pPr>
            <w:r>
              <w:rPr>
                <w:rFonts w:ascii="Arial" w:cs="Arial" w:eastAsia="Arial" w:hAnsi="Arial"/>
                <w:sz w:val="18"/>
                <w:szCs w:val="18"/>
                <w:color w:val="auto"/>
                <w:w w:val="98"/>
              </w:rPr>
              <w:t>Mark Kroll</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1"/>
              </w:rPr>
              <w:t>/s/ Claire Pomeroy</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780" w:type="dxa"/>
            <w:vAlign w:val="bottom"/>
          </w:tcPr>
          <w:p>
            <w:pPr>
              <w:jc w:val="center"/>
              <w:spacing w:after="0"/>
              <w:rPr>
                <w:sz w:val="20"/>
                <w:szCs w:val="20"/>
                <w:color w:val="auto"/>
              </w:rPr>
            </w:pPr>
            <w:r>
              <w:rPr>
                <w:rFonts w:ascii="Arial" w:cs="Arial" w:eastAsia="Arial" w:hAnsi="Arial"/>
                <w:sz w:val="18"/>
                <w:szCs w:val="18"/>
                <w:color w:val="auto"/>
                <w:w w:val="90"/>
              </w:rPr>
              <w:t>Claire Pomeroy</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80" w:type="dxa"/>
            <w:vAlign w:val="bottom"/>
          </w:tcPr>
          <w:p>
            <w:pPr>
              <w:jc w:val="center"/>
              <w:spacing w:after="0"/>
              <w:rPr>
                <w:sz w:val="20"/>
                <w:szCs w:val="20"/>
                <w:color w:val="auto"/>
              </w:rPr>
            </w:pPr>
            <w:r>
              <w:rPr>
                <w:rFonts w:ascii="Arial" w:cs="Arial" w:eastAsia="Arial" w:hAnsi="Arial"/>
                <w:sz w:val="18"/>
                <w:szCs w:val="18"/>
                <w:color w:val="auto"/>
                <w:w w:val="91"/>
              </w:rPr>
              <w:t>/s/ Richard Meelia</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780" w:type="dxa"/>
            <w:vAlign w:val="bottom"/>
          </w:tcPr>
          <w:p>
            <w:pPr>
              <w:jc w:val="center"/>
              <w:spacing w:after="0"/>
              <w:rPr>
                <w:sz w:val="20"/>
                <w:szCs w:val="20"/>
                <w:color w:val="auto"/>
              </w:rPr>
            </w:pPr>
            <w:r>
              <w:rPr>
                <w:rFonts w:ascii="Arial" w:cs="Arial" w:eastAsia="Arial" w:hAnsi="Arial"/>
                <w:sz w:val="18"/>
                <w:szCs w:val="18"/>
                <w:color w:val="auto"/>
                <w:w w:val="93"/>
              </w:rPr>
              <w:t>Richard Meelia</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80" w:type="dxa"/>
            <w:vAlign w:val="bottom"/>
          </w:tcPr>
          <w:p>
            <w:pPr>
              <w:jc w:val="center"/>
              <w:spacing w:after="0"/>
              <w:rPr>
                <w:sz w:val="20"/>
                <w:szCs w:val="20"/>
                <w:color w:val="auto"/>
              </w:rPr>
            </w:pPr>
            <w:r>
              <w:rPr>
                <w:rFonts w:ascii="Arial" w:cs="Arial" w:eastAsia="Arial" w:hAnsi="Arial"/>
                <w:sz w:val="18"/>
                <w:szCs w:val="18"/>
                <w:color w:val="auto"/>
                <w:w w:val="90"/>
              </w:rPr>
              <w:t>/s/ Ellen Zane</w:t>
            </w:r>
          </w:p>
        </w:tc>
        <w:tc>
          <w:tcPr>
            <w:tcW w:w="482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center"/>
              <w:ind w:left="371"/>
              <w:spacing w:after="0"/>
              <w:rPr>
                <w:sz w:val="20"/>
                <w:szCs w:val="20"/>
                <w:color w:val="auto"/>
              </w:rPr>
            </w:pPr>
            <w:r>
              <w:rPr>
                <w:rFonts w:ascii="Arial" w:cs="Arial" w:eastAsia="Arial" w:hAnsi="Arial"/>
                <w:sz w:val="18"/>
                <w:szCs w:val="18"/>
                <w:color w:val="auto"/>
                <w:w w:val="91"/>
              </w:rPr>
              <w:t>May 20, 2020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780" w:type="dxa"/>
            <w:vAlign w:val="bottom"/>
          </w:tcPr>
          <w:p>
            <w:pPr>
              <w:jc w:val="center"/>
              <w:spacing w:after="0"/>
              <w:rPr>
                <w:sz w:val="20"/>
                <w:szCs w:val="20"/>
                <w:color w:val="auto"/>
              </w:rPr>
            </w:pPr>
            <w:r>
              <w:rPr>
                <w:rFonts w:ascii="Arial" w:cs="Arial" w:eastAsia="Arial" w:hAnsi="Arial"/>
                <w:sz w:val="18"/>
                <w:szCs w:val="18"/>
                <w:color w:val="auto"/>
                <w:w w:val="92"/>
              </w:rPr>
              <w:t>Ellen Zane</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30" w:right="3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1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28, 2020</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30, 2019</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30" w:right="3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4B</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March 28, 2020, Haemonetics Corporation (the “Company”) has one class of securities registered under Section 12 of the Securities Exchange Act of 1934, as amended (the “Exchange Act”): shares of Common Stock, $0.01 par value per share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0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following summary description sets forth some of the general terms and provisions of the Common Stock. Because this is a summary description, it does not contain all of the information that may be important to you. It is subject to and qualified in its entirety by reference to the Company’s Restated Articles of Organization and Amendments thereto (the “Restated Articles of Organization”) and the Company’s By-Laws (the “By-Laws”), each of which is an exhibit to the Annual Report on Form 10-K of which this description is a 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authorized capital stock of the Company consists of 150 million shares of Common Stock. The outstanding shares of our Common Stock are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are entitled to one vote per share on all matters voted on by shareholders of the Company, including the election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do not have cumulative voting rights.</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Prior to the 2022 annual meeting of shareholders, the directors of the Company are divided into three classes: Class I, Class II and Class III. Each director shall hold office until the annual meeting for the year in which such director’s term expires and until such director’s successor is elected and qualified, subject to prior death, resignation, retirement or removal. At the 2020 annual meeting of shareholders of the Company, the successors to the directors whose terms expire at that meeting will be elected to hold office for terms expiring at the 2021 annual meeting of shareholders; at the 2021 annual meeting of shareholders, the successors to the directors whose terms expire at that meeting will be elected for terms expiring at the 2022 annual meeting of shareholders; and at the 2022 annual meeting of shareholders, the successors to the directors whose terms expire at that meeting shall be elected for terms expiring at the 2023 annual meeting of shareholders and the division of directors into classes will terminate. Thereafter all directors will be elected for terms expiring at the next annual meeting of shareholders and until their successors shall be elected and qualified, subject to prior death, resignation, retirement or removal. All nominees will stand for election or re-election at each annual meeting of shareholders of the Company. Directors are elected by a plurality of the votes cast by shareholders entitled to vote. Holders of Common Stock may act by unanimous written consent.</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When a quorum for the consideration of a proposal is present at any meeting, favorable action on the proposal is taken if the votes cast favoring the action exceed the votes cast opposing the action; except that if two or more voting groups are entitled to vote upon such proposal, then in the case of each such voting group, favorable action on the proposal is taken if the votes cast within the group favoring the action exceed the votes cast opposing the action; and except in any case where a different vote is required by law, by the Restated Articles of Organization or by the By-Laws. The Restated Articles of Organization provide that certain business combinations with “interested stockholders” require the approval of 80% of the Company’s voting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holders of Common Stock are entitled to receive dividends, if any, when and as declared from time to time by the Board of Directors of the Company in its discretion, out of assets legally available for the payment of dividends.</w:t>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Liquidation Rights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Upon the liquidation, dissolution or winding up of the Company, the holders of Common Stock are entitled to receive ratably the net assets of the Company available after the payment of all debts and other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02" w:lineRule="exact"/>
        <w:rPr>
          <w:sz w:val="20"/>
          <w:szCs w:val="20"/>
          <w:color w:val="auto"/>
        </w:rPr>
      </w:pPr>
    </w:p>
    <w:p>
      <w:pPr>
        <w:jc w:val="both"/>
        <w:ind w:right="100"/>
        <w:spacing w:after="0" w:line="307" w:lineRule="auto"/>
        <w:rPr>
          <w:sz w:val="20"/>
          <w:szCs w:val="20"/>
          <w:color w:val="auto"/>
        </w:rPr>
      </w:pPr>
      <w:r>
        <w:rPr>
          <w:rFonts w:ascii="Arial" w:cs="Arial" w:eastAsia="Arial" w:hAnsi="Arial"/>
          <w:sz w:val="16"/>
          <w:szCs w:val="16"/>
          <w:color w:val="auto"/>
        </w:rPr>
        <w:t>The Common Stock is not redeemable or exchangeable, is not subject to sinking fund provisions, does not have any conversion rights and is not subject to call. Holders of Common Stock have no preemptive rights to maintain their percentage of ownership in future offerings or sales of stock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New York Stock Exchange under the trading symbol “HAE.”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Law</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Company is subject to the provisions of Chapter 110F of the Massachusetts General Laws, the so-called Business Combination Statute, at any time in which it has at least 200 shareholders of record. Under Chapter 110F, a Massachusetts corporation with at least 200 shareholders of record may not engage in a “business combination” with an “interested shareholder” for a period of three years after the date of the transaction in which the person becomes an interested shareholder, unless (i) the interested shareholder obtains the approval of the Board of Directors of the Company prior to becoming an interested shareholder, (ii) the interested shareholder acquires 90% of the outstanding voting stock of the Company (excluding shares held by certain affiliates of the Company) at the time it becomes an interested shareholder, or (iii) the business combination is approved by both the Board of Directors of the Company and the holders of at least two-thirds of the outstanding voting stock of the Company (excluding shares held by the interested shareholder), which in the case of the shareholder approval is authorized at an annual or special meeting of shareholders, and not by written consent. As of March 28, 2020, the Company had less than 200 shareholders of record.</w:t>
      </w:r>
    </w:p>
    <w:p>
      <w:pPr>
        <w:spacing w:after="0" w:line="18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An “interested shareholder” is a person who, together with affiliates and associates, owns (or at any time within the prior three years did own) 5% or more of the outstanding voting stock of the Company. A “business combination” includes a merger, a stock or asset sale, and other transactions resulting in a financial benefit to the shareholder.</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Company has elected not to be subject to the provisions of Chapter 110D of the Massachusetts General Laws, the so-called Control Share Acquisition Statute.</w:t>
      </w:r>
    </w:p>
    <w:p>
      <w:pPr>
        <w:sectPr>
          <w:pgSz w:w="11900" w:h="16838" w:orient="portrait"/>
          <w:cols w:equalWidth="0" w:num="1">
            <w:col w:w="11220"/>
          </w:cols>
          <w:pgMar w:left="320" w:top="324"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50"/>
        </w:trPr>
        <w:tc>
          <w:tcPr>
            <w:tcW w:w="6180" w:type="dxa"/>
            <w:vAlign w:val="bottom"/>
            <w:gridSpan w:val="2"/>
          </w:tcPr>
          <w:p>
            <w:pPr>
              <w:spacing w:after="0"/>
              <w:rPr>
                <w:sz w:val="20"/>
                <w:szCs w:val="20"/>
                <w:color w:val="auto"/>
              </w:rPr>
            </w:pPr>
            <w:r>
              <w:rPr>
                <w:rFonts w:ascii="Arial" w:cs="Arial" w:eastAsia="Arial" w:hAnsi="Arial"/>
                <w:sz w:val="20"/>
                <w:szCs w:val="20"/>
                <w:color w:val="auto"/>
              </w:rPr>
              <w:t>Exhibit 21.1 - Subsidiaries of the Company</w:t>
            </w:r>
          </w:p>
        </w:tc>
        <w:tc>
          <w:tcPr>
            <w:tcW w:w="4840" w:type="dxa"/>
            <w:vAlign w:val="bottom"/>
          </w:tcPr>
          <w:p>
            <w:pPr>
              <w:spacing w:after="0"/>
              <w:rPr>
                <w:sz w:val="21"/>
                <w:szCs w:val="21"/>
                <w:color w:val="auto"/>
              </w:rPr>
            </w:pPr>
          </w:p>
        </w:tc>
      </w:tr>
      <w:tr>
        <w:trPr>
          <w:trHeight w:val="405"/>
        </w:trPr>
        <w:tc>
          <w:tcPr>
            <w:tcW w:w="6180" w:type="dxa"/>
            <w:vAlign w:val="bottom"/>
            <w:gridSpan w:val="2"/>
          </w:tcPr>
          <w:p>
            <w:pPr>
              <w:ind w:left="40"/>
              <w:spacing w:after="0"/>
              <w:rPr>
                <w:sz w:val="20"/>
                <w:szCs w:val="20"/>
                <w:color w:val="auto"/>
              </w:rPr>
            </w:pPr>
            <w:r>
              <w:rPr>
                <w:rFonts w:ascii="Arial" w:cs="Arial" w:eastAsia="Arial" w:hAnsi="Arial"/>
                <w:sz w:val="20"/>
                <w:szCs w:val="20"/>
                <w:b w:val="1"/>
                <w:bCs w:val="1"/>
                <w:color w:val="auto"/>
              </w:rPr>
              <w:t>Subsidiary of Haemonetics Corporation</w:t>
            </w:r>
          </w:p>
        </w:tc>
        <w:tc>
          <w:tcPr>
            <w:tcW w:w="4840" w:type="dxa"/>
            <w:vAlign w:val="bottom"/>
          </w:tcPr>
          <w:p>
            <w:pPr>
              <w:ind w:left="20"/>
              <w:spacing w:after="0"/>
              <w:rPr>
                <w:sz w:val="20"/>
                <w:szCs w:val="20"/>
                <w:color w:val="auto"/>
              </w:rPr>
            </w:pPr>
            <w:r>
              <w:rPr>
                <w:rFonts w:ascii="Arial" w:cs="Arial" w:eastAsia="Arial" w:hAnsi="Arial"/>
                <w:sz w:val="20"/>
                <w:szCs w:val="20"/>
                <w:b w:val="1"/>
                <w:bCs w:val="1"/>
                <w:color w:val="auto"/>
              </w:rPr>
              <w:t>Jurisdiction of Incorporation or Organization</w:t>
            </w:r>
          </w:p>
        </w:tc>
      </w:tr>
      <w:tr>
        <w:trPr>
          <w:trHeight w:val="23"/>
        </w:trPr>
        <w:tc>
          <w:tcPr>
            <w:tcW w:w="5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5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5D Information Management, Inc.</w:t>
            </w:r>
          </w:p>
        </w:tc>
        <w:tc>
          <w:tcPr>
            <w:tcW w:w="484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Arryx, Inc.</w:t>
            </w:r>
          </w:p>
        </w:tc>
        <w:tc>
          <w:tcPr>
            <w:tcW w:w="4840" w:type="dxa"/>
            <w:vAlign w:val="bottom"/>
          </w:tcPr>
          <w:p>
            <w:pPr>
              <w:ind w:left="20"/>
              <w:spacing w:after="0"/>
              <w:rPr>
                <w:sz w:val="20"/>
                <w:szCs w:val="20"/>
                <w:color w:val="auto"/>
              </w:rPr>
            </w:pPr>
            <w:r>
              <w:rPr>
                <w:rFonts w:ascii="Arial" w:cs="Arial" w:eastAsia="Arial" w:hAnsi="Arial"/>
                <w:sz w:val="20"/>
                <w:szCs w:val="20"/>
                <w:color w:val="auto"/>
              </w:rPr>
              <w:t>Nevada</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Enicor GmbH</w:t>
            </w:r>
          </w:p>
        </w:tc>
        <w:tc>
          <w:tcPr>
            <w:tcW w:w="4840" w:type="dxa"/>
            <w:vAlign w:val="bottom"/>
          </w:tcPr>
          <w:p>
            <w:pPr>
              <w:ind w:left="20"/>
              <w:spacing w:after="0"/>
              <w:rPr>
                <w:sz w:val="20"/>
                <w:szCs w:val="20"/>
                <w:color w:val="auto"/>
              </w:rPr>
            </w:pPr>
            <w:r>
              <w:rPr>
                <w:rFonts w:ascii="Arial" w:cs="Arial" w:eastAsia="Arial" w:hAnsi="Arial"/>
                <w:sz w:val="20"/>
                <w:szCs w:val="20"/>
                <w:color w:val="auto"/>
              </w:rPr>
              <w:t>Germany</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Global Med Technologies, Inc.</w:t>
            </w:r>
          </w:p>
        </w:tc>
        <w:tc>
          <w:tcPr>
            <w:tcW w:w="4840" w:type="dxa"/>
            <w:vAlign w:val="bottom"/>
          </w:tcPr>
          <w:p>
            <w:pPr>
              <w:ind w:left="20"/>
              <w:spacing w:after="0"/>
              <w:rPr>
                <w:sz w:val="20"/>
                <w:szCs w:val="20"/>
                <w:color w:val="auto"/>
              </w:rPr>
            </w:pPr>
            <w:r>
              <w:rPr>
                <w:rFonts w:ascii="Arial" w:cs="Arial" w:eastAsia="Arial" w:hAnsi="Arial"/>
                <w:sz w:val="20"/>
                <w:szCs w:val="20"/>
                <w:color w:val="auto"/>
              </w:rPr>
              <w:t>Colorado</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(Hong Kong) Limited</w:t>
            </w:r>
          </w:p>
        </w:tc>
        <w:tc>
          <w:tcPr>
            <w:tcW w:w="4840" w:type="dxa"/>
            <w:vAlign w:val="bottom"/>
          </w:tcPr>
          <w:p>
            <w:pPr>
              <w:ind w:left="20"/>
              <w:spacing w:after="0"/>
              <w:rPr>
                <w:sz w:val="20"/>
                <w:szCs w:val="20"/>
                <w:color w:val="auto"/>
              </w:rPr>
            </w:pPr>
            <w:r>
              <w:rPr>
                <w:rFonts w:ascii="Arial" w:cs="Arial" w:eastAsia="Arial" w:hAnsi="Arial"/>
                <w:sz w:val="20"/>
                <w:szCs w:val="20"/>
                <w:color w:val="auto"/>
              </w:rPr>
              <w:t>Hong Kong</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(UK) Limited</w:t>
            </w:r>
          </w:p>
        </w:tc>
        <w:tc>
          <w:tcPr>
            <w:tcW w:w="48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Asia Incorporated</w:t>
            </w:r>
          </w:p>
        </w:tc>
        <w:tc>
          <w:tcPr>
            <w:tcW w:w="484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Asia UK Ltd.</w:t>
            </w:r>
          </w:p>
        </w:tc>
        <w:tc>
          <w:tcPr>
            <w:tcW w:w="48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Australia PTY Ltd.</w:t>
            </w:r>
          </w:p>
        </w:tc>
        <w:tc>
          <w:tcPr>
            <w:tcW w:w="4840" w:type="dxa"/>
            <w:vAlign w:val="bottom"/>
          </w:tcPr>
          <w:p>
            <w:pPr>
              <w:ind w:left="20"/>
              <w:spacing w:after="0"/>
              <w:rPr>
                <w:sz w:val="20"/>
                <w:szCs w:val="20"/>
                <w:color w:val="auto"/>
              </w:rPr>
            </w:pPr>
            <w:r>
              <w:rPr>
                <w:rFonts w:ascii="Arial" w:cs="Arial" w:eastAsia="Arial" w:hAnsi="Arial"/>
                <w:sz w:val="20"/>
                <w:szCs w:val="20"/>
                <w:color w:val="auto"/>
              </w:rPr>
              <w:t>Victoria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Belgium NV</w:t>
            </w:r>
          </w:p>
        </w:tc>
        <w:tc>
          <w:tcPr>
            <w:tcW w:w="4840" w:type="dxa"/>
            <w:vAlign w:val="bottom"/>
          </w:tcPr>
          <w:p>
            <w:pPr>
              <w:ind w:left="20"/>
              <w:spacing w:after="0"/>
              <w:rPr>
                <w:sz w:val="20"/>
                <w:szCs w:val="20"/>
                <w:color w:val="auto"/>
              </w:rPr>
            </w:pPr>
            <w:r>
              <w:rPr>
                <w:rFonts w:ascii="Arial" w:cs="Arial" w:eastAsia="Arial" w:hAnsi="Arial"/>
                <w:sz w:val="20"/>
                <w:szCs w:val="20"/>
                <w:color w:val="auto"/>
              </w:rPr>
              <w:t>Belgium</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BV</w:t>
            </w:r>
          </w:p>
        </w:tc>
        <w:tc>
          <w:tcPr>
            <w:tcW w:w="4840" w:type="dxa"/>
            <w:vAlign w:val="bottom"/>
          </w:tcPr>
          <w:p>
            <w:pPr>
              <w:ind w:left="20"/>
              <w:spacing w:after="0"/>
              <w:rPr>
                <w:sz w:val="20"/>
                <w:szCs w:val="20"/>
                <w:color w:val="auto"/>
              </w:rPr>
            </w:pPr>
            <w:r>
              <w:rPr>
                <w:rFonts w:ascii="Arial" w:cs="Arial" w:eastAsia="Arial" w:hAnsi="Arial"/>
                <w:sz w:val="20"/>
                <w:szCs w:val="20"/>
                <w:color w:val="auto"/>
              </w:rPr>
              <w:t>Netherlands</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Canada Ltd.</w:t>
            </w:r>
          </w:p>
        </w:tc>
        <w:tc>
          <w:tcPr>
            <w:tcW w:w="4840" w:type="dxa"/>
            <w:vAlign w:val="bottom"/>
          </w:tcPr>
          <w:p>
            <w:pPr>
              <w:ind w:left="20"/>
              <w:spacing w:after="0"/>
              <w:rPr>
                <w:sz w:val="20"/>
                <w:szCs w:val="20"/>
                <w:color w:val="auto"/>
              </w:rPr>
            </w:pPr>
            <w:r>
              <w:rPr>
                <w:rFonts w:ascii="Arial" w:cs="Arial" w:eastAsia="Arial" w:hAnsi="Arial"/>
                <w:sz w:val="20"/>
                <w:szCs w:val="20"/>
                <w:color w:val="auto"/>
              </w:rPr>
              <w:t>British Columbia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CZ, spol. s.r.o.</w:t>
            </w:r>
          </w:p>
        </w:tc>
        <w:tc>
          <w:tcPr>
            <w:tcW w:w="4840" w:type="dxa"/>
            <w:vAlign w:val="bottom"/>
          </w:tcPr>
          <w:p>
            <w:pPr>
              <w:ind w:left="20"/>
              <w:spacing w:after="0"/>
              <w:rPr>
                <w:sz w:val="20"/>
                <w:szCs w:val="20"/>
                <w:color w:val="auto"/>
              </w:rPr>
            </w:pPr>
            <w:r>
              <w:rPr>
                <w:rFonts w:ascii="Arial" w:cs="Arial" w:eastAsia="Arial" w:hAnsi="Arial"/>
                <w:sz w:val="20"/>
                <w:szCs w:val="20"/>
                <w:color w:val="auto"/>
              </w:rPr>
              <w:t>Czech Republic</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France S.a.r.l</w:t>
            </w:r>
          </w:p>
        </w:tc>
        <w:tc>
          <w:tcPr>
            <w:tcW w:w="4840" w:type="dxa"/>
            <w:vAlign w:val="bottom"/>
          </w:tcPr>
          <w:p>
            <w:pPr>
              <w:ind w:left="20"/>
              <w:spacing w:after="0"/>
              <w:rPr>
                <w:sz w:val="20"/>
                <w:szCs w:val="20"/>
                <w:color w:val="auto"/>
              </w:rPr>
            </w:pPr>
            <w:r>
              <w:rPr>
                <w:rFonts w:ascii="Arial" w:cs="Arial" w:eastAsia="Arial" w:hAnsi="Arial"/>
                <w:sz w:val="20"/>
                <w:szCs w:val="20"/>
                <w:color w:val="auto"/>
              </w:rPr>
              <w:t>France</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GmbH</w:t>
            </w:r>
          </w:p>
        </w:tc>
        <w:tc>
          <w:tcPr>
            <w:tcW w:w="4840" w:type="dxa"/>
            <w:vAlign w:val="bottom"/>
          </w:tcPr>
          <w:p>
            <w:pPr>
              <w:ind w:left="20"/>
              <w:spacing w:after="0"/>
              <w:rPr>
                <w:sz w:val="20"/>
                <w:szCs w:val="20"/>
                <w:color w:val="auto"/>
              </w:rPr>
            </w:pPr>
            <w:r>
              <w:rPr>
                <w:rFonts w:ascii="Arial" w:cs="Arial" w:eastAsia="Arial" w:hAnsi="Arial"/>
                <w:sz w:val="20"/>
                <w:szCs w:val="20"/>
                <w:color w:val="auto"/>
              </w:rPr>
              <w:t>Germany</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Handelsgesellschaft m.b.H.</w:t>
            </w:r>
          </w:p>
        </w:tc>
        <w:tc>
          <w:tcPr>
            <w:tcW w:w="4840" w:type="dxa"/>
            <w:vAlign w:val="bottom"/>
          </w:tcPr>
          <w:p>
            <w:pPr>
              <w:ind w:left="20"/>
              <w:spacing w:after="0"/>
              <w:rPr>
                <w:sz w:val="20"/>
                <w:szCs w:val="20"/>
                <w:color w:val="auto"/>
              </w:rPr>
            </w:pPr>
            <w:r>
              <w:rPr>
                <w:rFonts w:ascii="Arial" w:cs="Arial" w:eastAsia="Arial" w:hAnsi="Arial"/>
                <w:sz w:val="20"/>
                <w:szCs w:val="20"/>
                <w:color w:val="auto"/>
              </w:rPr>
              <w:t>Austria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Healthcare India Private Limited</w:t>
            </w:r>
          </w:p>
        </w:tc>
        <w:tc>
          <w:tcPr>
            <w:tcW w:w="4840" w:type="dxa"/>
            <w:vAlign w:val="bottom"/>
          </w:tcPr>
          <w:p>
            <w:pPr>
              <w:ind w:left="20"/>
              <w:spacing w:after="0"/>
              <w:rPr>
                <w:sz w:val="20"/>
                <w:szCs w:val="20"/>
                <w:color w:val="auto"/>
              </w:rPr>
            </w:pPr>
            <w:r>
              <w:rPr>
                <w:rFonts w:ascii="Arial" w:cs="Arial" w:eastAsia="Arial" w:hAnsi="Arial"/>
                <w:sz w:val="20"/>
                <w:szCs w:val="20"/>
                <w:color w:val="auto"/>
              </w:rPr>
              <w:t>India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Hospitalar EIRELI</w:t>
            </w:r>
          </w:p>
        </w:tc>
        <w:tc>
          <w:tcPr>
            <w:tcW w:w="4840" w:type="dxa"/>
            <w:vAlign w:val="bottom"/>
          </w:tcPr>
          <w:p>
            <w:pPr>
              <w:ind w:left="20"/>
              <w:spacing w:after="0"/>
              <w:rPr>
                <w:sz w:val="20"/>
                <w:szCs w:val="20"/>
                <w:color w:val="auto"/>
              </w:rPr>
            </w:pPr>
            <w:r>
              <w:rPr>
                <w:rFonts w:ascii="Arial" w:cs="Arial" w:eastAsia="Arial" w:hAnsi="Arial"/>
                <w:sz w:val="20"/>
                <w:szCs w:val="20"/>
                <w:color w:val="auto"/>
              </w:rPr>
              <w:t>Brazil</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International Finance S.a.r.l.</w:t>
            </w:r>
          </w:p>
        </w:tc>
        <w:tc>
          <w:tcPr>
            <w:tcW w:w="4840" w:type="dxa"/>
            <w:vAlign w:val="bottom"/>
          </w:tcPr>
          <w:p>
            <w:pPr>
              <w:ind w:left="20"/>
              <w:spacing w:after="0"/>
              <w:rPr>
                <w:sz w:val="20"/>
                <w:szCs w:val="20"/>
                <w:color w:val="auto"/>
              </w:rPr>
            </w:pPr>
            <w:r>
              <w:rPr>
                <w:rFonts w:ascii="Arial" w:cs="Arial" w:eastAsia="Arial" w:hAnsi="Arial"/>
                <w:sz w:val="20"/>
                <w:szCs w:val="20"/>
                <w:color w:val="auto"/>
              </w:rPr>
              <w:t>Luxembourg</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International Holdings GmbH</w:t>
            </w:r>
          </w:p>
        </w:tc>
        <w:tc>
          <w:tcPr>
            <w:tcW w:w="484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Italia s.r.l.</w:t>
            </w:r>
          </w:p>
        </w:tc>
        <w:tc>
          <w:tcPr>
            <w:tcW w:w="4840" w:type="dxa"/>
            <w:vAlign w:val="bottom"/>
          </w:tcPr>
          <w:p>
            <w:pPr>
              <w:ind w:left="20"/>
              <w:spacing w:after="0"/>
              <w:rPr>
                <w:sz w:val="20"/>
                <w:szCs w:val="20"/>
                <w:color w:val="auto"/>
              </w:rPr>
            </w:pPr>
            <w:r>
              <w:rPr>
                <w:rFonts w:ascii="Arial" w:cs="Arial" w:eastAsia="Arial" w:hAnsi="Arial"/>
                <w:sz w:val="20"/>
                <w:szCs w:val="20"/>
                <w:color w:val="auto"/>
              </w:rPr>
              <w:t>Italy</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Japan GK</w:t>
            </w:r>
          </w:p>
        </w:tc>
        <w:tc>
          <w:tcPr>
            <w:tcW w:w="4840" w:type="dxa"/>
            <w:vAlign w:val="bottom"/>
          </w:tcPr>
          <w:p>
            <w:pPr>
              <w:ind w:left="20"/>
              <w:spacing w:after="0"/>
              <w:rPr>
                <w:sz w:val="20"/>
                <w:szCs w:val="20"/>
                <w:color w:val="auto"/>
              </w:rPr>
            </w:pPr>
            <w:r>
              <w:rPr>
                <w:rFonts w:ascii="Arial" w:cs="Arial" w:eastAsia="Arial" w:hAnsi="Arial"/>
                <w:sz w:val="20"/>
                <w:szCs w:val="20"/>
                <w:color w:val="auto"/>
              </w:rPr>
              <w:t>Japan</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Korea, Inc.</w:t>
            </w:r>
          </w:p>
        </w:tc>
        <w:tc>
          <w:tcPr>
            <w:tcW w:w="4840" w:type="dxa"/>
            <w:vAlign w:val="bottom"/>
          </w:tcPr>
          <w:p>
            <w:pPr>
              <w:ind w:left="20"/>
              <w:spacing w:after="0"/>
              <w:rPr>
                <w:sz w:val="20"/>
                <w:szCs w:val="20"/>
                <w:color w:val="auto"/>
              </w:rPr>
            </w:pPr>
            <w:r>
              <w:rPr>
                <w:rFonts w:ascii="Arial" w:cs="Arial" w:eastAsia="Arial" w:hAnsi="Arial"/>
                <w:sz w:val="20"/>
                <w:szCs w:val="20"/>
                <w:color w:val="auto"/>
              </w:rPr>
              <w:t>Seoul, Korea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Limited</w:t>
            </w:r>
          </w:p>
        </w:tc>
        <w:tc>
          <w:tcPr>
            <w:tcW w:w="48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Malaysia Sdn. Bhd.</w:t>
            </w:r>
          </w:p>
        </w:tc>
        <w:tc>
          <w:tcPr>
            <w:tcW w:w="4840" w:type="dxa"/>
            <w:vAlign w:val="bottom"/>
          </w:tcPr>
          <w:p>
            <w:pPr>
              <w:ind w:left="20"/>
              <w:spacing w:after="0"/>
              <w:rPr>
                <w:sz w:val="20"/>
                <w:szCs w:val="20"/>
                <w:color w:val="auto"/>
              </w:rPr>
            </w:pPr>
            <w:r>
              <w:rPr>
                <w:rFonts w:ascii="Arial" w:cs="Arial" w:eastAsia="Arial" w:hAnsi="Arial"/>
                <w:sz w:val="20"/>
                <w:szCs w:val="20"/>
                <w:color w:val="auto"/>
              </w:rPr>
              <w:t>Malaysia</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Manufacturing, Inc.</w:t>
            </w:r>
          </w:p>
        </w:tc>
        <w:tc>
          <w:tcPr>
            <w:tcW w:w="4840" w:type="dxa"/>
            <w:vAlign w:val="bottom"/>
          </w:tcPr>
          <w:p>
            <w:pPr>
              <w:ind w:left="20"/>
              <w:spacing w:after="0"/>
              <w:rPr>
                <w:sz w:val="20"/>
                <w:szCs w:val="20"/>
                <w:color w:val="auto"/>
              </w:rPr>
            </w:pPr>
            <w:r>
              <w:rPr>
                <w:rFonts w:ascii="Arial" w:cs="Arial" w:eastAsia="Arial" w:hAnsi="Arial"/>
                <w:sz w:val="20"/>
                <w:szCs w:val="20"/>
                <w:color w:val="auto"/>
              </w:rPr>
              <w:t>Delaware</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(Shanghai) Management Co. Ltd.</w:t>
            </w:r>
          </w:p>
        </w:tc>
        <w:tc>
          <w:tcPr>
            <w:tcW w:w="4840" w:type="dxa"/>
            <w:vAlign w:val="bottom"/>
          </w:tcPr>
          <w:p>
            <w:pPr>
              <w:ind w:left="20"/>
              <w:spacing w:after="0"/>
              <w:rPr>
                <w:sz w:val="20"/>
                <w:szCs w:val="20"/>
                <w:color w:val="auto"/>
              </w:rPr>
            </w:pPr>
            <w:r>
              <w:rPr>
                <w:rFonts w:ascii="Arial" w:cs="Arial" w:eastAsia="Arial" w:hAnsi="Arial"/>
                <w:sz w:val="20"/>
                <w:szCs w:val="20"/>
                <w:color w:val="auto"/>
              </w:rPr>
              <w:t>Shanghai,China</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Mexico Manufacturing, S.de R.L. de C.V.</w:t>
            </w:r>
          </w:p>
        </w:tc>
        <w:tc>
          <w:tcPr>
            <w:tcW w:w="4840" w:type="dxa"/>
            <w:vAlign w:val="bottom"/>
          </w:tcPr>
          <w:p>
            <w:pPr>
              <w:ind w:left="20"/>
              <w:spacing w:after="0"/>
              <w:rPr>
                <w:sz w:val="20"/>
                <w:szCs w:val="20"/>
                <w:color w:val="auto"/>
              </w:rPr>
            </w:pPr>
            <w:r>
              <w:rPr>
                <w:rFonts w:ascii="Arial" w:cs="Arial" w:eastAsia="Arial" w:hAnsi="Arial"/>
                <w:sz w:val="20"/>
                <w:szCs w:val="20"/>
                <w:color w:val="auto"/>
              </w:rPr>
              <w:t>Mexico</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New Zealand Limited</w:t>
            </w:r>
          </w:p>
        </w:tc>
        <w:tc>
          <w:tcPr>
            <w:tcW w:w="4840" w:type="dxa"/>
            <w:vAlign w:val="bottom"/>
          </w:tcPr>
          <w:p>
            <w:pPr>
              <w:ind w:left="20"/>
              <w:spacing w:after="0"/>
              <w:rPr>
                <w:sz w:val="20"/>
                <w:szCs w:val="20"/>
                <w:color w:val="auto"/>
              </w:rPr>
            </w:pPr>
            <w:r>
              <w:rPr>
                <w:rFonts w:ascii="Arial" w:cs="Arial" w:eastAsia="Arial" w:hAnsi="Arial"/>
                <w:sz w:val="20"/>
                <w:szCs w:val="20"/>
                <w:color w:val="auto"/>
              </w:rPr>
              <w:t>New Zealand</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Produzione Italia S.r.l.</w:t>
            </w:r>
          </w:p>
        </w:tc>
        <w:tc>
          <w:tcPr>
            <w:tcW w:w="4840" w:type="dxa"/>
            <w:vAlign w:val="bottom"/>
          </w:tcPr>
          <w:p>
            <w:pPr>
              <w:ind w:left="20"/>
              <w:spacing w:after="0"/>
              <w:rPr>
                <w:sz w:val="20"/>
                <w:szCs w:val="20"/>
                <w:color w:val="auto"/>
              </w:rPr>
            </w:pPr>
            <w:r>
              <w:rPr>
                <w:rFonts w:ascii="Arial" w:cs="Arial" w:eastAsia="Arial" w:hAnsi="Arial"/>
                <w:sz w:val="20"/>
                <w:szCs w:val="20"/>
                <w:color w:val="auto"/>
              </w:rPr>
              <w:t>Italy</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Puerto Rico, LLC</w:t>
            </w:r>
          </w:p>
        </w:tc>
        <w:tc>
          <w:tcPr>
            <w:tcW w:w="4840" w:type="dxa"/>
            <w:vAlign w:val="bottom"/>
          </w:tcPr>
          <w:p>
            <w:pPr>
              <w:ind w:left="20"/>
              <w:spacing w:after="0"/>
              <w:rPr>
                <w:sz w:val="20"/>
                <w:szCs w:val="20"/>
                <w:color w:val="auto"/>
              </w:rPr>
            </w:pPr>
            <w:r>
              <w:rPr>
                <w:rFonts w:ascii="Arial" w:cs="Arial" w:eastAsia="Arial" w:hAnsi="Arial"/>
                <w:sz w:val="20"/>
                <w:szCs w:val="20"/>
                <w:color w:val="auto"/>
              </w:rPr>
              <w:t>Puerto Rico</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S.A.</w:t>
            </w:r>
          </w:p>
        </w:tc>
        <w:tc>
          <w:tcPr>
            <w:tcW w:w="4840" w:type="dxa"/>
            <w:vAlign w:val="bottom"/>
          </w:tcPr>
          <w:p>
            <w:pPr>
              <w:ind w:left="20"/>
              <w:spacing w:after="0"/>
              <w:rPr>
                <w:sz w:val="20"/>
                <w:szCs w:val="20"/>
                <w:color w:val="auto"/>
              </w:rPr>
            </w:pPr>
            <w:r>
              <w:rPr>
                <w:rFonts w:ascii="Arial" w:cs="Arial" w:eastAsia="Arial" w:hAnsi="Arial"/>
                <w:sz w:val="20"/>
                <w:szCs w:val="20"/>
                <w:color w:val="auto"/>
              </w:rPr>
              <w:t>Switzerland</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Scandinavia AB</w:t>
            </w:r>
          </w:p>
        </w:tc>
        <w:tc>
          <w:tcPr>
            <w:tcW w:w="4840" w:type="dxa"/>
            <w:vAlign w:val="bottom"/>
          </w:tcPr>
          <w:p>
            <w:pPr>
              <w:ind w:left="20"/>
              <w:spacing w:after="0"/>
              <w:rPr>
                <w:sz w:val="20"/>
                <w:szCs w:val="20"/>
                <w:color w:val="auto"/>
              </w:rPr>
            </w:pPr>
            <w:r>
              <w:rPr>
                <w:rFonts w:ascii="Arial" w:cs="Arial" w:eastAsia="Arial" w:hAnsi="Arial"/>
                <w:sz w:val="20"/>
                <w:szCs w:val="20"/>
                <w:color w:val="auto"/>
              </w:rPr>
              <w:t>Sweden</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Haemonetics Singapore Pte. Ltd.</w:t>
            </w:r>
          </w:p>
        </w:tc>
        <w:tc>
          <w:tcPr>
            <w:tcW w:w="4840" w:type="dxa"/>
            <w:vAlign w:val="bottom"/>
          </w:tcPr>
          <w:p>
            <w:pPr>
              <w:ind w:left="20"/>
              <w:spacing w:after="0"/>
              <w:rPr>
                <w:sz w:val="20"/>
                <w:szCs w:val="20"/>
                <w:color w:val="auto"/>
              </w:rPr>
            </w:pPr>
            <w:r>
              <w:rPr>
                <w:rFonts w:ascii="Arial" w:cs="Arial" w:eastAsia="Arial" w:hAnsi="Arial"/>
                <w:sz w:val="20"/>
                <w:szCs w:val="20"/>
                <w:color w:val="auto"/>
              </w:rPr>
              <w:t>Singapore</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Haemoscope Corporation</w:t>
            </w:r>
          </w:p>
        </w:tc>
        <w:tc>
          <w:tcPr>
            <w:tcW w:w="4840" w:type="dxa"/>
            <w:vAlign w:val="bottom"/>
          </w:tcPr>
          <w:p>
            <w:pPr>
              <w:ind w:left="20"/>
              <w:spacing w:after="0"/>
              <w:rPr>
                <w:sz w:val="20"/>
                <w:szCs w:val="20"/>
                <w:color w:val="auto"/>
              </w:rPr>
            </w:pPr>
            <w:r>
              <w:rPr>
                <w:rFonts w:ascii="Arial" w:cs="Arial" w:eastAsia="Arial" w:hAnsi="Arial"/>
                <w:sz w:val="20"/>
                <w:szCs w:val="20"/>
                <w:color w:val="auto"/>
              </w:rPr>
              <w:t>Massachusetts</w:t>
            </w:r>
          </w:p>
        </w:tc>
      </w:tr>
      <w:tr>
        <w:trPr>
          <w:trHeight w:val="283"/>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Inlog SAS</w:t>
            </w:r>
          </w:p>
        </w:tc>
        <w:tc>
          <w:tcPr>
            <w:tcW w:w="4840" w:type="dxa"/>
            <w:vAlign w:val="bottom"/>
          </w:tcPr>
          <w:p>
            <w:pPr>
              <w:ind w:left="20"/>
              <w:spacing w:after="0"/>
              <w:rPr>
                <w:sz w:val="20"/>
                <w:szCs w:val="20"/>
                <w:color w:val="auto"/>
              </w:rPr>
            </w:pPr>
            <w:r>
              <w:rPr>
                <w:rFonts w:ascii="Arial" w:cs="Arial" w:eastAsia="Arial" w:hAnsi="Arial"/>
                <w:sz w:val="20"/>
                <w:szCs w:val="20"/>
                <w:color w:val="auto"/>
              </w:rPr>
              <w:t>France</w:t>
            </w:r>
          </w:p>
        </w:tc>
      </w:tr>
      <w:tr>
        <w:trPr>
          <w:trHeight w:val="28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Inlog Holdings France SAS</w:t>
            </w:r>
          </w:p>
        </w:tc>
        <w:tc>
          <w:tcPr>
            <w:tcW w:w="4840" w:type="dxa"/>
            <w:vAlign w:val="bottom"/>
          </w:tcPr>
          <w:p>
            <w:pPr>
              <w:ind w:left="20"/>
              <w:spacing w:after="0"/>
              <w:rPr>
                <w:sz w:val="20"/>
                <w:szCs w:val="20"/>
                <w:color w:val="auto"/>
              </w:rPr>
            </w:pPr>
            <w:r>
              <w:rPr>
                <w:rFonts w:ascii="Arial" w:cs="Arial" w:eastAsia="Arial" w:hAnsi="Arial"/>
                <w:sz w:val="20"/>
                <w:szCs w:val="20"/>
                <w:color w:val="auto"/>
              </w:rPr>
              <w:t>France</w:t>
            </w:r>
          </w:p>
        </w:tc>
      </w:tr>
    </w:tbl>
    <w:p>
      <w:pPr>
        <w:sectPr>
          <w:pgSz w:w="11900" w:h="16838" w:orient="portrait"/>
          <w:cols w:equalWidth="0" w:num="1">
            <w:col w:w="11020"/>
          </w:cols>
          <w:pgMar w:left="320" w:top="595" w:right="5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right="44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333-232899), pertaining to the 2019 Long-Term Incentive Compensation Plan of Haemonetics Corporation;</w:t>
      </w: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333-222877), pertaining to the 2007 Employee Stock Purchase Plan of Haemonetics Corporation;</w:t>
      </w:r>
    </w:p>
    <w:p>
      <w:pPr>
        <w:spacing w:after="0" w:line="9" w:lineRule="exact"/>
        <w:rPr>
          <w:rFonts w:ascii="Arial" w:cs="Arial" w:eastAsia="Arial" w:hAnsi="Arial"/>
          <w:sz w:val="18"/>
          <w:szCs w:val="18"/>
          <w:color w:val="auto"/>
        </w:rPr>
      </w:pPr>
    </w:p>
    <w:p>
      <w:pPr>
        <w:ind w:right="440" w:firstLine="8"/>
        <w:spacing w:after="0" w:line="265"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Registration Statement (Form S-8 No. 333-200226), pertaining to the 2005 Long-Term Incentive Compensation Plan of Haemonetics Corporation, as amended by that certain Post-Effective Amendment No. 1 to the Registration Statement (No. 333-200226);</w:t>
      </w:r>
    </w:p>
    <w:p>
      <w:pPr>
        <w:ind w:right="44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333-181847), pertaining to the 2005 Long-Term Incentive Compensation Plan of Haemonetics Corporation;</w:t>
      </w:r>
    </w:p>
    <w:p>
      <w:pPr>
        <w:ind w:right="44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333-159434), pertaining to the 2005 Long-Term Incentive Compensation Plan of Haemonetics Corporation;</w:t>
      </w:r>
    </w:p>
    <w:p>
      <w:pPr>
        <w:ind w:right="12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333-149205), pertaining to the 2007 Employee Stock Purchase Plan of Haemonetics Corporation; and</w:t>
      </w:r>
    </w:p>
    <w:p>
      <w:pPr>
        <w:ind w:right="440" w:firstLine="8"/>
        <w:spacing w:after="0" w:line="261"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1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of our reports dated May 20, 2020,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March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ectPr>
          <w:pgSz w:w="11900" w:h="16838" w:orient="portrait"/>
          <w:cols w:equalWidth="0" w:num="1">
            <w:col w:w="11240"/>
          </w:cols>
          <w:pgMar w:left="320" w:top="54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2020</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2020</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28, 2020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2020</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76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28, 2020 as filed with the Securities and Exchange Commission on the date hereof (the “Report”), I, William Burke,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2020</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39947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upperLetter"/>
      <w:start w:val="2"/>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17" Type="http://schemas.openxmlformats.org/officeDocument/2006/relationships/hyperlink" Target="http://www.sec.gov/Archives/edgar/data/313143/000031314319000035/exhibit31-restatedarticles.htm" TargetMode="External"/><Relationship Id="rId18" Type="http://schemas.openxmlformats.org/officeDocument/2006/relationships/hyperlink" Target="http://www.sec.gov/Archives/edgar/data/313143/000031314319000035/exhibit33-byxlawsasamended.htm" TargetMode="External"/><Relationship Id="rId19" Type="http://schemas.openxmlformats.org/officeDocument/2006/relationships/hyperlink" Target="http://www.sec.gov/Archives/edgar/data/313143/000031314318000020/fy2018exh10j.htm" TargetMode="External"/><Relationship Id="rId20" Type="http://schemas.openxmlformats.org/officeDocument/2006/relationships/hyperlink" Target="http://www.sec.gov/Archives/edgar/data/313143/000031314318000020/fy2018exh10k.htm" TargetMode="External"/><Relationship Id="rId21" Type="http://schemas.openxmlformats.org/officeDocument/2006/relationships/hyperlink" Target="http://www.sec.gov/Archives/edgar/data/313143/000031314318000020/fy2018exh10l.htm" TargetMode="External"/><Relationship Id="rId22" Type="http://schemas.openxmlformats.org/officeDocument/2006/relationships/hyperlink" Target="http://www.sec.gov/Archives/edgar/data/313143/000031314313000085/a10jleasebbva_ensatec2x21x.htm" TargetMode="External"/><Relationship Id="rId23" Type="http://schemas.openxmlformats.org/officeDocument/2006/relationships/hyperlink" Target="http://www.sec.gov/Archives/edgar/data/313143/000031314313000085/a10kbbvaensatec11730tijuan.htm" TargetMode="External"/><Relationship Id="rId24" Type="http://schemas.openxmlformats.org/officeDocument/2006/relationships/hyperlink" Target="http://www.sec.gov/Archives/edgar/data/313143/000031314313000085/a10lextleasefeb212000ensat.htm" TargetMode="External"/><Relationship Id="rId25" Type="http://schemas.openxmlformats.org/officeDocument/2006/relationships/hyperlink" Target="http://www.sec.gov/Archives/edgar/data/313143/000031314313000085/a10mbbvaletteragreeaug1420.htm" TargetMode="External"/><Relationship Id="rId26" Type="http://schemas.openxmlformats.org/officeDocument/2006/relationships/hyperlink" Target="http://www.sec.gov/Archives/edgar/data/313143/000031314313000085/a10n11730tijuianaletterfeb.htm" TargetMode="External"/><Relationship Id="rId27" Type="http://schemas.openxmlformats.org/officeDocument/2006/relationships/hyperlink" Target="http://www.sec.gov/Archives/edgar/data/313143/000031314318000020/fy2018exh10r.htm" TargetMode="External"/><Relationship Id="rId28" Type="http://schemas.openxmlformats.org/officeDocument/2006/relationships/hyperlink" Target="http://www.sec.gov/Archives/edgar/data/313143/000031314313000085/a10wcolungaleaseagreedec32.htm" TargetMode="External"/><Relationship Id="rId29" Type="http://schemas.openxmlformats.org/officeDocument/2006/relationships/hyperlink" Target="http://www.sec.gov/Archives/edgar/data/313143/000031314313000085/a10xcolungaassignleasedec2.htm" TargetMode="External"/><Relationship Id="rId30" Type="http://schemas.openxmlformats.org/officeDocument/2006/relationships/hyperlink" Target="http://www.sec.gov/Archives/edgar/data/313143/000031314318000020/fy2018exh10u.htm" TargetMode="External"/><Relationship Id="rId31" Type="http://schemas.openxmlformats.org/officeDocument/2006/relationships/hyperlink" Target="http://www.sec.gov/Archives/edgar/data/313143/000031314313000085/a10ycolungasubleasedec3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2020-05-20T15:34:07Z</dcterms:created>
  <dcterms:modified xsi:type="dcterms:W3CDTF">2020-05-20T15:34:07Z</dcterms:modified>
</cp:coreProperties>
</file>