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ind w:left="720" w:hanging="624"/>
        <w:spacing w:after="0"/>
        <w:tabs>
          <w:tab w:leader="none" w:pos="72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29, 2019</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280" w:right="1480" w:hanging="4022"/>
        <w:spacing w:after="0" w:line="493" w:lineRule="auto"/>
        <w:tabs>
          <w:tab w:leader="none" w:pos="71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6380" w:type="dxa"/>
            <w:vAlign w:val="bottom"/>
          </w:tcPr>
          <w:p>
            <w:pPr>
              <w:jc w:val="center"/>
              <w:ind w:left="22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40" w:type="dxa"/>
            <w:vAlign w:val="bottom"/>
          </w:tcPr>
          <w:p>
            <w:pPr>
              <w:spacing w:after="0"/>
              <w:rPr>
                <w:sz w:val="20"/>
                <w:szCs w:val="20"/>
                <w:color w:val="auto"/>
              </w:rPr>
            </w:pPr>
          </w:p>
        </w:tc>
      </w:tr>
      <w:tr>
        <w:trPr>
          <w:trHeight w:val="36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04-2882273</w:t>
            </w:r>
          </w:p>
        </w:tc>
      </w:tr>
      <w:tr>
        <w:trPr>
          <w:trHeight w:val="256"/>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90"/>
              </w:rPr>
              <w:t>400 Wood Road</w:t>
            </w:r>
          </w:p>
        </w:tc>
        <w:tc>
          <w:tcPr>
            <w:tcW w:w="1540" w:type="dxa"/>
            <w:vAlign w:val="bottom"/>
          </w:tcPr>
          <w:p>
            <w:pPr>
              <w:spacing w:after="0"/>
              <w:rPr>
                <w:sz w:val="24"/>
                <w:szCs w:val="24"/>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Braintree</w:t>
            </w:r>
          </w:p>
        </w:tc>
        <w:tc>
          <w:tcPr>
            <w:tcW w:w="1540" w:type="dxa"/>
            <w:vAlign w:val="bottom"/>
          </w:tcPr>
          <w:p>
            <w:pPr>
              <w:spacing w:after="0"/>
              <w:rPr>
                <w:sz w:val="23"/>
                <w:szCs w:val="23"/>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02184-9114</w:t>
            </w: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43"/>
        </w:trPr>
        <w:tc>
          <w:tcPr>
            <w:tcW w:w="6380" w:type="dxa"/>
            <w:vAlign w:val="bottom"/>
          </w:tcPr>
          <w:p>
            <w:pPr>
              <w:jc w:val="right"/>
              <w:ind w:right="1390"/>
              <w:spacing w:after="0"/>
              <w:rPr>
                <w:sz w:val="20"/>
                <w:szCs w:val="20"/>
                <w:color w:val="auto"/>
              </w:rPr>
            </w:pPr>
            <w:r>
              <w:rPr>
                <w:rFonts w:ascii="Arial" w:cs="Arial" w:eastAsia="Arial" w:hAnsi="Arial"/>
                <w:sz w:val="18"/>
                <w:szCs w:val="18"/>
                <w:b w:val="1"/>
                <w:bCs w:val="1"/>
                <w:color w:val="auto"/>
              </w:rPr>
              <w:t>(781) 848-7100</w:t>
            </w:r>
          </w:p>
        </w:tc>
        <w:tc>
          <w:tcPr>
            <w:tcW w:w="1540" w:type="dxa"/>
            <w:vAlign w:val="bottom"/>
          </w:tcPr>
          <w:p>
            <w:pPr>
              <w:spacing w:after="0"/>
              <w:rPr>
                <w:sz w:val="21"/>
                <w:szCs w:val="21"/>
                <w:color w:val="auto"/>
              </w:rPr>
            </w:pPr>
          </w:p>
        </w:tc>
      </w:tr>
    </w:tbl>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4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43"/>
        </w:trPr>
        <w:tc>
          <w:tcPr>
            <w:tcW w:w="4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$.01 par value per share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HAE</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4" w:lineRule="exact"/>
        <w:rPr>
          <w:sz w:val="24"/>
          <w:szCs w:val="24"/>
          <w:color w:val="auto"/>
        </w:rPr>
      </w:pPr>
    </w:p>
    <w:p>
      <w:pPr>
        <w:spacing w:after="0" w:line="31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jc w:val="center"/>
              <w:ind w:right="1232"/>
              <w:spacing w:after="0"/>
              <w:rPr>
                <w:sz w:val="20"/>
                <w:szCs w:val="20"/>
                <w:color w:val="auto"/>
              </w:rPr>
            </w:pPr>
            <w:r>
              <w:rPr>
                <w:rFonts w:ascii="Arial" w:cs="Arial" w:eastAsia="Arial" w:hAnsi="Arial"/>
                <w:sz w:val="22"/>
                <w:szCs w:val="22"/>
                <w:color w:val="auto"/>
                <w:w w:val="90"/>
              </w:rPr>
              <w:t>x</w:t>
            </w:r>
          </w:p>
        </w:tc>
        <w:tc>
          <w:tcPr>
            <w:tcW w:w="474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jc w:val="center"/>
              <w:ind w:right="1232"/>
              <w:spacing w:after="0" w:line="221" w:lineRule="exact"/>
              <w:rPr>
                <w:sz w:val="20"/>
                <w:szCs w:val="20"/>
                <w:color w:val="auto"/>
              </w:rPr>
            </w:pPr>
            <w:r>
              <w:rPr>
                <w:rFonts w:ascii="MS PGothic" w:cs="MS PGothic" w:eastAsia="MS PGothic" w:hAnsi="MS PGothic"/>
                <w:sz w:val="22"/>
                <w:szCs w:val="22"/>
                <w:color w:val="auto"/>
                <w:w w:val="81"/>
              </w:rPr>
              <w:t>☐</w:t>
            </w:r>
          </w:p>
        </w:tc>
        <w:tc>
          <w:tcPr>
            <w:tcW w:w="474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1" w:lineRule="exact"/>
        <w:rPr>
          <w:sz w:val="24"/>
          <w:szCs w:val="24"/>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$0.01 par value common stock outstanding as of August 2, 2019: 50,769,875</w:t>
      </w:r>
    </w:p>
    <w:p>
      <w:pPr>
        <w:sectPr>
          <w:pgSz w:w="11900" w:h="16838" w:orient="portrait"/>
          <w:cols w:equalWidth="0" w:num="1">
            <w:col w:w="11360"/>
          </w:cols>
          <w:pgMar w:left="240" w:top="2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20"/>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4"/>
          </w:tcPr>
          <w:p>
            <w:pPr>
              <w:spacing w:after="0"/>
              <w:rPr>
                <w:sz w:val="24"/>
                <w:szCs w:val="24"/>
                <w:color w:val="auto"/>
              </w:rPr>
            </w:pPr>
          </w:p>
        </w:tc>
        <w:tc>
          <w:tcPr>
            <w:tcW w:w="73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Loss and Comprehensive Loss - Three Months Ended June 29, 2019 and June 30, 2018</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9080" w:type="dxa"/>
            <w:vAlign w:val="bottom"/>
            <w:tcBorders>
              <w:top w:val="single" w:sz="8" w:color="0000EE"/>
            </w:tcBorders>
            <w:gridSpan w:val="1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Consolidated Balance Sheet - June 29, 2019 and Audited Consolidated Balance Sheet - March 30, 2019</w:t>
              </w:r>
            </w:hyperlink>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3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 of Stockholders' Equity - Three Months Ended June 29, 2019 and June 30, 2018</w:t>
              </w:r>
            </w:hyperlink>
          </w:p>
        </w:tc>
        <w:tc>
          <w:tcPr>
            <w:tcW w:w="19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 Three Months Ended June 29, 2019 and June 30, 2018</w:t>
              </w:r>
            </w:hyperlink>
          </w:p>
        </w:tc>
        <w:tc>
          <w:tcPr>
            <w:tcW w:w="560" w:type="dxa"/>
            <w:vAlign w:val="bottom"/>
            <w:gridSpan w:val="2"/>
          </w:tcPr>
          <w:p>
            <w:pPr>
              <w:jc w:val="center"/>
              <w:ind w:left="371"/>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Unaudited Consolidated Financial Statements</w:t>
              </w:r>
            </w:hyperlink>
          </w:p>
        </w:tc>
        <w:tc>
          <w:tcPr>
            <w:tcW w:w="3780" w:type="dxa"/>
            <w:vAlign w:val="bottom"/>
            <w:tcBorders>
              <w:top w:val="single" w:sz="8" w:color="0000EE"/>
            </w:tcBorders>
            <w:gridSpan w:val="3"/>
          </w:tcPr>
          <w:p>
            <w:pPr>
              <w:spacing w:after="0"/>
              <w:rPr>
                <w:sz w:val="21"/>
                <w:szCs w:val="21"/>
                <w:color w:val="auto"/>
              </w:rPr>
            </w:pPr>
          </w:p>
        </w:tc>
        <w:tc>
          <w:tcPr>
            <w:tcW w:w="250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EE"/>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6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21">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2"/>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Mine Safety Disclosures</w:t>
              </w:r>
            </w:hyperlink>
          </w:p>
        </w:tc>
        <w:tc>
          <w:tcPr>
            <w:tcW w:w="580" w:type="dxa"/>
            <w:vAlign w:val="bottom"/>
            <w:gridSpan w:val="4"/>
          </w:tcPr>
          <w:p>
            <w:pPr>
              <w:spacing w:after="0"/>
              <w:rPr>
                <w:sz w:val="24"/>
                <w:szCs w:val="24"/>
                <w:color w:val="auto"/>
              </w:rPr>
            </w:pPr>
          </w:p>
        </w:tc>
        <w:tc>
          <w:tcPr>
            <w:tcW w:w="724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782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40" w:type="dxa"/>
            <w:vAlign w:val="bottom"/>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6. Exhibits</w:t>
              </w:r>
            </w:hyperlink>
          </w:p>
        </w:tc>
        <w:tc>
          <w:tcPr>
            <w:tcW w:w="8220" w:type="dxa"/>
            <w:vAlign w:val="bottom"/>
            <w:gridSpan w:val="1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3"/>
          </w:tcPr>
          <w:p>
            <w:pPr>
              <w:jc w:val="right"/>
              <w:ind w:right="18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AND COMPREHENSIVE LOSS (Unaudited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50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04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229,347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146,103</w:t>
            </w:r>
          </w:p>
        </w:tc>
      </w:tr>
      <w:tr>
        <w:trPr>
          <w:trHeight w:val="27"/>
        </w:trPr>
        <w:tc>
          <w:tcPr>
            <w:tcW w:w="50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115,906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83,244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68,545</w:t>
            </w:r>
          </w:p>
        </w:tc>
      </w:tr>
      <w:tr>
        <w:trPr>
          <w:trHeight w:val="27"/>
        </w:trPr>
        <w:tc>
          <w:tcPr>
            <w:tcW w:w="5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129,208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77,951</w:t>
            </w:r>
          </w:p>
        </w:tc>
      </w:tr>
      <w:tr>
        <w:trPr>
          <w:trHeight w:val="27"/>
        </w:trPr>
        <w:tc>
          <w:tcPr>
            <w:tcW w:w="50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w:t>
            </w:r>
          </w:p>
        </w:tc>
      </w:tr>
      <w:tr>
        <w:trPr>
          <w:trHeight w:val="27"/>
        </w:trPr>
        <w:tc>
          <w:tcPr>
            <w:tcW w:w="50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(benefit) provision for income taxes</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6,134</w:t>
            </w:r>
          </w:p>
        </w:tc>
      </w:tr>
      <w:tr>
        <w:trPr>
          <w:trHeight w:val="27"/>
        </w:trPr>
        <w:tc>
          <w:tcPr>
            <w:tcW w:w="50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per share - basic and diluted</w:t>
            </w:r>
          </w:p>
        </w:tc>
        <w:tc>
          <w:tcPr>
            <w:tcW w:w="3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324"/>
        </w:trPr>
        <w:tc>
          <w:tcPr>
            <w:tcW w:w="5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51,010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52,119</w:t>
            </w:r>
          </w:p>
        </w:tc>
      </w:tr>
      <w:tr>
        <w:trPr>
          <w:trHeight w:val="27"/>
        </w:trPr>
        <w:tc>
          <w:tcPr>
            <w:tcW w:w="5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3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(7,538)</w:t>
            </w:r>
          </w:p>
        </w:tc>
      </w:tr>
      <w:tr>
        <w:trPr>
          <w:trHeight w:val="567"/>
        </w:trPr>
        <w:tc>
          <w:tcPr>
            <w:tcW w:w="8920" w:type="dxa"/>
            <w:vAlign w:val="bottom"/>
            <w:gridSpan w:val="3"/>
          </w:tcPr>
          <w:p>
            <w:pPr>
              <w:jc w:val="center"/>
              <w:ind w:left="24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5040" w:type="dxa"/>
            <w:vAlign w:val="bottom"/>
          </w:tcPr>
          <w:p>
            <w:pPr>
              <w:spacing w:after="0"/>
              <w:rPr>
                <w:sz w:val="24"/>
                <w:szCs w:val="24"/>
                <w:color w:val="auto"/>
              </w:rPr>
            </w:pPr>
          </w:p>
        </w:tc>
        <w:tc>
          <w:tcPr>
            <w:tcW w:w="3540" w:type="dxa"/>
            <w:vAlign w:val="bottom"/>
          </w:tcPr>
          <w:p>
            <w:pPr>
              <w:jc w:val="right"/>
              <w:ind w:right="27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29,</w:t>
            </w:r>
          </w:p>
        </w:tc>
        <w:tc>
          <w:tcPr>
            <w:tcW w:w="26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w:t>
            </w:r>
          </w:p>
        </w:tc>
      </w:tr>
      <w:tr>
        <w:trPr>
          <w:trHeight w:val="210"/>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(Unaudited)</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190,234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169,351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$3,624 at June 29, 2019 and $3,937 at March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185,027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221,953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194,337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27,406</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615,278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576,121</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343,979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9"/>
              </w:rPr>
              <w:t>Intangible assets, less accumulated amortization of $271,769 at June 29, 2019 and $263,479 at March 30, 2019</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120,340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127,693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210,819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4,359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11,796</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1,259,610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1,274,767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27,666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60,792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63,361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83,973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91,532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235,759</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318,144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322,454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42,829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28,780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tcPr>
          <w:p>
            <w:pPr>
              <w:ind w:left="180"/>
              <w:spacing w:after="0"/>
              <w:rPr>
                <w:sz w:val="20"/>
                <w:szCs w:val="20"/>
                <w:color w:val="auto"/>
              </w:rPr>
            </w:pPr>
            <w:r>
              <w:rPr>
                <w:rFonts w:ascii="Arial" w:cs="Arial" w:eastAsia="Arial" w:hAnsi="Arial"/>
                <w:sz w:val="16"/>
                <w:szCs w:val="16"/>
                <w:color w:val="auto"/>
                <w:w w:val="91"/>
              </w:rPr>
              <w:t>Common stock, $0.01 par value; Authorized — 150,000,000 shares; Issued and outstanding — 50,771,013 shares at June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8120" w:type="dxa"/>
            <w:vAlign w:val="bottom"/>
          </w:tcPr>
          <w:p>
            <w:pPr>
              <w:ind w:left="180"/>
              <w:spacing w:after="0"/>
              <w:rPr>
                <w:sz w:val="20"/>
                <w:szCs w:val="20"/>
                <w:color w:val="auto"/>
              </w:rPr>
            </w:pPr>
            <w:r>
              <w:rPr>
                <w:rFonts w:ascii="Arial" w:cs="Arial" w:eastAsia="Arial" w:hAnsi="Arial"/>
                <w:sz w:val="16"/>
                <w:szCs w:val="16"/>
                <w:color w:val="auto"/>
              </w:rPr>
              <w:t>29, 2019 and 51,019,918 shares at March 30, 2019</w:t>
            </w:r>
          </w:p>
        </w:tc>
        <w:tc>
          <w:tcPr>
            <w:tcW w:w="2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536,320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99,418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161,418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590,966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667,868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1,259,610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1,274,767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4"/>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2"/>
                <w:szCs w:val="2"/>
                <w:color w:val="auto"/>
              </w:rPr>
            </w:pPr>
          </w:p>
        </w:tc>
        <w:tc>
          <w:tcPr>
            <w:tcW w:w="9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Retained Earnings</w:t>
            </w:r>
          </w:p>
        </w:tc>
        <w:tc>
          <w:tcPr>
            <w:tcW w:w="13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2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30, 2019</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51,020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536,320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667,868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3,635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4,730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4,730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29, 2019</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50,771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525,038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99,418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590,966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4"/>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2"/>
                <w:szCs w:val="2"/>
                <w:color w:val="auto"/>
              </w:rPr>
            </w:pPr>
          </w:p>
        </w:tc>
        <w:tc>
          <w:tcPr>
            <w:tcW w:w="96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4"/>
              </w:rPr>
              <w:t>Par Value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0"/>
              </w:rPr>
              <w:t>Paid-in 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Retained Earnings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Stockholders’ 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52,343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503,955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752,429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2,830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spacing w:after="0"/>
              <w:rPr>
                <w:sz w:val="20"/>
                <w:szCs w:val="20"/>
                <w:color w:val="auto"/>
              </w:rPr>
            </w:pPr>
            <w:r>
              <w:rPr>
                <w:rFonts w:ascii="Arial" w:cs="Arial" w:eastAsia="Arial" w:hAnsi="Arial"/>
                <w:sz w:val="14"/>
                <w:szCs w:val="14"/>
                <w:color w:val="auto"/>
              </w:rPr>
              <w:t>(888)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3,379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3,379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Cumulative effect of change in accounting standards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51,642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b w:val="1"/>
                <w:bCs w:val="1"/>
                <w:color w:val="auto"/>
              </w:rPr>
              <w:t>507,391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b w:val="1"/>
                <w:bCs w:val="1"/>
                <w:color w:val="auto"/>
              </w:rPr>
              <w:t>189,861</w:t>
            </w:r>
          </w:p>
        </w:tc>
        <w:tc>
          <w:tcPr>
            <w:tcW w:w="10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(23,710)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674,058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(8,479)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(2,819)</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48,721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21,170</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benefit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22,518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(15,058)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(6,913)</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(27,264)</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increase in short-term loans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347,780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(253,728)</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2,831</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18,663</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20,883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11,937</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180,169</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190,234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192,106</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2,361</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1,799</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80" w:firstLine="8"/>
        <w:spacing w:after="0" w:line="533"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40"/>
        <w:spacing w:after="0" w:line="289" w:lineRule="auto"/>
        <w:rPr>
          <w:sz w:val="20"/>
          <w:szCs w:val="20"/>
          <w:color w:val="auto"/>
        </w:rPr>
      </w:pPr>
      <w:r>
        <w:rPr>
          <w:rFonts w:ascii="Arial" w:cs="Arial" w:eastAsia="Arial" w:hAnsi="Arial"/>
          <w:sz w:val="16"/>
          <w:szCs w:val="16"/>
          <w:color w:val="auto"/>
        </w:rPr>
        <w:t>The accompanying unaudited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June 29, 2019 are not necessarily indicative of the results that may be expected for the full fiscal year ending March 28, 2020 or any other interim period. The Company has assessed its ability to continue as a going concern. As of June 29, 2019, the Company has concluded that substantial doubt about its ability to continue as a going concern does not exist. These unaudited consolidated financial statements should be read in conjunction with the audited consolidated financial statements and footnotes included in the annual report on Form 10-K for the fiscal year ended March 30, 2019.</w:t>
      </w:r>
    </w:p>
    <w:p>
      <w:pPr>
        <w:spacing w:after="0" w:line="16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and for the three months ended June 29, 2019.</w:t>
      </w:r>
    </w:p>
    <w:p>
      <w:pPr>
        <w:spacing w:after="0" w:line="162" w:lineRule="exact"/>
        <w:rPr>
          <w:sz w:val="20"/>
          <w:szCs w:val="20"/>
          <w:color w:val="auto"/>
        </w:rPr>
      </w:pPr>
    </w:p>
    <w:p>
      <w:pPr>
        <w:ind w:right="734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Codification ("ASC")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ASC Update No. 2016-02 is intended to increase the transparency and comparability among organizations by recognizing lease asset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including those previously classified as operating leases under current U.S. GAAP and disclosing key information about leasing arrangements. In July 2018, the FASB issued an update to the leasing guidance to allow an additional transition option which would allow companies to adopt the standard as of the beginning of the year of adoption as opposed to the earliest comparative period presented. The Company adopted the new standard on March 31, 2019.</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transition, the Company applied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 The Company also elected to account for each lease component and the associated non-lease components as a single lease component and also elected not to recognize a lease liability or right-of-use asset for any lease that, at commencement date, has a lease term of 12 months or less and does not include an option to purchase the underlying asset that the Company is reasonably certain to exercise.</w:t>
      </w:r>
    </w:p>
    <w:p>
      <w:pPr>
        <w:spacing w:after="0" w:line="19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a result of adopting ASC Update No. 2016-02, the Company recognized additional right-of-use assets of $22.9 million and corresponding liabilities of $22.7 million for its existing lease portfolio on the consolidated balance sheets, with no material impact to the consolidated statements of operations or consolidated statements of cash flows. Additionally, the Company implemented a new lease administration and lease accounting system and has updated controls and procedures for maintaining and accounting for its lease portfolio under the new standard.</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March 2017, the FASB issued ASC Update No. 2017-07, Compensation - Retirement Benefits (Topic 715). The guidance revises the presentation of net periodic pension cost and net periodic post-retirement benefit cost. The Company adopted ASC Update No. 2017-07 during the first quarter of fiscal 2020. The adoption of ASC Update No. 2017-07 did not have a material impact on the Company's consolidated financial statements.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June 2018, the FASB issued ASC Update No. 2018-07, Compensation - Stock Compensation (Topic 718). The new guidance aligns the accounting for non-employee share-based payments with the existing employee share-based transactions guidance.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right="400"/>
        <w:spacing w:after="0" w:line="277" w:lineRule="auto"/>
        <w:rPr>
          <w:sz w:val="20"/>
          <w:szCs w:val="20"/>
          <w:color w:val="auto"/>
        </w:rPr>
      </w:pPr>
      <w:r>
        <w:rPr>
          <w:rFonts w:ascii="Arial" w:cs="Arial" w:eastAsia="Arial" w:hAnsi="Arial"/>
          <w:sz w:val="18"/>
          <w:szCs w:val="18"/>
          <w:color w:val="auto"/>
        </w:rPr>
        <w:t>The Company adopted ASC Update No. 2018-07 during the first quarter of fiscal 2020. The impact of adopting ASC Update No. 2018-07 did not have a material impact on the Company's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months ended June 29, 2019 and June 30, 2018, the Company incurred $2.0 million and $3.4 million of restructuring and turnaround costs under this program, respectively. Total cumulative charges under this program are $52.3 million.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activity for restructuring reserves for the three months ended June 29, 2019, substantially all of which relates to employee severance and other employee costs: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4"/>
                <w:szCs w:val="14"/>
                <w:b w:val="1"/>
                <w:bCs w:val="1"/>
                <w:color w:val="auto"/>
                <w:w w:val="92"/>
              </w:rPr>
              <w:t>2018 Program</w:t>
            </w:r>
          </w:p>
        </w:tc>
      </w:tr>
      <w:tr>
        <w:trPr>
          <w:trHeight w:val="149"/>
        </w:trPr>
        <w:tc>
          <w:tcPr>
            <w:tcW w:w="10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and Prior</w:t>
            </w:r>
          </w:p>
        </w:tc>
      </w:t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Programs</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7,479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12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969</w:t>
            </w:r>
          </w:p>
        </w:tc>
      </w:tr>
      <w:tr>
        <w:trPr>
          <w:trHeight w:val="27"/>
        </w:trPr>
        <w:tc>
          <w:tcPr>
            <w:tcW w:w="10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57"/>
        </w:trPr>
        <w:tc>
          <w:tcPr>
            <w:tcW w:w="10280" w:type="dxa"/>
            <w:vAlign w:val="bottom"/>
          </w:tcPr>
          <w:p>
            <w:pPr>
              <w:ind w:left="40"/>
              <w:spacing w:after="0"/>
              <w:rPr>
                <w:sz w:val="20"/>
                <w:szCs w:val="20"/>
                <w:color w:val="auto"/>
              </w:rPr>
            </w:pPr>
            <w:r>
              <w:rPr>
                <w:rFonts w:ascii="Arial" w:cs="Arial" w:eastAsia="Arial" w:hAnsi="Arial"/>
                <w:sz w:val="18"/>
                <w:szCs w:val="18"/>
                <w:color w:val="auto"/>
              </w:rPr>
              <w:t>Balance at June 29,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5,242</w:t>
            </w:r>
          </w:p>
        </w:tc>
      </w:tr>
      <w:tr>
        <w:trPr>
          <w:trHeight w:val="20"/>
        </w:trPr>
        <w:tc>
          <w:tcPr>
            <w:tcW w:w="10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substantial majority of restructuring costs during the three months ended June 29, 2019 have been included as a component of selling, general and administrative expenses in the accompanying consolidated statements of loss. As of June 29, 2019, the Company had a restructuring liability of $5.2 million, of which $4.5 million is payable within the next twelve months.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addition to the restructuring costs included in the table above, during the three months ended June 29, 2019 and June 30, 2018, the Company also incurred costs of $1.1 million and $3.6 million, respectively, that do not constitute restructuring under ASC 420, </w:t>
      </w:r>
      <w:r>
        <w:rPr>
          <w:rFonts w:ascii="Arial" w:cs="Arial" w:eastAsia="Arial" w:hAnsi="Arial"/>
          <w:sz w:val="17"/>
          <w:szCs w:val="17"/>
          <w:i w:val="1"/>
          <w:iCs w:val="1"/>
          <w:color w:val="auto"/>
        </w:rPr>
        <w:t>Exit and Disposal Cost Obligations,</w:t>
      </w:r>
      <w:r>
        <w:rPr>
          <w:rFonts w:ascii="Arial" w:cs="Arial" w:eastAsia="Arial" w:hAnsi="Arial"/>
          <w:sz w:val="17"/>
          <w:szCs w:val="17"/>
          <w:color w:val="auto"/>
        </w:rPr>
        <w:t xml:space="preserve"> which the Company refers to as turnaround costs. These costs, substantially all of which have been included as a component of selling, general and administrative expenses in the accompanying consolidated statements of loss, consist primarily of expenditures 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ind w:right="880"/>
        <w:spacing w:after="0" w:line="277" w:lineRule="auto"/>
        <w:rPr>
          <w:sz w:val="20"/>
          <w:szCs w:val="20"/>
          <w:color w:val="auto"/>
        </w:rPr>
      </w:pPr>
      <w:r>
        <w:rPr>
          <w:rFonts w:ascii="Arial" w:cs="Arial" w:eastAsia="Arial" w:hAnsi="Arial"/>
          <w:sz w:val="18"/>
          <w:szCs w:val="18"/>
          <w:color w:val="auto"/>
        </w:rPr>
        <w:t>The tables below present restructuring and turnaround costs by the Company's three reportable segments as well as the Company's other corporate restructuring and turnaround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2019</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2018</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Turnaround costs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8800" w:type="dxa"/>
            <w:vAlign w:val="bottom"/>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2019</w:t>
            </w:r>
          </w:p>
        </w:tc>
        <w:tc>
          <w:tcPr>
            <w:tcW w:w="160" w:type="dxa"/>
            <w:vAlign w:val="bottom"/>
          </w:tcPr>
          <w:p>
            <w:pPr>
              <w:spacing w:after="0"/>
              <w:rPr>
                <w:sz w:val="22"/>
                <w:szCs w:val="22"/>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June 30, 2018</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318"/>
        </w:trPr>
        <w:tc>
          <w:tcPr>
            <w:tcW w:w="88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3,349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DIVESTITURE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May 21, 2019, the Company transferred to CSL Plasma Inc. (“CSL”) substantially all of its tangible assets held relating to the manufacture of anti-coagulant and saline (together, “Liquids”) at its Union, South Carolina facility (“Union”), which consist primarily of property, plant and equipment and inventory, and CSL assumed certain related liabilities (the “Asset Transfer”) pursuant to the terms of a settlement, release and asset transfer agreement between the parties dated May 13, 2019. The Asset Transfer excludes all other assets related to Union, including accounts receivable, customer contracts and the Company's U.S. Food and Drug Administration (“FDA”) product approvals for manufacturing Liquids.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 CSL to manufacture Liquids under the Company's FDA product approvals, exclusively for Haemonetics and CSL, until CSL obtains independent product approvals from the FDA to manufacture the Liquids.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supply Liquids to its customers following the Asset Transfer pursuant to its supplier arrangements with contract manufacturers.</w:t>
      </w:r>
    </w:p>
    <w:p>
      <w:pPr>
        <w:spacing w:after="0" w:line="24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Company's and CSL's entry in to the May 13, 2019 agreement for the Asset Transfer, the Company recognized a pre-tax impairment charge of $48.7 million in the first quarter of fiscal 2020, primarily related to the carrying balances of the property, plant and equipment exceeding the consideration received under the terms of the Agreement. The charge will not result in any future cash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reported tax rate for the three months ended June 29, 2019 was 52.2%. The effective tax rate for the three months ended June 29, 2019 is higher than the U.S. statutory tax rate primarily due to the jurisdictional mix of earnings, as well as the impact of the divestiture of the Union liquid solutions operation which resulted in a worldwide pretax loss for the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right="800"/>
        <w:spacing w:after="0" w:line="277" w:lineRule="auto"/>
        <w:rPr>
          <w:sz w:val="20"/>
          <w:szCs w:val="20"/>
          <w:color w:val="auto"/>
        </w:rPr>
      </w:pPr>
      <w:r>
        <w:rPr>
          <w:rFonts w:ascii="Arial" w:cs="Arial" w:eastAsia="Arial" w:hAnsi="Arial"/>
          <w:sz w:val="18"/>
          <w:szCs w:val="18"/>
          <w:color w:val="auto"/>
        </w:rPr>
        <w:t>The tax rate for the three months ended June 29, 2019 also includes a discrete stock compensation windfall benefit of $4.9 million. Refer to Note 4, Divestiture for additional details related to the divestiture of the Union liquid solutions operation.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three months ended June 29, 2019 and June 30, 2018, the Company reported an income tax benefit of $9.2 million and expense of $6.1 million, respectively. The change in the Company's tax provision for the three months ended June 29, 2019 was primarily due to the divestiture of the plasma liquid solutions operation as well as an increase in stock compensation windfall benefits. The income tax provision for the three months ended June 30, 2018 was primarily attributable to applying the Company’s estimated annual effective tax rate to its year-to-date consolidated income before provision for income taxes, and includes a discrete tax benefit of $1.4 million related to stock compensation windfall tax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52,119</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52,119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both the three months ended June 29, 2019 and June 30, 2018, the Company recognized a net loss; therefore it excluded the impact of outstanding stock awards from the diluted loss per share calculation as its inclusion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next two years.</w:t>
      </w:r>
    </w:p>
    <w:p>
      <w:pPr>
        <w:spacing w:after="0" w:line="24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early June 2019, the Company entered into an accelerated share repurchase agreement ("ASR") with Citibank N.A. ("Citibank") to repurchase approximately $75.0 million of the Company’s common stock. Pursuant to the terms of the ASR, in June 2019, the Company paid Citibank $75.0 million in cash and received an initial delivery of approximately 0.6 million shares of the Company's common stock based on a closing market price on the New York Stock Exchange on June 3, 2019 of $97.45. This initial delivery of shares represented approximately 80% of the notional amount of the ASR. On July 30, 2019, the ASR was completed and an additional 29,018 shares were delivered upon settlement. The total number of shares repurchased under the ASR was approximately 0.6 million at an average price per share upon final settlement of $116.33.</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August 6, 2019, the total remaining authorization for repurchases of the Company's common stock under the share repurchase program was $425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The Company's revenue recognition policy is to recognize revenues from product sales, software and services in accordance with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Revenue is recognized when obligations under the terms of a contract with a customer are satisfied; this occurs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control of the Company’s goods or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right="180"/>
        <w:spacing w:after="0" w:line="290" w:lineRule="auto"/>
        <w:rPr>
          <w:sz w:val="20"/>
          <w:szCs w:val="20"/>
          <w:color w:val="auto"/>
        </w:rPr>
      </w:pPr>
      <w:r>
        <w:rPr>
          <w:rFonts w:ascii="Arial" w:cs="Arial" w:eastAsia="Arial" w:hAnsi="Arial"/>
          <w:sz w:val="16"/>
          <w:szCs w:val="16"/>
          <w:color w:val="auto"/>
        </w:rPr>
        <w:t>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29, 2019, the Company had $24.9 million of its transaction price allocated to remaining performance obligations related to executed contracts with an original duration of one year or more. The Company expects to recognize approximately 58% of this amount as revenue within the next twelve months and the remaining balance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June 29, 2019 and March 30, 2019, the Company had contract assets of $8.3 million and $5.6 million, respectively. The change is primarily due to the delay in billings compared to the revenue recognized. Contract assets are classified as other current assets and other long-term assets on the consolidated balance sheet.</w:t>
      </w:r>
    </w:p>
    <w:p>
      <w:pPr>
        <w:spacing w:after="0" w:line="1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of June 29, 2019 and March 30, 2019, the Company had contract liabilities of $21.9 million and $20.3 million, respectively. During the three months ended June 29, 2019, the Company recognized $8.5 million of revenue that was included in the above March 30, 2019 contract liability balance. Contract liabilities are classified as other current liabilities and other long-term liabilities on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12,610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136,851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112,307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221,953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194,337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December 2018, the Company entered into a lease for office space in Boston, MA that will serve as the new corporate headquarters and replace the existing location in Braintree, MA. During the first quarter of fiscal 2020, the Company entered into a purchase and sale agreement for the existing corporate headquarters. Accordingly, the Company reclassified $7.6 million of long-term assets associated with the current corporate headquarters to assets held-for-sale as of June 29, 2019. The Company expects the move to Boston will occur in the third quarter of fiscal 2020.</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the first quarter of fiscal 2019, the Company recorded impairment charges of $21.2 million, which consisted of $19.8 million of charges related to the discontinued use of the HDC filter media manufacturing line and $1.4 million of charges related to non-core and underperforming assets. These impairments were included within cost of goods sold on the consolidated statements of loss and impacted the Blood Center reporting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Subsequent to the annual goodwill impairment test performed in the fourth quarter of fiscal 2019, the Company revised the composition of its reportable segments to align with its three global business units, Plasma, Blood Center and Hospital. Refer to Note 15,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for additional information regarding the change in the Company's reportable segments</w:t>
      </w:r>
      <w:r>
        <w:rPr>
          <w:rFonts w:ascii="Arial" w:cs="Arial" w:eastAsia="Arial" w:hAnsi="Arial"/>
          <w:sz w:val="18"/>
          <w:szCs w:val="18"/>
          <w:i w:val="1"/>
          <w:iCs w:val="1"/>
          <w:color w:val="auto"/>
        </w:rPr>
        <w:t>.</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reporting unit is defined as an operating segment or one level below an operating segment, referred to as a component. The Company aggregates components within an operating segment that have similar economic characteristics. Consistent with its reportable segments, reporting units for purposes of assessing goodwill impairment have also been reorganized based on business unit and include: Plasma, Blood Center and Hospital.</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determine the amount of goodwill within each of the new reporting units, we reallocated, on a relative fair value basis, $84.0 million of goodwill previously allocated to the former Europe, APAC and Japan reporting units to the new global reporting units. In addition, the goodwill previously allocated to the former North America reporting units was reallocated to each new respective global reporting unit.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represents our goodwill balance by new global reportable segment. The prior period information has been restated to conform to the current presentation: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Plasma</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Blood Center</w:t>
            </w:r>
          </w:p>
        </w:tc>
        <w:tc>
          <w:tcPr>
            <w:tcW w:w="2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Hospital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30, 2019</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June 29,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28,828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144,927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211,140</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 lease liabilities and right-of-use assets using the incremental borrowing rate as of March 31, 2019. Certain adjustments to the right-of-use asset may be required for items such as initial direct costs paid or incentives received.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4"/>
                <w:szCs w:val="14"/>
                <w:b w:val="1"/>
                <w:bCs w:val="1"/>
                <w:color w:val="auto"/>
              </w:rPr>
              <w:t>June 29,</w:t>
            </w: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long-term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21,217</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5,554</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long-term liabilities</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15,293</w:t>
            </w:r>
          </w:p>
        </w:tc>
      </w:tr>
      <w:tr>
        <w:trPr>
          <w:trHeight w:val="27"/>
        </w:trPr>
        <w:tc>
          <w:tcPr>
            <w:tcW w:w="9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 information related to our operating leases:</w:t>
      </w:r>
    </w:p>
    <w:p>
      <w:pPr>
        <w:spacing w:after="0" w:line="163" w:lineRule="exact"/>
        <w:rPr>
          <w:sz w:val="20"/>
          <w:szCs w:val="20"/>
          <w:color w:val="auto"/>
        </w:rPr>
      </w:pPr>
    </w:p>
    <w:p>
      <w:pPr>
        <w:ind w:left="10280"/>
        <w:spacing w:after="0"/>
        <w:rPr>
          <w:sz w:val="20"/>
          <w:szCs w:val="20"/>
          <w:color w:val="auto"/>
        </w:rPr>
      </w:pPr>
      <w:r>
        <w:rPr>
          <w:rFonts w:ascii="Arial" w:cs="Arial" w:eastAsia="Arial" w:hAnsi="Arial"/>
          <w:sz w:val="14"/>
          <w:szCs w:val="14"/>
          <w:b w:val="1"/>
          <w:bCs w:val="1"/>
          <w:color w:val="auto"/>
        </w:rPr>
        <w:t>June 29,</w:t>
      </w:r>
    </w:p>
    <w:p>
      <w:pPr>
        <w:spacing w:after="0" w:line="4"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21233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remaining lease term</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29, 2019 the Company's operating lease cost was $2.5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information related to our operating leases:</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21233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cash flows from operating leases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maturities of our operating lease liabilities as of June 29,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 (excluding the first quarter of 2020)</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Total future minimum operating lease payments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4.8 Years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June 29, 2019</w:t>
      </w:r>
    </w:p>
    <w:p>
      <w:pPr>
        <w:spacing w:after="0" w:line="318" w:lineRule="exact"/>
        <w:rPr>
          <w:sz w:val="20"/>
          <w:szCs w:val="20"/>
          <w:color w:val="auto"/>
        </w:rPr>
      </w:pPr>
    </w:p>
    <w:p>
      <w:pPr>
        <w:ind w:left="1040" w:hanging="10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Operating Leases</w:t>
      </w:r>
    </w:p>
    <w:p>
      <w:pPr>
        <w:spacing w:after="0" w:line="63" w:lineRule="exact"/>
        <w:rPr>
          <w:sz w:val="20"/>
          <w:szCs w:val="20"/>
          <w:color w:val="auto"/>
        </w:rPr>
      </w:pPr>
    </w:p>
    <w:p>
      <w:pPr>
        <w:ind w:left="1040" w:hanging="10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4,989</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5,828</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4,229</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3,288</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1,856</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3,594</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23,784</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(2,937)</w:t>
      </w:r>
    </w:p>
    <w:p>
      <w:pPr>
        <w:spacing w:after="0" w:line="84" w:lineRule="exact"/>
        <w:rPr>
          <w:sz w:val="20"/>
          <w:szCs w:val="20"/>
          <w:color w:val="auto"/>
        </w:rPr>
      </w:pPr>
    </w:p>
    <w:p>
      <w:pPr>
        <w:ind w:left="960" w:hanging="960"/>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20,847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1003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20" w:space="720"/>
            <w:col w:w="1580"/>
          </w:cols>
          <w:pgMar w:left="240" w:top="368" w:right="239" w:bottom="1440" w:gutter="0" w:footer="0" w:header="0"/>
          <w:type w:val="continuous"/>
        </w:sectPr>
      </w:pPr>
    </w:p>
    <w:p>
      <w:pPr>
        <w:spacing w:after="0" w:line="29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June 29, 2019, we have an additional lease for office space of $98.6 million. This lease will commence during fiscal 2020 and has a lease term, including renewal options, of up to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and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 NOTES PAYABLE AND LONG-TERM DEBT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June 29, 2019, $332.5 million was outstanding under the Term Loan with an effective interest rate of 3.8% and $105.0 million was outstanding on the Revolving Credit Facility. The Company also has $25.8 million of uncommitted operating lines of credit to fund its global operations under which there were no outstanding borrowings as of June 29, 2019.</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required scheduled principal payments of $8.8 million during fiscal 2020, $21.9 million during fiscal 2021, $17.5 million during fiscal 2022, $214.4 million during fiscal 2023 and $70.0 million thereafter.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June 29,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FAIR VALUE MEASUREMENTS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manufactures, markets and sells its products globally. During the three months ended June 29, 2019, 34.4% of its sales were generated outside the U.S., generally in foreign currencies. The Company also incurs certain manufacturing, marketing and selling costs in international markets in local currency.</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All of the Company's designated foreign currency hedge contracts as of June 29, 2019 and March 30, 2019 were cash flow hedges under ASC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("ASC 815"). The Company records the effective portion of any change in the fair value of designated foreign currency hedge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$66.4 million as of June 29, 2019 and $81.5 million as of March 30, 2019. At June 29, 2019, gain of $0.7 million, net of tax, will be reclassified to earnings within the next twelve months. Substantially all currency cash flow hedges outstanding as of June 29, 2019 mature within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$82.1 million as of June 29, 2019 and $37.4 million as of March 30,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interest rate swaps, 70% of the Term Loan exposed to interest rate risk from changes in LIBOR are fixed at a rate of 4.05%. The Swaps mature on June 15, 2023. The Company designated the Swaps as cash flow hedges of variable interest rate risk associated with $332.5 million of indebtedness. For the three months ended June 29, 2019, a loss of $4.3 million, net of tax, was recorded in accumulated other comprehensive loss to recognize the effective portion of the fair value of the Swaps that qualify as cash flow hedges.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consolidated statements of loss and comprehensive loss for the three months ended June 29,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8"/>
              </w:rPr>
              <w:t>Amount of Gain</w:t>
            </w:r>
          </w:p>
        </w:tc>
        <w:tc>
          <w:tcPr>
            <w:tcW w:w="18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Gain (Loss)</w:t>
            </w: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center"/>
              <w:ind w:right="120"/>
              <w:spacing w:after="0"/>
              <w:rPr>
                <w:sz w:val="20"/>
                <w:szCs w:val="20"/>
                <w:color w:val="auto"/>
              </w:rPr>
            </w:pPr>
            <w:r>
              <w:rPr>
                <w:rFonts w:ascii="Arial" w:cs="Arial" w:eastAsia="Arial" w:hAnsi="Arial"/>
                <w:sz w:val="14"/>
                <w:szCs w:val="14"/>
                <w:color w:val="auto"/>
                <w:w w:val="96"/>
              </w:rPr>
              <w:t>Amount of Gain</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ind w:left="640"/>
              <w:spacing w:after="0" w:line="149" w:lineRule="exact"/>
              <w:rPr>
                <w:sz w:val="20"/>
                <w:szCs w:val="20"/>
                <w:color w:val="auto"/>
              </w:rPr>
            </w:pPr>
            <w:r>
              <w:rPr>
                <w:rFonts w:ascii="Arial" w:cs="Arial" w:eastAsia="Arial" w:hAnsi="Arial"/>
                <w:sz w:val="14"/>
                <w:szCs w:val="14"/>
                <w:color w:val="auto"/>
              </w:rPr>
              <w:t>Location in</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(Loss) 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vMerge w:val="restart"/>
          </w:tcPr>
          <w:p>
            <w:pPr>
              <w:jc w:val="center"/>
              <w:ind w:right="120"/>
              <w:spacing w:after="0" w:line="149" w:lineRule="exact"/>
              <w:rPr>
                <w:sz w:val="20"/>
                <w:szCs w:val="20"/>
                <w:color w:val="auto"/>
              </w:rPr>
            </w:pPr>
            <w:r>
              <w:rPr>
                <w:rFonts w:ascii="Arial" w:cs="Arial" w:eastAsia="Arial" w:hAnsi="Arial"/>
                <w:sz w:val="14"/>
                <w:szCs w:val="14"/>
                <w:color w:val="auto"/>
                <w:w w:val="96"/>
              </w:rPr>
              <w:t>Excluded from</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ind w:left="180"/>
              <w:spacing w:after="0" w:line="149" w:lineRule="exact"/>
              <w:rPr>
                <w:sz w:val="20"/>
                <w:szCs w:val="20"/>
                <w:color w:val="auto"/>
              </w:rPr>
            </w:pPr>
            <w:r>
              <w:rPr>
                <w:rFonts w:ascii="Arial" w:cs="Arial" w:eastAsia="Arial" w:hAnsi="Arial"/>
                <w:sz w:val="14"/>
                <w:szCs w:val="14"/>
                <w:color w:val="auto"/>
                <w:w w:val="97"/>
              </w:rPr>
              <w:t>Consolidated Statements of</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vMerge w:val="restart"/>
          </w:tcPr>
          <w:p>
            <w:pPr>
              <w:jc w:val="center"/>
              <w:ind w:right="120"/>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Loss and Comprehensive Loss</w:t>
            </w: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ind w:left="80"/>
              <w:spacing w:after="0" w:line="149" w:lineRule="exact"/>
              <w:rPr>
                <w:sz w:val="20"/>
                <w:szCs w:val="20"/>
                <w:color w:val="auto"/>
              </w:rPr>
            </w:pPr>
            <w:r>
              <w:rPr>
                <w:rFonts w:ascii="Arial" w:cs="Arial" w:eastAsia="Arial" w:hAnsi="Arial"/>
                <w:sz w:val="14"/>
                <w:szCs w:val="14"/>
                <w:color w:val="auto"/>
                <w:w w:val="92"/>
              </w:rPr>
              <w:t>Loss and Comprehensive Loss</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vMerge w:val="restart"/>
          </w:tcPr>
          <w:p>
            <w:pPr>
              <w:jc w:val="center"/>
              <w:ind w:right="120"/>
              <w:spacing w:after="0"/>
              <w:rPr>
                <w:sz w:val="20"/>
                <w:szCs w:val="20"/>
                <w:color w:val="auto"/>
              </w:rPr>
            </w:pPr>
            <w:r>
              <w:rPr>
                <w:rFonts w:ascii="Arial" w:cs="Arial" w:eastAsia="Arial" w:hAnsi="Arial"/>
                <w:sz w:val="14"/>
                <w:szCs w:val="14"/>
                <w:color w:val="auto"/>
                <w:w w:val="91"/>
              </w:rPr>
              <w:t>Testing</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336</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(256)</w:t>
            </w:r>
          </w:p>
        </w:tc>
        <w:tc>
          <w:tcPr>
            <w:tcW w:w="1880" w:type="dxa"/>
            <w:vAlign w:val="bottom"/>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June 29, 2019 or March 30, 2019. As of June 29, 2019, no deferred tax assets were recognized for designated foreign currency hedges.</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29, 2019,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consolidated balance sheets as of June 29,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ind w:left="820"/>
              <w:spacing w:after="0"/>
              <w:rPr>
                <w:sz w:val="20"/>
                <w:szCs w:val="20"/>
                <w:color w:val="auto"/>
              </w:rPr>
            </w:pPr>
            <w:r>
              <w:rPr>
                <w:rFonts w:ascii="Arial" w:cs="Arial" w:eastAsia="Arial" w:hAnsi="Arial"/>
                <w:sz w:val="14"/>
                <w:szCs w:val="14"/>
                <w:color w:val="auto"/>
              </w:rPr>
              <w:t>Location in</w:t>
            </w:r>
          </w:p>
        </w:tc>
        <w:tc>
          <w:tcPr>
            <w:tcW w:w="360" w:type="dxa"/>
            <w:vAlign w:val="bottom"/>
          </w:tcPr>
          <w:p>
            <w:pPr>
              <w:spacing w:after="0"/>
              <w:rPr>
                <w:sz w:val="16"/>
                <w:szCs w:val="16"/>
                <w:color w:val="auto"/>
              </w:rPr>
            </w:pPr>
          </w:p>
        </w:tc>
        <w:tc>
          <w:tcPr>
            <w:tcW w:w="1740" w:type="dxa"/>
            <w:vAlign w:val="bottom"/>
            <w:gridSpan w:val="2"/>
          </w:tcPr>
          <w:p>
            <w:pPr>
              <w:ind w:left="4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6"/>
                <w:szCs w:val="16"/>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June 29, 2019</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67"/>
        </w:trPr>
        <w:tc>
          <w:tcPr>
            <w:tcW w:w="4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10,092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1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584" w:right="31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June 29, 2019 and March 30,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29, 2019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35,506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35,506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35,506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36,097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10,092</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As of March 30, 2019</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38,257</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 discarded the collected blood. As of June 29, 2019, the Company has recorded cumulative charges of $1.9 million associated with this recall which consists of $0.1 million of charges associated with customer returns and inventory reserves and $1.8 million of charges associated with customer claims. Substantially all outstanding claims have been paid as of June 29, 2019.</w:t>
      </w:r>
    </w:p>
    <w:p>
      <w:pPr>
        <w:sectPr>
          <w:pgSz w:w="11900" w:h="16838" w:orient="portrait"/>
          <w:cols w:equalWidth="0" w:num="1">
            <w:col w:w="11420"/>
          </w:cols>
          <w:pgMar w:left="240" w:top="58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15. SEGMENT AND ENTERPRISE-WIDE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structuring to three global business units and accordingly has reorganized its reporting structure to align with its three global business units and the information that will be regularly reviewed by the Company's chief operating decision maker.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Hospital</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certain transaction costs and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Plasma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110,763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99,290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Hospital</w:t>
            </w: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47,187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45,845</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business unit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235,946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224,953</w:t>
            </w:r>
          </w:p>
        </w:tc>
      </w:tr>
      <w:tr>
        <w:trPr>
          <w:trHeight w:val="270"/>
        </w:trPr>
        <w:tc>
          <w:tcPr>
            <w:tcW w:w="88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4,325</w:t>
            </w: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238,451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229,347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12" w:lineRule="exact"/>
        <w:rPr>
          <w:sz w:val="20"/>
          <w:szCs w:val="20"/>
          <w:color w:val="auto"/>
        </w:rPr>
      </w:pPr>
    </w:p>
    <w:p>
      <w:pPr>
        <w:ind w:left="200" w:hanging="165"/>
        <w:spacing w:after="0"/>
        <w:tabs>
          <w:tab w:leader="none" w:pos="20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Reflects revenue for service, maintenance and parts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8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w w:val="96"/>
              </w:rPr>
              <w:t>June 30,</w:t>
            </w:r>
          </w:p>
        </w:tc>
      </w:t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Plasma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53,725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41,921</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38,472</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18,328</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98,721</w:t>
            </w:r>
          </w:p>
        </w:tc>
      </w:tr>
      <w:tr>
        <w:trPr>
          <w:trHeight w:val="270"/>
        </w:trPr>
        <w:tc>
          <w:tcPr>
            <w:tcW w:w="926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(61,050)</w:t>
            </w:r>
          </w:p>
        </w:tc>
      </w:tr>
      <w:tr>
        <w:trPr>
          <w:trHeight w:val="250"/>
        </w:trPr>
        <w:tc>
          <w:tcPr>
            <w:tcW w:w="9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3,055</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Impairment of assets and other related charges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(21,170)</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PCS2 accelerated depreciation and related costs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8890</wp:posOffset>
            </wp:positionV>
            <wp:extent cx="1372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40" w:right="180" w:hanging="5"/>
        <w:spacing w:after="0" w:line="237" w:lineRule="auto"/>
        <w:tabs>
          <w:tab w:leader="none" w:pos="207"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March 30,</w:t>
            </w:r>
          </w:p>
        </w:tc>
      </w:tr>
      <w:tr>
        <w:trPr>
          <w:trHeight w:val="19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r>
      <w:tr>
        <w:trPr>
          <w:trHeight w:val="270"/>
        </w:trPr>
        <w:tc>
          <w:tcPr>
            <w:tcW w:w="9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Plasma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168,816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209,827</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110,073</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19,372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24,079</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276,748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343,979</w:t>
            </w: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200" w:hanging="165"/>
        <w:spacing w:after="0"/>
        <w:tabs>
          <w:tab w:leader="none" w:pos="20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Long-lived assets are comprised of property, plant and equipment.</w:t>
      </w:r>
    </w:p>
    <w:p>
      <w:pPr>
        <w:spacing w:after="0" w:line="200" w:lineRule="exact"/>
        <w:rPr>
          <w:sz w:val="20"/>
          <w:szCs w:val="20"/>
          <w:color w:val="auto"/>
        </w:rPr>
      </w:pPr>
    </w:p>
    <w:p>
      <w:pPr>
        <w:spacing w:after="0" w:line="2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revenues by product line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89"/>
              </w:rPr>
              <w:t>June 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 products and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129,745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116,903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Blood Center products and services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59,907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64,483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products and services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48,799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47,961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238,451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229,347</w:t>
            </w:r>
          </w:p>
        </w:tc>
        <w:tc>
          <w:tcPr>
            <w:tcW w:w="0" w:type="dxa"/>
            <w:vAlign w:val="bottom"/>
          </w:tcPr>
          <w:p>
            <w:pPr>
              <w:spacing w:after="0"/>
              <w:rPr>
                <w:sz w:val="1"/>
                <w:szCs w:val="1"/>
                <w:color w:val="auto"/>
              </w:rPr>
            </w:pPr>
          </w:p>
        </w:tc>
      </w:tr>
      <w:tr>
        <w:trPr>
          <w:trHeight w:val="20"/>
        </w:trPr>
        <w:tc>
          <w:tcPr>
            <w:tcW w:w="8120" w:type="dxa"/>
            <w:vAlign w:val="bottom"/>
            <w:gridSpan w:val="8"/>
            <w:vMerge w:val="restart"/>
          </w:tcPr>
          <w:p>
            <w:pPr>
              <w:spacing w:after="0"/>
              <w:rPr>
                <w:sz w:val="20"/>
                <w:szCs w:val="20"/>
                <w:color w:val="auto"/>
              </w:rPr>
            </w:pPr>
            <w:r>
              <w:rPr>
                <w:rFonts w:ascii="Arial" w:cs="Arial" w:eastAsia="Arial" w:hAnsi="Arial"/>
                <w:sz w:val="18"/>
                <w:szCs w:val="18"/>
                <w:color w:val="auto"/>
                <w:w w:val="97"/>
              </w:rPr>
              <w:t>Net revenues generated in the Company's principle operating regions on a reported basis are as follows:</w:t>
            </w: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120" w:type="dxa"/>
            <w:vAlign w:val="bottom"/>
            <w:gridSpan w:val="8"/>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89"/>
              </w:rPr>
              <w:t>June 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156,375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15,467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36,753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28,641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29,395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238,451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229,347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ACCUMULATED OTHER COMPREHENSIVE LOSS</w:t>
            </w: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5"/>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Defined Benefit Plans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55"/>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30,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June 29,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fiscal year ended March 30, 2019. The following discussion may contain forward-looking statements and should be read in conjunction with the “Cautionary Statement Regarding Forward-Looking Information” in this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0" w:right="22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commercial plasma customers that collect plasma primarily for further fractionation into plasma-derived biopharmaceuticals. “Blood Center” includes blood collection and processing devices and disposables for apheresis (red cells, platelets and plasma) and whole blood that are used primarily for transfusion purposes as well as donor management software.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Plasma and Hospital have growth potential, while Blood Center competes in challenging markets which require us to manage the business differently, including reducing costs, rationalizing the current product line, and evaluating opportunities to exit unfavorable customer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21, 2019, we transferred to CSL Plasma Inc. (“CSL”) substantially all of the tangible assets held by Haemonetics relating to the manufacture of anti-coagulant and saline at our Union, South Carolina facility and CSL assumed certain related liabilities pursuant to the terms of a settlement, release and asset transfer agreement between the parties dated May 13, 2019. At the closing, we received $9.8 million of proceeds and were concurrently released from our obligations to supply liquid solutions under a 2014 supply agreement with CSL. We will continue to supply liquid solutions to our customers following the asset transfer agreement pursuant to our supplier arrangements with contract manufacturers. We recognized an asset impairment in the first quarter of fiscal 2020 of $48.7 million as a result of this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May 2019, our Board of Directors authorized the repurchase of up to $500 million of Haemonetics common shares over the next two years. In early June 2019, we entered into an accelerated share repurchase agreement ("ASR") with Citibank N.A. ("Citibank") to repurchase approximately $75.0 million of the Company’s common stock. Pursuant to the terms of the ASR, in June 2019, we paid Citibank $75.0 million in cash and received an initial delivery of approximately 0.6 million shares of our common stock based on a closing market price of the Company's common stock on the New York Stock Exchange on June 3, 2019 of $97.45. This initial delivery of shares represented approximately 80% of the notional amount of the ASR. On July 30, 2019, the ASR was completed and an additional 29,018 shares were delivered upon settlement. The total number of shares repurchased under the ASR was approximately 0.6 million at an average price per share upon final settlement of $116.33.</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August 6, 2019, the total remaining authorization for repurchases of the Company's common stock under our share repurchase program was $425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Restructuring Program</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Relocation of Corporate Headquarters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2018, we entered into a lease for office space in Boston, MA that will serve as our new corporate headquarters and replace our existing location in Braintree, MA. During the first quarter of fiscal 2020, we entered into a purchase and sale agreement that provides for the sale of our existing corporate headquarters and is subject to the satisfaction of customary closing conditions. Accordingly, we reclassified $7.6 million of long term assets associated with the current corporate headquarters to assets held-for-sale as of June 29, 2019. We believe our move to Boston, which is anticipated to occur in the third quarter of fiscal 2020, will attract and retain key talent and provide a dynamic space to engage our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Reportable Segments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as of March 31, 2019, we completed the transition of the Company's operating structure to three global business units - Plasma, Blood Center and Hospital - and accordingly reorganized our operating and reporting structure to align with our three global business units. This new segment structure has been realigned in accordance with the respective markets to accurately reflect the ongoing performance of each business and excludes service. The discussion of our results of operations that follows has been revised to reflect our new reportable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10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238,451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229,347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115,906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83,244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36.3 %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129,208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77,951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(13,302)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(4,423)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(Loss) income before (benefit) provision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(17,725)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52.2 %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185.0 %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(8,479)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n/m</w:t>
            </w:r>
          </w:p>
        </w:tc>
      </w:tr>
      <w:tr>
        <w:trPr>
          <w:trHeight w:val="27"/>
        </w:trPr>
        <w:tc>
          <w:tcPr>
            <w:tcW w:w="7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Net revenues increased 4.0% for the three months ended June 29, 2019, as compared with the same period of fiscal 2019. Without the effect of foreign exchange, net revenues increased 5.0% for the three months ended June 29, 2019, as compared with the same period of fiscal 2019. Revenue increases in Plasma and Hospital were partially offset by declines in Blood Center during the three months ended June 29, 2019.</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decreased for the three months ended June 29, 2019, as compared with the same period of fiscal 2019, primarily due to impairment charges recognized in the first quarter of fiscal 2020 as a result of the divestiture of our plasma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240"/>
        <w:spacing w:after="0" w:line="277" w:lineRule="auto"/>
        <w:rPr>
          <w:sz w:val="20"/>
          <w:szCs w:val="20"/>
          <w:color w:val="auto"/>
        </w:rPr>
      </w:pPr>
      <w:r>
        <w:rPr>
          <w:rFonts w:ascii="Arial" w:cs="Arial" w:eastAsia="Arial" w:hAnsi="Arial"/>
          <w:sz w:val="18"/>
          <w:szCs w:val="18"/>
          <w:color w:val="auto"/>
        </w:rPr>
        <w:t>liquid solutions operations to CSL. This decrease was partially offset by favorable pricing and volume and incremental complexity reduction savings in the current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08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4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142,140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82,076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87,207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238,451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229,347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-228600</wp:posOffset>
            </wp:positionV>
            <wp:extent cx="1766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34.4% of total net revenues for the three months ended June 29, 2019, as compared with 38.0% for the three months ended June 30, 2018.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4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99,354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75,803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78,823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47,697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46,980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4,190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238,451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229,347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100" w:firstLine="8"/>
        <w:spacing w:after="0" w:line="319" w:lineRule="auto"/>
        <w:tabs>
          <w:tab w:leader="none" w:pos="127" w:val="left"/>
        </w:tabs>
        <w:numPr>
          <w:ilvl w:val="0"/>
          <w:numId w:val="15"/>
        </w:numPr>
        <w:rPr>
          <w:rFonts w:ascii="Arial" w:cs="Arial" w:eastAsia="Arial" w:hAnsi="Arial"/>
          <w:sz w:val="13"/>
          <w:szCs w:val="13"/>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p>
    <w:p>
      <w:pPr>
        <w:spacing w:after="0" w:line="368" w:lineRule="exact"/>
        <w:rPr>
          <w:rFonts w:ascii="Arial" w:cs="Arial" w:eastAsia="Arial" w:hAnsi="Arial"/>
          <w:sz w:val="13"/>
          <w:szCs w:val="13"/>
          <w:color w:val="auto"/>
          <w:vertAlign w:val="superscript"/>
        </w:rPr>
      </w:pPr>
    </w:p>
    <w:p>
      <w:pPr>
        <w:ind w:right="140" w:firstLine="8"/>
        <w:spacing w:after="0" w:line="257" w:lineRule="auto"/>
        <w:tabs>
          <w:tab w:leader="none" w:pos="141" w:val="left"/>
        </w:tabs>
        <w:numPr>
          <w:ilvl w:val="0"/>
          <w:numId w:val="15"/>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$24.4 million and $21.3 million for the three months ended June 29, 2019 and June 30, 2018, respectively. Hemostasis Management revenue increased 14.1% in the first quarter of fiscal 2020 as compared with the same period of fiscal 2019. Without the effect of foreign exchange, Hemostasis Management revenue increased 15.7% in the first quarter of fiscal 2020 as compared with the same period of fiscal 2019.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Plasma</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Plasma revenue increased 11.1% during the three months ended June 29, 2019, as compared with the same period of fiscal 2019. Without the effect of foreign exchange, Plasma revenue increased 11.6% for the three months ended June 29, 2019, as compared with the same period of fiscal 2019. This revenue growth was primarily driven by an increase in volume of plasma disposables due to continued strong performance in the U.S. and favorable NexSys PCS pricing during the three months ended June 29, 2019. Increases in sales of software also contributed to the growth during the three months ended June 29, 2019.</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May 21, 2019, we transferred to CSL substantially all of the tangible assets held by Haemonetics relating to the manufacture of anti-coagulant and saline at our Union, South Carolina facility. We will continue to supply liquid solutions to our customers following the asset transfer agreement pursuant to our supplier arrangements with contract manufacturers.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Blood Center revenue decreased 3.8% during the three months ended June 29, 2019, as compared with the same period of fiscal 2019. Without the effect of foreign exchange, Blood Center revenue decreased 2.3% for the three months ended June 29, 2019, as compared with the same period of fiscal 2019. This decrease was primarily driven by declines in apheresis due to decreases in platelet revenue as a result of the continued shift toward double dose collection techniques in Japan. Declines in whole blood revenue in the same market also contributed to the overall decrease.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2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Hospital revenue increased 1.5% during the three months ended June 29, 2019, as compared with the same period of fiscal 2019. Without the effect of foreign exchange, Hospital revenue increased 2.9% during the three months ended June 29, 2019, as compared with the same period of fiscal 2019. The increase was primarily attributable to the growth of disposables associated with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diagnostic systems, principally in the U.S. and China.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increase during the three months ended June 29, 2019 was partially offset by declines due to the discontinuance of sales of our OrthoPAT products effective March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r>
      <w:tr>
        <w:trPr>
          <w:trHeight w:val="152"/>
        </w:trPr>
        <w:tc>
          <w:tcPr>
            <w:tcW w:w="7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115,906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Gross profit increased 39.2% for the three months ended June 29, 2019, as compared with the same period of fiscal 2019. Without the effect of foreign exchange, gross profit increased 42.6% for the three months ended June 29, 2019, as compared with the same period of fiscal 2019. The increase in gross profit margin during the three months ended June 29, 2019 was primarily due to the absence of impairment charges which were incurred in the prior year period, favorable pricing driven by the annualization of NexSys device conversions, increased volume and incremental complexity reduction savings in the current year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Three Months Ended</w:t>
            </w:r>
          </w:p>
        </w:tc>
        <w:tc>
          <w:tcPr>
            <w:tcW w:w="136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3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9,406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68,545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129,208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77,951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65.8 %</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Research and development expenses decreased 20.4% for the three months ended June 29, 2019, as compared with the same period of fiscal 2019. Without the effect of foreign exchange, research and development expenses decreased 20.1% for the three months ended June 29, 2019, as compared with the same period of fiscal 2019. The decrease during the three months ended June 29, 2019 was primarily driven by investments made in clinical programs during the prior year period in order to support FDA clearance for the use of TEG 6s in adult trauma settings, which was received in May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increased 6.5% for the three months ended June 29, 2019, as compared with the same period of fiscal 2019. Without the effect of foreign exchange, selling, general, and administrative expenses increased 7.9% for the three months ended June 29, 2019, as compared with the same period of fiscal 2019. The increase for the three months ended June 29, 2019 was primarily due to increased investments within our Plasma and Hospital business units and an increase in share-based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We recognized an impairment charge of $48.7 million for the three months ended June 29, 2019 due to the transfer to CSL of substantially all of our tangible assets related to the manufacture of anti-coagulant and saline at our Union, South Carolina facility to CSL. Refer to Note 4, </w:t>
      </w:r>
      <w:r>
        <w:rPr>
          <w:rFonts w:ascii="Arial" w:cs="Arial" w:eastAsia="Arial" w:hAnsi="Arial"/>
          <w:sz w:val="17"/>
          <w:szCs w:val="17"/>
          <w:i w:val="1"/>
          <w:iCs w:val="1"/>
          <w:color w:val="auto"/>
        </w:rPr>
        <w:t>Divestiture,</w:t>
      </w:r>
      <w:r>
        <w:rPr>
          <w:rFonts w:ascii="Arial" w:cs="Arial" w:eastAsia="Arial" w:hAnsi="Arial"/>
          <w:sz w:val="17"/>
          <w:szCs w:val="17"/>
          <w:color w:val="auto"/>
        </w:rPr>
        <w:t xml:space="preserve"> to the Unaudited Consolidated Financial Statements in this Quarterly Report on Form 10-Q for information pertaining to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increased by $1.3 million during the three months ended June 29, 2019, as compared with the prior year period due to an increase in the term loan and revolving credit facility balance as well as an increase in the effective interest rate. The effective interest rate on total debt outstanding as of June 29, 2019 was 3.8%.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Company's reported tax rate for the three months ended June 29, 2019 was 52.2%. The effective tax rate for the three months ended June 29, 2019 is higher than the U.S. statutory tax rate primarily due to the jurisdictional mix of earnings, as well as the impact of the divestiture of the plasma liquid solutions operation recorded in pretax income which resulted in a worldwide pretax loss for the quarter. The tax rate for the three months ended June 29, 2019 also includes a discrete stock compensation windfall benefit of $4.9 million. Refer to Note 4,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for additional details related to the divestiture of the plasma liquid solutions operation</w:t>
      </w:r>
      <w:r>
        <w:rPr>
          <w:rFonts w:ascii="Arial" w:cs="Arial" w:eastAsia="Arial" w:hAnsi="Arial"/>
          <w:sz w:val="18"/>
          <w:szCs w:val="18"/>
          <w:i w:val="1"/>
          <w:iCs w:val="1"/>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ind w:right="20"/>
        <w:spacing w:after="0" w:line="276" w:lineRule="auto"/>
        <w:rPr>
          <w:sz w:val="20"/>
          <w:szCs w:val="20"/>
          <w:color w:val="auto"/>
        </w:rPr>
      </w:pPr>
      <w:r>
        <w:rPr>
          <w:rFonts w:ascii="Arial" w:cs="Arial" w:eastAsia="Arial" w:hAnsi="Arial"/>
          <w:sz w:val="17"/>
          <w:szCs w:val="17"/>
          <w:color w:val="auto"/>
        </w:rPr>
        <w:t>During the three months ended June 29, 2019 and June 30, 2018, the Company reported an income tax benefit of $9.2 million and expense of $6.1 million, respectively. The change in the Company's tax provision for the three months ended June 29, 2019 was primarily due to the divestiture of the plasma liquid solutions operation as well as an increase in stock compensation windfall benefits. The income tax provision for the three months ended June 30, 2018 was primarily attributable to applying the Company’s estimated annual effective tax rate to its year-to-date consolidated income before provision for income taxes, and includes a discrete tax benefit of $1.4 million related to stock compensation windfall tax benefits.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169,351</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321,613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340,362</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(245,458)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(180,769)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2019, the Board of Directors of Haemonetics approved a new Operational Excellence Program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share repurchases, cash payments under the loan agreement and restructuring and turnaround initiatives.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June 29, 2019, we had $190.2 million in cash and cash equivalents, the majority of which is held in the U.S. or in countries from which it can be repatriated to the U.S. On June 15, 2018, we entered into a five year credit agreement which provided for a $350.0 million Term Loan and a $350.0 million Revolving Credit Facility. Interest on the Credit Facilities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June 29, 2019, $332.5 million was outstanding under the Term Loan and $105.0 million was outstanding on the Revolving Credit Facility, both, with an effective interest rate of 3.8%. We also had $25.8 million of uncommitted operating lines of credit to fund our global operations under which there were no outstanding borrowings as of June 29, 2019.</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scheduled principal payments of $8.8 million required during the remainder of fiscal 2020. We were in compliance with the leverage and interest coverage ratios specified in the credit agreement as well as all other bank covenants as of June 29,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3"/>
                <w:szCs w:val="13"/>
                <w:color w:val="auto"/>
              </w:rPr>
            </w:pPr>
          </w:p>
        </w:tc>
        <w:tc>
          <w:tcPr>
            <w:tcW w:w="146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23,122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(20,494)</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29,125</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18,663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2,888</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20,883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8890</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60" w:right="22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-228600</wp:posOffset>
            </wp:positionV>
            <wp:extent cx="2092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decreased by $20.5 million during the three months ended June 29, 2019, as compared with the three months ended June 30, 2018. The decrease in cash provided by operating activities was primarily due to a working capital outflow driven largely by an increase in inventory build to support the launch of the NexSys PCS devices and a decrease in accounts payable and accrued liabilities. The working capital outflow was partially offset by a decrease in accounts receivable due to the timing of collections.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increased by $29.1 million during the three months ended June 29, 2019, as compared with the three months ended June 30, 2018. The increase in cash provided investing activities was primarily the result of a decrease in capital expenditures in the current year period due to spend related to the NexSys PCS launch and manufacturing capacity expansion projects in our Plasma business in the prior year period and the proceeds received related to the divestiture of our plasma liquid solutions operations in the current period.</w:t>
      </w:r>
    </w:p>
    <w:p>
      <w:pPr>
        <w:spacing w:after="0" w:line="18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Net cash provided by financing activities decreased by $2.6 million during the three months ended June 29, 2019, as compared with the three months ended June 30, 2018, primarily due to lower borrowings, net of payments, on our Credit Facilities partially offset by lower share repurchases than the prior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three months ended June 29, 2019, 34.4%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5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June 2016, the FASB issued ASC Update No. 2016-13, Financial Instruments – Credit Losses (Topic 326). ASC Update No. 2016-13 is to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ASC Update No. 2016-13 is effective for annual periods beginning after December 15, 2019, and is applicable to us in fiscal 2021. We are in the process of determining the effect that the adoption will have on our financial position and results of operations.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the impact and timing of restructuring initiatives including associated cost savings and other benefits; impact of planned acquisitions or dispositions; market position and expenditures.</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580" w:right="31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Set forth below are some important factors that could cause our actual results to differ from our expectations in any forward-looking statements. For further discussion of these and other factors,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most recent Annual Report on Form 10-K.</w:t>
      </w:r>
    </w:p>
    <w:p>
      <w:pPr>
        <w:spacing w:after="0" w:line="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184"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29" w:lineRule="exact"/>
        <w:rPr>
          <w:rFonts w:ascii="Arial" w:cs="Arial" w:eastAsia="Arial" w:hAnsi="Arial"/>
          <w:sz w:val="18"/>
          <w:szCs w:val="18"/>
          <w:color w:val="auto"/>
        </w:rPr>
      </w:pPr>
    </w:p>
    <w:p>
      <w:pPr>
        <w:ind w:left="660" w:right="6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Security breaches of our information technology systems or our products, which could impair our ability to conduct business or compromise sensitive information of the Company or its customers, suppliers and other business partners, or of customers' patients and donors;</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regulatory approvals in a timely manner consistent with cost estimates;</w:t>
      </w:r>
    </w:p>
    <w:p>
      <w:pPr>
        <w:spacing w:after="0" w:line="184"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184"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2020 Program and 2018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desired on terms reasonably acceptable to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and the possibility that the Company’s share repurchase program may be delayed, suspended or discontinued;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communicable diseases on demand for our products;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8" w:right="259" w:bottom="1440" w:gutter="0" w:footer="0" w:header="0"/>
        </w:sectPr>
      </w:pPr>
    </w:p>
    <w:bookmarkStart w:id="29" w:name="page30"/>
    <w:bookmarkEnd w:id="29"/>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our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$8.9 million increase in the fair value of the forward contracts; whereas a 10% weakening of the U.S. Dollar would result in a $9.7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June 29, 2019 was $332.5 million with an interest rate of 3.8% based on prevailing LIBOR rates. An increase of 100 basis points in LIBOR rates would result in additional annual interest expense of $3.3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an evaluation, as of June 29, 2019,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 as of June 29,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implemented certain controls related to the adoption of FASB ASC Topic 842, effective March 31, 2019. These controls were designed and implemented to ensure the completeness and accuracy over financial reporting. With the exception of the controls implemented for FASB ASC Topic 842, there were no changes in our internal control over financial reporting during the three months ended June 29, 2019 that have materially affected, or are reasonably likely to materially affect, our internal control over financial reporting.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36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March 30,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first quarter of fiscal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vMerge w:val="continue"/>
          </w:tcPr>
          <w:p>
            <w:pPr>
              <w:spacing w:after="0"/>
              <w:rPr>
                <w:sz w:val="12"/>
                <w:szCs w:val="12"/>
                <w:color w:val="auto"/>
              </w:rPr>
            </w:pPr>
          </w:p>
        </w:tc>
        <w:tc>
          <w:tcPr>
            <w:tcW w:w="16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Announced Program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Under 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2019 - April 27, 2019</w:t>
            </w:r>
          </w:p>
        </w:tc>
        <w:tc>
          <w:tcPr>
            <w:tcW w:w="1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April 28, 2019 - May 25, 2019</w:t>
            </w: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26, 2019 - June 29, 2019</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615,700</w:t>
            </w:r>
          </w:p>
        </w:tc>
        <w:tc>
          <w:tcPr>
            <w:tcW w:w="168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3"/>
                <w:szCs w:val="13"/>
                <w:color w:val="auto"/>
              </w:rPr>
              <w:t>(2)</w:t>
            </w:r>
          </w:p>
        </w:tc>
        <w:tc>
          <w:tcPr>
            <w:tcW w:w="16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color w:val="auto"/>
              </w:rPr>
              <w:t>615,700</w:t>
            </w: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615,700</w:t>
            </w: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$425,000,000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400" w:hanging="5"/>
        <w:spacing w:after="0" w:line="238" w:lineRule="auto"/>
        <w:tabs>
          <w:tab w:leader="none" w:pos="181" w:val="left"/>
        </w:tabs>
        <w:numPr>
          <w:ilvl w:val="0"/>
          <w:numId w:val="18"/>
        </w:numPr>
        <w:rPr>
          <w:rFonts w:ascii="Arial" w:cs="Arial" w:eastAsia="Arial" w:hAnsi="Arial"/>
          <w:sz w:val="9"/>
          <w:szCs w:val="9"/>
          <w:color w:val="auto"/>
        </w:rPr>
      </w:pPr>
      <w:r>
        <w:rPr>
          <w:rFonts w:ascii="Arial" w:cs="Arial" w:eastAsia="Arial" w:hAnsi="Arial"/>
          <w:sz w:val="14"/>
          <w:szCs w:val="14"/>
          <w:color w:val="auto"/>
        </w:rPr>
        <w:t>In May 2019, the Company announced that the Board of Directors had authorized the repurchase of up to $500 million of the Company’s common stock from time to time, based on market conditions, over the next two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20" w:lineRule="exact"/>
        <w:rPr>
          <w:rFonts w:ascii="Arial" w:cs="Arial" w:eastAsia="Arial" w:hAnsi="Arial"/>
          <w:sz w:val="9"/>
          <w:szCs w:val="9"/>
          <w:color w:val="auto"/>
        </w:rPr>
      </w:pPr>
    </w:p>
    <w:p>
      <w:pPr>
        <w:ind w:left="40" w:right="100" w:hanging="5"/>
        <w:spacing w:after="0" w:line="231" w:lineRule="auto"/>
        <w:tabs>
          <w:tab w:leader="none" w:pos="181" w:val="left"/>
        </w:tabs>
        <w:numPr>
          <w:ilvl w:val="0"/>
          <w:numId w:val="18"/>
        </w:numPr>
        <w:rPr>
          <w:rFonts w:ascii="Arial" w:cs="Arial" w:eastAsia="Arial" w:hAnsi="Arial"/>
          <w:sz w:val="9"/>
          <w:szCs w:val="9"/>
          <w:color w:val="auto"/>
        </w:rPr>
      </w:pPr>
      <w:r>
        <w:rPr>
          <w:rFonts w:ascii="Arial" w:cs="Arial" w:eastAsia="Arial" w:hAnsi="Arial"/>
          <w:sz w:val="14"/>
          <w:szCs w:val="14"/>
          <w:color w:val="auto"/>
        </w:rPr>
        <w:t>In early June 2019, the Company entered into an accelerated share repurchase agreement ("ASR") with Citibank N.A. ("Citibank") to repurchase approximately $75.0 million of the Company’s common stock. Pursuant to the terms of the ASR, in June 2019, the Company paid Citibank $75.0 million in cash and received an initial delivery of approximately 0.6 million shares of Haemonetics common stock based on a closing market price of the Company's common stock on the New York Stock Exchange on June 3, 2019 of $97.45. This initial delivery of shares represented approximately 80% of the notional amount of the ASR. On July 30, 2019, the ASR was completed and an additional 29,018 shares were delivered upon settlement. The total number of shares repurchased under the ASR was approximately 0.6 million at an average price per share upon final settlement of $116.33.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Organization of the Company, reflecting Articles of Amendment dated August 23,</w:t>
      </w:r>
    </w:p>
    <w:p>
      <w:pPr>
        <w:spacing w:after="0" w:line="23" w:lineRule="exact"/>
        <w:rPr>
          <w:sz w:val="20"/>
          <w:szCs w:val="20"/>
          <w:color w:val="auto"/>
        </w:rPr>
      </w:pPr>
    </w:p>
    <w:p>
      <w:pPr>
        <w:ind w:left="840" w:right="240"/>
        <w:spacing w:after="0" w:line="261" w:lineRule="auto"/>
        <w:rPr>
          <w:sz w:val="20"/>
          <w:szCs w:val="20"/>
          <w:color w:val="auto"/>
        </w:rPr>
      </w:pPr>
      <w:r>
        <w:rPr>
          <w:rFonts w:ascii="Arial" w:cs="Arial" w:eastAsia="Arial" w:hAnsi="Arial"/>
          <w:sz w:val="18"/>
          <w:szCs w:val="18"/>
          <w:color w:val="auto"/>
        </w:rPr>
        <w:t>1993, August 21, 2006, July 26, 2018 and July 25, 2019 (filed as Exhibit 3.1 to the Company’s Form 8-K dated July 29, 2019 and incorporated herein by reference).</w:t>
      </w:r>
    </w:p>
    <w:p>
      <w:pPr>
        <w:spacing w:after="0" w:line="200" w:lineRule="exact"/>
        <w:rPr>
          <w:sz w:val="20"/>
          <w:szCs w:val="20"/>
          <w:color w:val="auto"/>
        </w:rPr>
      </w:pPr>
    </w:p>
    <w:p>
      <w:pPr>
        <w:spacing w:after="0" w:line="240" w:lineRule="exact"/>
        <w:rPr>
          <w:sz w:val="20"/>
          <w:szCs w:val="20"/>
          <w:color w:val="auto"/>
        </w:rPr>
      </w:pPr>
    </w:p>
    <w:p>
      <w:pPr>
        <w:ind w:left="840" w:right="820" w:hanging="809"/>
        <w:spacing w:after="0" w:line="277" w:lineRule="auto"/>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the Company, as amended through July 25, 2019 (filed as Exhibit 3.3 to the Company’s Form 8-K dated July 29, 2019 and incorporated herein by reference).</w:t>
      </w:r>
    </w:p>
    <w:p>
      <w:pPr>
        <w:spacing w:after="0" w:line="30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Form of Performance Share Unit Agreement with Employees Under 2005 Long-Term Incentive Compensation Plan (rTSR Metrics, adopted fiscal</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2020) (filed as Exhibit 10AV to the Company's Form 10-K, for the year ended March 30, 2019).</w:t>
      </w:r>
    </w:p>
    <w:p>
      <w:pPr>
        <w:spacing w:after="0" w:line="346" w:lineRule="exact"/>
        <w:rPr>
          <w:sz w:val="20"/>
          <w:szCs w:val="20"/>
          <w:color w:val="auto"/>
        </w:rPr>
      </w:pPr>
    </w:p>
    <w:p>
      <w:pPr>
        <w:ind w:left="840" w:right="480" w:hanging="809"/>
        <w:spacing w:after="0" w:line="277" w:lineRule="auto"/>
        <w:tabs>
          <w:tab w:leader="none" w:pos="82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10.2†</w:t>
        </w:r>
      </w:hyperlink>
      <w:r>
        <w:rPr>
          <w:rFonts w:ascii="Arial" w:cs="Arial" w:eastAsia="Arial" w:hAnsi="Arial"/>
          <w:sz w:val="18"/>
          <w:szCs w:val="18"/>
          <w:color w:val="0000FF"/>
        </w:rPr>
        <w:tab/>
        <w:t>Haemonetics Corporation Worldwide Employee Bonus Plan (as amended and restated effective April 23, 2019) (filed as Exhibit 10.1 to the Company's Form 8-K dated April 29, 2019 and incorporated herein by reference).</w:t>
      </w:r>
    </w:p>
    <w:p>
      <w:pPr>
        <w:spacing w:after="0" w:line="306" w:lineRule="exact"/>
        <w:rPr>
          <w:sz w:val="20"/>
          <w:szCs w:val="20"/>
          <w:color w:val="auto"/>
        </w:rPr>
      </w:pPr>
    </w:p>
    <w:p>
      <w:pPr>
        <w:ind w:left="840" w:right="420" w:hanging="809"/>
        <w:spacing w:after="0" w:line="277" w:lineRule="auto"/>
        <w:tabs>
          <w:tab w:leader="none" w:pos="820" w:val="left"/>
        </w:tabs>
        <w:rPr>
          <w:rFonts w:ascii="Arial" w:cs="Arial" w:eastAsia="Arial" w:hAnsi="Arial"/>
          <w:sz w:val="18"/>
          <w:szCs w:val="18"/>
          <w:color w:val="0000FF"/>
        </w:rPr>
      </w:pPr>
      <w:hyperlink w:anchor="page34">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79" w:lineRule="exact"/>
        <w:rPr>
          <w:sz w:val="20"/>
          <w:szCs w:val="20"/>
          <w:color w:val="auto"/>
        </w:rPr>
      </w:pPr>
    </w:p>
    <w:p>
      <w:pPr>
        <w:ind w:left="840" w:right="400" w:hanging="809"/>
        <w:spacing w:after="0" w:line="277" w:lineRule="auto"/>
        <w:tabs>
          <w:tab w:leader="none" w:pos="82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700" w:hanging="809"/>
        <w:spacing w:after="0" w:line="277" w:lineRule="auto"/>
        <w:tabs>
          <w:tab w:leader="none" w:pos="820" w:val="left"/>
        </w:tabs>
        <w:rPr>
          <w:rFonts w:ascii="Arial" w:cs="Arial" w:eastAsia="Arial" w:hAnsi="Arial"/>
          <w:sz w:val="18"/>
          <w:szCs w:val="18"/>
          <w:color w:val="0000FF"/>
        </w:rPr>
      </w:pPr>
      <w:hyperlink w:anchor="page36">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79" w:lineRule="exact"/>
        <w:rPr>
          <w:sz w:val="20"/>
          <w:szCs w:val="20"/>
          <w:color w:val="auto"/>
        </w:rPr>
      </w:pPr>
    </w:p>
    <w:p>
      <w:pPr>
        <w:ind w:left="840" w:right="80" w:hanging="809"/>
        <w:spacing w:after="0" w:line="277" w:lineRule="auto"/>
        <w:tabs>
          <w:tab w:leader="none" w:pos="82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220" w:hanging="799"/>
        <w:spacing w:after="0" w:line="276" w:lineRule="auto"/>
        <w:tabs>
          <w:tab w:leader="none" w:pos="8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Haemonetics Corporation on Form 10-Q for the quarter ended June 29, 2019, formatted in inline Extensible Business Reporting Language (XBRL) includes: (i) Consolidated Statements of Income and Comprehensive Income, (ii) Consolidated Balance Sheets, (iii) Consolidated Statements of Cash Flows, and (iv)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279" w:lineRule="exact"/>
        <w:rPr>
          <w:sz w:val="20"/>
          <w:szCs w:val="20"/>
          <w:color w:val="auto"/>
        </w:rPr>
      </w:pPr>
    </w:p>
    <w:p>
      <w:pPr>
        <w:ind w:left="720" w:right="80" w:hanging="685"/>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364" w:right="27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3100"/>
        <w:spacing w:after="0"/>
        <w:tabs>
          <w:tab w:leader="none" w:pos="4820" w:val="left"/>
        </w:tabs>
        <w:rPr>
          <w:sz w:val="20"/>
          <w:szCs w:val="20"/>
          <w:color w:val="auto"/>
        </w:rPr>
      </w:pPr>
      <w:r>
        <w:rPr>
          <w:rFonts w:ascii="Arial" w:cs="Arial" w:eastAsia="Arial" w:hAnsi="Arial"/>
          <w:sz w:val="18"/>
          <w:szCs w:val="18"/>
          <w:color w:val="auto"/>
        </w:rPr>
        <w:t>August 6, 2019 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3100"/>
        <w:spacing w:after="0"/>
        <w:tabs>
          <w:tab w:leader="none" w:pos="4820" w:val="left"/>
        </w:tabs>
        <w:rPr>
          <w:sz w:val="20"/>
          <w:szCs w:val="20"/>
          <w:color w:val="auto"/>
        </w:rPr>
      </w:pPr>
      <w:r>
        <w:rPr>
          <w:rFonts w:ascii="Arial" w:cs="Arial" w:eastAsia="Arial" w:hAnsi="Arial"/>
          <w:sz w:val="18"/>
          <w:szCs w:val="18"/>
          <w:color w:val="auto"/>
        </w:rPr>
        <w:t>August 6, 2019 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364"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29, 2019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29, 2019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1" Type="http://schemas.openxmlformats.org/officeDocument/2006/relationships/hyperlink" Target="http://www.sec.gov/Archives/edgar/data/313143/000031314319000022/fy2019exh10av.htm" TargetMode="External"/><Relationship Id="rId22" Type="http://schemas.openxmlformats.org/officeDocument/2006/relationships/hyperlink" Target="http://www.sec.gov/Archives/edgar/data/313143/000031314319000010/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2019-12-28T08:41:26Z</dcterms:created>
  <dcterms:modified xsi:type="dcterms:W3CDTF">2019-12-28T08:41:26Z</dcterms:modified>
</cp:coreProperties>
</file>