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29,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594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5940" w:type="dxa"/>
            <w:vAlign w:val="bottom"/>
            <w:vMerge w:val="restart"/>
          </w:tcPr>
          <w:p>
            <w:pPr>
              <w:jc w:val="center"/>
              <w:ind w:left="325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5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5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5940" w:type="dxa"/>
            <w:vAlign w:val="bottom"/>
          </w:tcPr>
          <w:p>
            <w:pPr>
              <w:jc w:val="center"/>
              <w:ind w:right="24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5940" w:type="dxa"/>
            <w:vAlign w:val="bottom"/>
          </w:tcPr>
          <w:p>
            <w:pPr>
              <w:jc w:val="center"/>
              <w:ind w:right="24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5" w:lineRule="exact"/>
        <w:rPr>
          <w:sz w:val="24"/>
          <w:szCs w:val="24"/>
          <w:color w:val="auto"/>
        </w:rPr>
      </w:pPr>
    </w:p>
    <w:p>
      <w:pPr>
        <w:jc w:val="center"/>
        <w:ind w:right="220"/>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220"/>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203"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8820" w:space="720"/>
            <w:col w:w="1880"/>
          </w:cols>
          <w:pgMar w:left="240" w:top="225" w:right="23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86" w:lineRule="exact"/>
        <w:rPr>
          <w:sz w:val="24"/>
          <w:szCs w:val="24"/>
          <w:color w:val="auto"/>
        </w:rPr>
      </w:pPr>
    </w:p>
    <w:p>
      <w:pPr>
        <w:sectPr>
          <w:pgSz w:w="11900" w:h="16838" w:orient="portrait"/>
          <w:cols w:equalWidth="0" w:num="2">
            <w:col w:w="2320" w:space="720"/>
            <w:col w:w="8380"/>
          </w:cols>
          <w:pgMar w:left="240" w:top="225" w:right="239" w:bottom="1440" w:gutter="0" w:footer="0" w:header="0"/>
          <w:type w:val="continuous"/>
        </w:sectPr>
      </w:pPr>
    </w:p>
    <w:p>
      <w:pPr>
        <w:ind w:left="8820"/>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ind w:left="882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25" w:right="239" w:bottom="1440" w:gutter="0" w:footer="0" w:header="0"/>
          <w:type w:val="continuous"/>
        </w:sectPr>
      </w:pPr>
    </w:p>
    <w:p>
      <w:pPr>
        <w:spacing w:after="0" w:line="5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20"/>
        <w:spacing w:after="0" w:line="207" w:lineRule="exact"/>
        <w:tabs>
          <w:tab w:leader="none" w:pos="58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November 2, 2018: 51,684,326</w:t>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9"/>
          </w:tcPr>
          <w:p>
            <w:pPr>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8"/>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8"/>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Unaudited Consolidated Statements of Income and Comprehensive Income - Three and Six Months Ended September 29, 2018 and</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September 30, 2017</w:t>
              </w:r>
            </w:hyperlink>
          </w:p>
        </w:tc>
        <w:tc>
          <w:tcPr>
            <w:tcW w:w="8020" w:type="dxa"/>
            <w:vAlign w:val="bottom"/>
            <w:tcBorders>
              <w:top w:val="single" w:sz="8" w:color="0000EE"/>
            </w:tcBorders>
            <w:gridSpan w:val="14"/>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Balance Sheet - September 29, 2018 and Audited Consolidated Balance Sheet - March 31, 2018</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680" w:type="dxa"/>
            <w:vAlign w:val="bottom"/>
            <w:tcBorders>
              <w:top w:val="single" w:sz="8" w:color="0000EE"/>
            </w:tcBorders>
            <w:gridSpan w:val="16"/>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Consolidated Statements of Cash Flows - Six Months Ended September 29, 2018 and September 30, 2017</w:t>
              </w:r>
            </w:hyperlink>
          </w:p>
        </w:tc>
        <w:tc>
          <w:tcPr>
            <w:tcW w:w="154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top w:val="single" w:sz="8" w:color="0000EE"/>
              <w:bottom w:val="single" w:sz="8" w:color="0000FF"/>
            </w:tcBorders>
            <w:gridSpan w:val="12"/>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Unaudited Consolidated Financial Statements</w:t>
              </w:r>
            </w:hyperlink>
          </w:p>
        </w:tc>
        <w:tc>
          <w:tcPr>
            <w:tcW w:w="4480" w:type="dxa"/>
            <w:vAlign w:val="bottom"/>
            <w:tcBorders>
              <w:top w:val="single" w:sz="8" w:color="0000EE"/>
            </w:tcBorders>
            <w:gridSpan w:val="3"/>
          </w:tcPr>
          <w:p>
            <w:pPr>
              <w:spacing w:after="0"/>
              <w:rPr>
                <w:sz w:val="21"/>
                <w:szCs w:val="21"/>
                <w:color w:val="auto"/>
              </w:rPr>
            </w:pPr>
          </w:p>
        </w:tc>
        <w:tc>
          <w:tcPr>
            <w:tcW w:w="180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420" w:type="dxa"/>
            <w:vAlign w:val="bottom"/>
          </w:tcPr>
          <w:p>
            <w:pPr>
              <w:spacing w:after="0"/>
              <w:rPr>
                <w:sz w:val="21"/>
                <w:szCs w:val="2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w w:val="90"/>
              </w:rPr>
            </w:pPr>
            <w:hyperlink w:anchor="page20">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20</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10"/>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9"/>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PART II. OTHER INFORMATION</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11"/>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1. Legal Proceedings</w:t>
              </w:r>
            </w:hyperlink>
          </w:p>
        </w:tc>
        <w:tc>
          <w:tcPr>
            <w:tcW w:w="760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6"/>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1A. Risk Factors</w:t>
              </w:r>
            </w:hyperlink>
          </w:p>
        </w:tc>
        <w:tc>
          <w:tcPr>
            <w:tcW w:w="8260" w:type="dxa"/>
            <w:vAlign w:val="bottom"/>
            <w:gridSpan w:val="13"/>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9"/>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2"/>
          </w:tcPr>
          <w:p>
            <w:pPr>
              <w:spacing w:after="0"/>
              <w:rPr>
                <w:rFonts w:ascii="Arial" w:cs="Arial" w:eastAsia="Arial" w:hAnsi="Arial"/>
                <w:sz w:val="18"/>
                <w:szCs w:val="18"/>
                <w:b w:val="1"/>
                <w:bCs w:val="1"/>
                <w:color w:val="0000FF"/>
                <w:w w:val="90"/>
              </w:rPr>
            </w:pPr>
            <w:hyperlink w:anchor="page32">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9"/>
          </w:tcPr>
          <w:p>
            <w:pPr>
              <w:spacing w:after="0"/>
              <w:rPr>
                <w:rFonts w:ascii="Arial" w:cs="Arial" w:eastAsia="Arial" w:hAnsi="Arial"/>
                <w:sz w:val="18"/>
                <w:szCs w:val="18"/>
                <w:b w:val="1"/>
                <w:bCs w:val="1"/>
                <w:color w:val="0000FF"/>
                <w:w w:val="91"/>
              </w:rPr>
            </w:pPr>
            <w:hyperlink w:anchor="page32">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7"/>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9"/>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5. Other Information</w:t>
              </w:r>
            </w:hyperlink>
          </w:p>
        </w:tc>
        <w:tc>
          <w:tcPr>
            <w:tcW w:w="7820" w:type="dxa"/>
            <w:vAlign w:val="bottom"/>
            <w:gridSpan w:val="10"/>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40" w:type="dxa"/>
            <w:vAlign w:val="bottom"/>
            <w:gridSpan w:val="7"/>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6. Exhibits</w:t>
              </w:r>
            </w:hyperlink>
          </w:p>
        </w:tc>
        <w:tc>
          <w:tcPr>
            <w:tcW w:w="8220" w:type="dxa"/>
            <w:vAlign w:val="bottom"/>
            <w:gridSpan w:val="12"/>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160" w:type="dxa"/>
            <w:vAlign w:val="bottom"/>
            <w:gridSpan w:val="2"/>
          </w:tcPr>
          <w:p>
            <w:pPr>
              <w:spacing w:after="0"/>
              <w:rPr>
                <w:rFonts w:ascii="Arial" w:cs="Arial" w:eastAsia="Arial" w:hAnsi="Arial"/>
                <w:sz w:val="18"/>
                <w:szCs w:val="18"/>
                <w:b w:val="1"/>
                <w:bCs w:val="1"/>
                <w:color w:val="0000EE"/>
                <w:w w:val="96"/>
              </w:rPr>
            </w:pPr>
            <w:hyperlink w:anchor="page34">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9020" w:type="dxa"/>
            <w:vAlign w:val="bottom"/>
            <w:gridSpan w:val="16"/>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507"/>
        </w:trPr>
        <w:tc>
          <w:tcPr>
            <w:tcW w:w="1160" w:type="dxa"/>
            <w:vAlign w:val="bottom"/>
            <w:tcBorders>
              <w:top w:val="single" w:sz="8" w:color="0000EE"/>
            </w:tcBorders>
            <w:gridSpan w:val="2"/>
          </w:tcPr>
          <w:p>
            <w:pPr>
              <w:spacing w:after="0"/>
              <w:rPr>
                <w:sz w:val="24"/>
                <w:szCs w:val="24"/>
                <w:color w:val="auto"/>
              </w:rPr>
            </w:pPr>
          </w:p>
        </w:tc>
        <w:tc>
          <w:tcPr>
            <w:tcW w:w="6380" w:type="dxa"/>
            <w:vAlign w:val="bottom"/>
            <w:gridSpan w:val="13"/>
          </w:tcPr>
          <w:p>
            <w:pPr>
              <w:jc w:val="right"/>
              <w:ind w:right="182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INCOME AND COMPREHENSIVE INCOME (Unaudited in thousands,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241,581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470,928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436,328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129,674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120,815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275,777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240,101</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111,907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104,562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195,151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196,227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77,248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72,783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145,793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139,644</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85,831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80,304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163,782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155,358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26,076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24,258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31,369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40,869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divestiture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(2,756)</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46,113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4,311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10,445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5,874</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18,726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20,102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15,907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40,239</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0.76</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52,531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53,138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52,981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53,365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52,896</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18,403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21,937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10,865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45,703</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September 29,</w:t>
            </w:r>
          </w:p>
        </w:tc>
        <w:tc>
          <w:tcPr>
            <w:tcW w:w="280" w:type="dxa"/>
            <w:vAlign w:val="bottom"/>
          </w:tcPr>
          <w:p>
            <w:pPr>
              <w:spacing w:after="0"/>
              <w:rPr>
                <w:sz w:val="14"/>
                <w:szCs w:val="14"/>
                <w:color w:val="auto"/>
              </w:rPr>
            </w:pPr>
          </w:p>
        </w:tc>
        <w:tc>
          <w:tcPr>
            <w:tcW w:w="1300" w:type="dxa"/>
            <w:vAlign w:val="bottom"/>
          </w:tcPr>
          <w:p>
            <w:pPr>
              <w:jc w:val="right"/>
              <w:ind w:right="420"/>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180" w:type="dxa"/>
            <w:vAlign w:val="bottom"/>
            <w:tcBorders>
              <w:bottom w:val="single" w:sz="8" w:color="CCEEFF"/>
            </w:tcBorders>
          </w:tcPr>
          <w:p>
            <w:pPr>
              <w:spacing w:after="0"/>
              <w:rPr>
                <w:sz w:val="16"/>
                <w:szCs w:val="16"/>
                <w:color w:val="auto"/>
              </w:rPr>
            </w:pPr>
          </w:p>
        </w:tc>
        <w:tc>
          <w:tcPr>
            <w:tcW w:w="7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r>
      <w:tr>
        <w:trPr>
          <w:trHeight w:val="256"/>
        </w:trPr>
        <w:tc>
          <w:tcPr>
            <w:tcW w:w="180" w:type="dxa"/>
            <w:vAlign w:val="bottom"/>
            <w:shd w:val="clear" w:color="auto" w:fill="CCEEFF"/>
          </w:tcPr>
          <w:p>
            <w:pPr>
              <w:spacing w:after="0"/>
              <w:rPr>
                <w:sz w:val="22"/>
                <w:szCs w:val="22"/>
                <w:color w:val="auto"/>
              </w:rPr>
            </w:pPr>
          </w:p>
        </w:tc>
        <w:tc>
          <w:tcPr>
            <w:tcW w:w="7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7"/>
              </w:rPr>
              <w:t>(Unaudited)</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199,763</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180,169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receivable, less allowance of $3,253 at September 29, 2018 and $2,111 at March 31, 2018</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151,226</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Inventories, net</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163,584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160,799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28,983</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552,805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521,177</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344,560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332,156</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w w:val="94"/>
              </w:rPr>
              <w:t>Intangible assets, less accumulated amortization of $264,742 at September 29, 2018 and $249,278 at March 31, 2018</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141,483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156,589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210,844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211,395</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Deferred tax asset</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3,765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3,961</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12,061</w:t>
            </w:r>
          </w:p>
        </w:tc>
      </w:tr>
      <w:tr>
        <w:trPr>
          <w:trHeight w:val="284"/>
        </w:trPr>
        <w:tc>
          <w:tcPr>
            <w:tcW w:w="180" w:type="dxa"/>
            <w:vAlign w:val="bottom"/>
            <w:tcBorders>
              <w:bottom w:val="single" w:sz="8" w:color="CCEEFF"/>
            </w:tcBorders>
          </w:tcPr>
          <w:p>
            <w:pPr>
              <w:spacing w:after="0"/>
              <w:rPr>
                <w:sz w:val="24"/>
                <w:szCs w:val="24"/>
                <w:color w:val="auto"/>
              </w:rPr>
            </w:pPr>
          </w:p>
        </w:tc>
        <w:tc>
          <w:tcPr>
            <w:tcW w:w="79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1,265,711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1,237,339</w:t>
            </w:r>
          </w:p>
        </w:tc>
      </w:tr>
      <w:tr>
        <w:trPr>
          <w:trHeight w:val="22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Notes payable and current maturities of long-term debt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194,259</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57,857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55,265</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payroll and 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69,519</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69,514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65,660</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189,167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384,703</w:t>
            </w:r>
          </w:p>
        </w:tc>
      </w:tr>
      <w:tr>
        <w:trPr>
          <w:trHeight w:val="217"/>
        </w:trPr>
        <w:tc>
          <w:tcPr>
            <w:tcW w:w="18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Long-term debt, net of current maturities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330,988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59,423</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6,526</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30,983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34,258</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0"/>
        </w:trPr>
        <w:tc>
          <w:tcPr>
            <w:tcW w:w="18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6"/>
                <w:szCs w:val="16"/>
                <w:color w:val="auto"/>
                <w:w w:val="95"/>
              </w:rPr>
              <w:t>Common stock, $0.01 par value; Authorized — 150,000,000 shares; Issued and outstanding — 51,624,719 shares at</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18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September 29, 2018 and 52,342,965 shares at March 31, 2018</w:t>
            </w:r>
          </w:p>
        </w:tc>
        <w:tc>
          <w:tcPr>
            <w:tcW w:w="220" w:type="dxa"/>
            <w:vAlign w:val="bottom"/>
          </w:tcPr>
          <w:p>
            <w:pPr>
              <w:spacing w:after="0"/>
              <w:rPr>
                <w:sz w:val="17"/>
                <w:szCs w:val="17"/>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523</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530,480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503,955</w:t>
            </w:r>
          </w:p>
        </w:tc>
      </w:tr>
      <w:tr>
        <w:trPr>
          <w:trHeight w:val="237"/>
        </w:trPr>
        <w:tc>
          <w:tcPr>
            <w:tcW w:w="180" w:type="dxa"/>
            <w:vAlign w:val="bottom"/>
          </w:tcPr>
          <w:p>
            <w:pPr>
              <w:spacing w:after="0"/>
              <w:rPr>
                <w:sz w:val="20"/>
                <w:szCs w:val="20"/>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194,375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266,942</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(18,991)</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b w:val="1"/>
                <w:bCs w:val="1"/>
                <w:color w:val="auto"/>
              </w:rPr>
              <w:t>Total stockholders’ equity</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701,338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752,429</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1,265,711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1,237,339</w:t>
            </w:r>
          </w:p>
        </w:tc>
      </w:tr>
      <w:tr>
        <w:trPr>
          <w:trHeight w:val="20"/>
        </w:trPr>
        <w:tc>
          <w:tcPr>
            <w:tcW w:w="1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29,</w:t>
            </w:r>
          </w:p>
        </w:tc>
        <w:tc>
          <w:tcPr>
            <w:tcW w:w="220" w:type="dxa"/>
            <w:vAlign w:val="bottom"/>
          </w:tcPr>
          <w:p>
            <w:pPr>
              <w:spacing w:after="0"/>
              <w:rPr>
                <w:sz w:val="13"/>
                <w:szCs w:val="13"/>
                <w:color w:val="auto"/>
              </w:rPr>
            </w:pPr>
          </w:p>
        </w:tc>
        <w:tc>
          <w:tcPr>
            <w:tcW w:w="1360" w:type="dxa"/>
            <w:vAlign w:val="bottom"/>
          </w:tcPr>
          <w:p>
            <w:pPr>
              <w:jc w:val="right"/>
              <w:ind w:right="280"/>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15,907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40,239</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51,692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43,986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21,170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Gain on divestiture</w:t>
            </w:r>
          </w:p>
        </w:tc>
        <w:tc>
          <w:tcPr>
            <w:tcW w:w="2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(8,000)</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non-cash operating activities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312</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receivable</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(13,326)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10,739</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7,284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prepaid income taxes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776</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(6,815)</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80,479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97,328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(29,125)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divestiture</w:t>
            </w:r>
          </w:p>
        </w:tc>
        <w:tc>
          <w:tcPr>
            <w:tcW w:w="2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9,000</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1,346</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(75,346)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(18,779)</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Term loan borrowings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347,780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term loan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(28,455)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1,780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1,622</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10,120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Share repurchases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financing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417</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18,584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(16,296)</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1,805</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19,594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64,058</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180,169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139,564</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199,763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203,622</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5,833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3,768</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12,099</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3,965</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right="8980" w:firstLine="8"/>
        <w:spacing w:after="0" w:line="533" w:lineRule="auto"/>
        <w:tabs>
          <w:tab w:leader="none" w:pos="18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spacing w:after="0" w:line="289" w:lineRule="auto"/>
        <w:rPr>
          <w:sz w:val="20"/>
          <w:szCs w:val="20"/>
          <w:color w:val="auto"/>
        </w:rPr>
      </w:pPr>
      <w:r>
        <w:rPr>
          <w:rFonts w:ascii="Arial" w:cs="Arial" w:eastAsia="Arial" w:hAnsi="Arial"/>
          <w:sz w:val="16"/>
          <w:szCs w:val="16"/>
          <w:color w:val="auto"/>
        </w:rPr>
        <w:t>The accompanying unaudited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six months ended September 29, 2018 are not necessarily indicative of the results that may be expected for the full fiscal year ending March 30, 2019 or any other interim period. The Company has assessed its ability to continue as a going concern. As of September 29, 2018, the Company has concluded that substantial doubt about its ability to continue as a going concern does not exist. These unaudited consolidated financial statements should be read in conjunction with the audited consolidated financial statements and footnotes included in the annual report on Form 10-K for the fiscal year ended March 31, 2018.</w:t>
      </w:r>
    </w:p>
    <w:p>
      <w:pPr>
        <w:spacing w:after="0" w:line="16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The Company had no significant subsequent events.</w:t>
      </w:r>
    </w:p>
    <w:p>
      <w:pPr>
        <w:spacing w:after="0" w:line="120" w:lineRule="exact"/>
        <w:rPr>
          <w:sz w:val="20"/>
          <w:szCs w:val="20"/>
          <w:color w:val="auto"/>
        </w:rPr>
      </w:pPr>
    </w:p>
    <w:p>
      <w:pPr>
        <w:ind w:right="7340" w:firstLine="8"/>
        <w:spacing w:after="0" w:line="344"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u w:val="single" w:color="auto"/>
          <w:color w:val="auto"/>
        </w:rPr>
        <w:t>Standards Implemented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(Topic 606)</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Codification ("ASC") Update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ASC Update No. 2014-09 stipulates that an entity should recognize revenue to depict the transfer of promised goods</w:t>
      </w:r>
      <w:r>
        <w:rPr>
          <w:rFonts w:ascii="Arial" w:cs="Arial" w:eastAsia="Arial" w:hAnsi="Arial"/>
          <w:sz w:val="18"/>
          <w:szCs w:val="18"/>
          <w:i w:val="1"/>
          <w:iCs w:val="1"/>
          <w:color w:val="auto"/>
        </w:rPr>
        <w:t xml:space="preserve"> </w:t>
      </w:r>
      <w:r>
        <w:rPr>
          <w:rFonts w:ascii="Arial" w:cs="Arial" w:eastAsia="Arial" w:hAnsi="Arial"/>
          <w:sz w:val="18"/>
          <w:szCs w:val="18"/>
          <w:color w:val="auto"/>
        </w:rPr>
        <w:t>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9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In March 2016, the FASB issued ASC Update No. 2016-08, Revenue from Contracts with Customers (Topic 606): </w:t>
      </w:r>
      <w:r>
        <w:rPr>
          <w:rFonts w:ascii="Arial" w:cs="Arial" w:eastAsia="Arial" w:hAnsi="Arial"/>
          <w:sz w:val="18"/>
          <w:szCs w:val="18"/>
          <w:i w:val="1"/>
          <w:iCs w:val="1"/>
          <w:color w:val="auto"/>
        </w:rPr>
        <w:t>Principal versus Agent Considerations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Revenue Gross versus Net)</w:t>
      </w:r>
      <w:r>
        <w:rPr>
          <w:rFonts w:ascii="Arial" w:cs="Arial" w:eastAsia="Arial" w:hAnsi="Arial"/>
          <w:sz w:val="18"/>
          <w:szCs w:val="18"/>
          <w:color w:val="auto"/>
        </w:rPr>
        <w:t>. The purpose of ASC Update No. 2016-08 is to clarify the guidance on principal versus agent considerations. It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indicators that help to determine whether an entity controls the specified good or service before it is transferred to the customer and to assist in determining when the entity satisfied the performance obligation and as such, whether to recognize a gross or a net amount of consideration in its consolidated statement of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April 2016, the FASB issued ASC Update No. 2016-10, Revenue from Contracts with Customers (Topic 606): </w:t>
      </w:r>
      <w:r>
        <w:rPr>
          <w:rFonts w:ascii="Arial" w:cs="Arial" w:eastAsia="Arial" w:hAnsi="Arial"/>
          <w:sz w:val="18"/>
          <w:szCs w:val="18"/>
          <w:i w:val="1"/>
          <w:iCs w:val="1"/>
          <w:color w:val="auto"/>
        </w:rPr>
        <w:t>Identifying Performance Obligations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Licensing</w:t>
      </w:r>
      <w:r>
        <w:rPr>
          <w:rFonts w:ascii="Arial" w:cs="Arial" w:eastAsia="Arial" w:hAnsi="Arial"/>
          <w:sz w:val="18"/>
          <w:szCs w:val="18"/>
          <w:color w:val="auto"/>
        </w:rPr>
        <w:t>. The guidance clarifies that entities are not required to assess whether promised goods or services are performance obligations if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immaterial in the context of the contract. ASC Update No. 2016-10 also addresses how to determine whether promised goods or services are separately identifiable and permits entities to make a policy election to treat shipping and handling costs as fulfillment activities. In addition, it clarifies key provisions in Topic 606 related to licensing.</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adopted ASU 2014-09 on April 1, 2018 using the modified retrospective method. Under this method, entities recognize the cumulative effect of applying the new standard at the date of initial application with no restatement of comparative periods presented. The cumulative effect of applying the new standard resulted in an increase to opening retained earnings of $1.5 million upon adoption of Topic 606 in April 2018, primarily related to deferred revenue associated with software contracts. Software revenue accounted for approximately 7.9% and 8.0% of total revenue for the three and six months ended September 29, 2018, respectively, and for approximately 8.5% and 8.4% of total revenue for the three and six months ended September 30, 2017, respectively. The new standard has been applied only to those contracts that were not completed as of March 31, 2018. The impact of adopting ASU 2014-09 was not significant to individual financial statement line items in the consolidated balance sheet and consolidated statement of income and comprehensive income.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2016, the FASB issued ASC Update No. 2016-16, Income Taxes (Topic 740). The guidance requires companies to recognize the income tax effects of intercompany sales and transfers of assets, other than inventory, in the income statement as income tax expense (or benefit) in the period in which the transfer occurs. The Company adopted ASC Update No. 2016-16 during the first quarter of fiscal 2019. The adoption of ASC Update No. 2016-16 did not have a material impact on the Company's consolidated financial statements.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August 2016, the FASB issued ASC Update No. 2016-15, Statement of Cash Flow (Topic 230). The guidance reduces diversity in how certain cash receipts and cash payments are presented and classified in the consolidated statements of cash flows. The Company adopted ASC Update No. 2016-15 during the first quarter of fiscal 2019. The adoption of ASC Update No. 2016-15 did not have a material impact on the Company's consolidated financial statements.</w:t>
      </w:r>
    </w:p>
    <w:p>
      <w:pPr>
        <w:spacing w:after="0" w:line="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May 2017, the FASB issued ASC Update No. 2017-09, Compensation - Stock Compensation: Scope of Modification Accounting (Topic 718). The guidance clarifies when to account for a change to the terms or conditions of a share-based payment award as a modification. The Company adopted ASC Update No. 2017-09 during the first quarter of fiscal 2019. The adoption of ASC Update No. 2017-09 did not have a material impact on the Company's consolidated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August 2017, the FASB issued ASC Update No. 2017-12, Derivatives and Hedging: Targeted Improvements to Accounting for Hedging Activities (Topic 815). The new guidance makes more financial and non-financial hedging strategies eligible for hedge accounting, amends the presentation and disclosure requirements for hedging activities and changes how companies assess hedge effectiveness. The Company early adopted ASC Update No. 2017-12 during the second quarter of fiscal 2019. The adoption of ASC Update No. 2017-12 did not have an impact on the Company's consolidated financial statements or the classification of its designated and non-designated hedge contracts.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fiscal 2018, the Company launched a Complexity Reduction Initiative (the "2018 Program"), a company-wide restructuring program designed to improve operational performance and reduce cost, freeing up resources to invest in accelerated growth. This program includes a reduction of headcount and operating costs which will enable a more streamlined organizational structure. The Company expects to incur aggregate charges between $50 million and $60 million associated with these actions, of which it expects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During the three and six months ended September 29, 2018, the Company incurred $1.9 million and $5.3 million, respectively, of restructuring and turnaround costs under this program. Total cumulative charges under this program are $41.9 million.</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fiscal 2017, the Company launched a restructuring program (the "2017 Program") designed to reposition its organization and improve its cost structure. During the three and six months ended September 29, 2018, there were nominal restructuring and turnaround charges recorded under this program. During the three and six months ended September 30, 2017, the Company incurred $5.2 million and $7.7 million, respectively, of restructuring and turnaround costs under this program. The 2017 Program is substantially complete.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90"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The following table summarizes the activity for restructuring reserves related to the 2018 Program and the 2017 Program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2018, substantially all of which relates to employee severance and other employee costs: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2018 Program</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2017 Program</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28,535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29,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14,492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14,971</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substantial majority of restructuring costs during the three and six months ended September 29, 2018 have been included as a component of selling, general and administrative expenses in the accompanying consolidated statements of income. As of September 29, 2018, the Company had a restructuring liability of $15.0 million, of which $13.6 million is payable within the next twelve months.</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addition to the restructuring costs included in the table above, during the three and six months ended September 29, 2018, the Company also incurred costs of $2.2 million and $5.8 million, respectively, that do not constitute restructuring under ASC 420, </w:t>
      </w:r>
      <w:r>
        <w:rPr>
          <w:rFonts w:ascii="Arial" w:cs="Arial" w:eastAsia="Arial" w:hAnsi="Arial"/>
          <w:sz w:val="17"/>
          <w:szCs w:val="17"/>
          <w:i w:val="1"/>
          <w:iCs w:val="1"/>
          <w:color w:val="auto"/>
        </w:rPr>
        <w:t>Exit and Disposal Cost Obligations,</w:t>
      </w:r>
      <w:r>
        <w:rPr>
          <w:rFonts w:ascii="Arial" w:cs="Arial" w:eastAsia="Arial" w:hAnsi="Arial"/>
          <w:sz w:val="17"/>
          <w:szCs w:val="17"/>
          <w:color w:val="auto"/>
        </w:rPr>
        <w:t xml:space="preserve"> which it refers to as turnaround costs. These costs, substantially all of which have been included as a component of selling, general and administrative expenses in the accompanying consolidated statements of income, consist primarily of expenditures directly related to the restructuring actions and include program management costs associated with the implementation of outsourcing initiatives and recent accounting standards.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Restructuring costs</w:t>
            </w: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2018</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2018</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2017</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EMEA</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Turnaround costs</w:t>
            </w: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29, 2018</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29, 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EMEA</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2,120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5,419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2,151</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5,636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7,063</w:t>
            </w:r>
          </w:p>
        </w:tc>
        <w:tc>
          <w:tcPr>
            <w:tcW w:w="0" w:type="dxa"/>
            <w:vAlign w:val="bottom"/>
          </w:tcPr>
          <w:p>
            <w:pPr>
              <w:spacing w:after="0"/>
              <w:rPr>
                <w:sz w:val="1"/>
                <w:szCs w:val="1"/>
                <w:color w:val="auto"/>
              </w:rPr>
            </w:pPr>
          </w:p>
        </w:tc>
      </w:tr>
      <w:tr>
        <w:trPr>
          <w:trHeight w:val="318"/>
        </w:trPr>
        <w:tc>
          <w:tcPr>
            <w:tcW w:w="606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restructuring and turnaround costs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2,118</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5,787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5,467</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8,270</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4. INCOME TAXES</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Company's reported tax rate for the three and six months ended September 29, 2018 was 18.7% and 39.6%, respectively. The rate for the three months ended September 29, 2018 includes a discrete stock compensation windfall benefit of $2.6 million. The rate for the six months ended September 29, 2018 is higher than the U.S. statutory tax rate primarily as a result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ind w:right="160"/>
        <w:spacing w:after="0" w:line="286" w:lineRule="auto"/>
        <w:rPr>
          <w:sz w:val="20"/>
          <w:szCs w:val="20"/>
          <w:color w:val="auto"/>
        </w:rPr>
      </w:pPr>
      <w:r>
        <w:rPr>
          <w:rFonts w:ascii="Arial" w:cs="Arial" w:eastAsia="Arial" w:hAnsi="Arial"/>
          <w:sz w:val="17"/>
          <w:szCs w:val="17"/>
          <w:color w:val="auto"/>
        </w:rPr>
        <w:t xml:space="preserve">asset impairment expense of $21.2 million recorded in pretax income for which no tax benefit was recognized as a result of the valuation allowance maintained against its deferred tax assets in the impacted jurisdiction. Refer to Note 8,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for additional details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Company's effective tax rate was also negatively impacted by certain provisions of the recently enacted U.S. tax reform as discussed below.</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three months ended September 29, 2018 and September 30, 2017, the Company reported an income tax provision of $4.3 million and $2.8 million, respectively. During the six months ended September 29, 2018 and September 30, 2017, the Company reported an income tax provision of $10.4 million and $5.9 million, respectively. The change in the Company's tax provision for both the three and six months ended September 29, 2018 was primarily due to an increase in the tax expense of its U.S. entity, which was impacted by the U.S. tax reform provisions discussed in more detail below, partially offset by a discrete stock compensation windfall benefit.</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fiscal 2018, the Tax Cuts and Jobs Act (the "Act") was enacted in the United States. As of September 29, 2018, the Company had not completed its accounting for the tax effects of the enactment of the Act. However, it has made a reasonable estimate of the effects on its existing deferred tax balances and the one-time transition tax. During the three and six months ended September 29, 2018, the Company recognized an immaterial adjustment to the provisional tax expense estimate recorded related to the Act. The Company will continue to refine its calculations as additional analysis is completed. In addition, the Company's estimates may also be affected as it gains a more thorough understanding of the tax law. In the third quarter of fiscal 2019, the Company will finalize its accounting for the tax effects of the Act.</w:t>
      </w:r>
    </w:p>
    <w:p>
      <w:pPr>
        <w:spacing w:after="0" w:line="19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Company has incorporated the other impacts of the Act that became effective in fiscal 2019 in the calculation of the year to date tax provision and effective tax rate, including the provisions related to Global Intangible Low Taxed Income, Foreign Derived Intangible Income, Base Erosion Anti Abuse Tax, as well as other provisions which limit tax deductibility of expenses.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is in a three year cumulative loss position in the U.S. and, accordingly, maintains a valuation allowance against certain U.S. deferred tax assets. Additionally, the Company also maintains a valuation allowance against certain other deferred tax assets primarily in Switzerland, Puerto Rico, Luxembourg and France which it has concluded are not more-likely-than-not realizable.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12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606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18,726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20,102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15,907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40,239</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51,605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52,619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51,862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52,531</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0.36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0.38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0.31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0.77</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18,726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20,102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15,907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40,239</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51,605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52,531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365</w:t>
            </w: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53,138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53,365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52,896</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0.35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0.38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0.30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0.76</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Basic earnings per share is calculated using the Company's weighted-average outstanding common stock. Diluted earnings per share is calculated using its weighted-average outstanding common stock including the dilutive effect of stock awards as determined under the treasury stock method. For the three and six months ended September 29, 2018, weighted average shares outstanding, assuming dilution, excludes the impact of 0.2 million and 0.1 million anti-dilutive shares, respectively. For the three and six months ended September 30, 2017, weighted average shares outstanding, assuming dilution, excludes the impact of 0.9 million and 0.8 million anti-dilutive shares,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6, 2018, the Company announced that its Board of Directors authorized the repurchase of up to $260 million of its outstanding common stock from time to time, based on market conditions, through March 30, 2019.</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May 2018, the Company completed a $100.0 million repurchase of its common stock pursuant to an accelerated share repurchase agreement ("ASR") entered into with Citibank N.A (“Citibank”) in February 2018. The total number of shares repurchased under the ASR was approximately 1.4 million at an average price per share upon final settlement of $72.51. In August 2018, the Company completed an additional $80.0 million repurchase of its common stock pursuant to an ASR entered into with Citibank in June 2018. The total number of shares repurchased under the ASR was approximately 0.9 million at an average price per share upon final settlement of $93.83.</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September 29, 2018, the total remaining authorization for repurchases of the Company’s common stock under its share repurchase program was $80.0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Company's revenue recognition policy is to recognize revenues from product sales, software and services in accordance with ASC Topic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Revenue is recognized when obligations under the terms of a contract with a customer are satisfied; this occurs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18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of September 29, 2018, the Company had $26.2 million of its transaction price allocated to remaining performance obligations related to executed contracts with an original duration of one year or more. The Company expects to recognize approximately 57% of this amount as revenue within the next twelve months and the remaining balance thereafter.</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 adopted Topic 606 as of April 1, 2018, using the modified retrospective method. Under this method, entities recognize the cumulative effect of applying the new standard at the date of initial application with no restatement of comparative periods presented. The cumulative effect of applying the new standard resulted in an increase to opening retained earnings of $1.5 million upon adoption of Topic 606 on April 1, 2018, primarily related to deferred revenue associated with software revenue. The new standard has been applied only to those contracts that were not completed as of March 31, 2018.</w:t>
      </w:r>
    </w:p>
    <w:p>
      <w:pPr>
        <w:spacing w:after="0" w:line="15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impact of adopting Topic 606 was not significant to individual financial statement line items in the consolidated balance sheet as of September 29, 2018 or in the consolidated statements of income and comprehensive income for the three and six months ended September 29,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majority of the Company’s performance obligations related to product sales are satisfied at a point in time. Product sales consist of the sale of its disposable blood component collection and processing sets and the related equipment. The Company’s performance obligation related to product sales is satisfied upon shipment or delivery to the customer based on the specified terms set forth in the customer contract. Shipping and handling activities performed after a customer obtains control of the good are treated as fulfillment activities and are not considered to be a separate performance obligation. Revenue is recognized over time for maintenance plans provided to customers that provide services beyond the Company’s standard warranty period. Payment terms between customers related to product sales vary by the type of customer, country of sale, and the products or services offered and could result in an unbilled receivable or deferred revenue balance depending on whether the performance obligation has been satisfied (or partially satisfied).</w:t>
      </w:r>
    </w:p>
    <w:p>
      <w:pPr>
        <w:spacing w:after="0" w:line="16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product sales to distributors, the Company recognizes revenue for both equipment and disposables upon shipment to distributors, which is when its performance obligations are complete. The Company's standard contracts with its distributors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90" w:right="239" w:bottom="1440" w:gutter="0" w:footer="0" w:header="0"/>
        </w:sectPr>
      </w:pPr>
    </w:p>
    <w:bookmarkStart w:id="10" w:name="page11"/>
    <w:bookmarkEnd w:id="10"/>
    <w:p>
      <w:pPr>
        <w:ind w:right="140"/>
        <w:spacing w:after="0" w:line="264" w:lineRule="auto"/>
        <w:rPr>
          <w:sz w:val="20"/>
          <w:szCs w:val="20"/>
          <w:color w:val="auto"/>
        </w:rPr>
      </w:pPr>
      <w:r>
        <w:rPr>
          <w:rFonts w:ascii="Arial" w:cs="Arial" w:eastAsia="Arial" w:hAnsi="Arial"/>
          <w:sz w:val="18"/>
          <w:szCs w:val="18"/>
          <w:color w:val="auto"/>
        </w:rPr>
        <w:t>state that title to the equipment passes to the distributors at point of shipment to a distributor’s location. The distributors are responsible for shipment to the end customer along with any installation, training and acceptance of the equipment by the end customer. Payments from distributors are not contingent upon resale of the product.</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also places equipment at customer sites. While the Company retains ownership of this equipment, the customer has the right to use it for a period of time provided they meet certain agreed to conditions. The Company recovers the cost of providing the equipment from the sale of its disposables.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and Other Revenues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a lesser extent, the Company enters into other types of contracts including certain software licensing arrangements to provide software solutions to support its plasma, blood collection and hospital customers. A portion of its software sales are perpetual licenses typically accompanied by significant implementation services related to software customization as well as other professional and technical services. The Company generally recognizes revenue from the sale of perpetual licenses and related customization services over time (the Company is creating or enhancing an asset that the customer controls) using an input method which requires it to make estimates of the extent of progress toward completion of the contract. When the Company provides other services, including in some instances hosting, technical support and maintenance, it recognizes these fees and charges over time (the customer simultaneously receives and consumes benefits), as performance obligations for these services are satisfied during the contract period. Certain of its software licensing arrangements are term-based licenses that include a per-collection or a usage-based fee related to the use of the license and the related technical support and hosting services. For these usage-based arrangements, the Company applies the revenue recognition exception resulting in revenue recognition occurring upon the later of actual usage or satisfaction of the related performance obligations. The payment terms for software licensing arrangements vary by customer pursuant to the terms set forth in the customer contract and result in an unbilled receivable or deferred revenue balance depending on whether the performance obligation has been satisfied (or partially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Revenues from product sales are recorded at the net sales price, which includes estimates of variable consideration related to rebates, product returns and volume discounts. These reserves are based on estimates of the amounts earned or to be claimed on the related sales. The Company's estimates take into consideration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timing of revenue recognition, billings and cash collections result in billed accounts receivable, unbilled receivables (contract assets), and customer advances and deposits (contract liabilities) on the consolidated balance sheets. The difference in timing between billing and revenue recognition primarily occurs in software licensing arrangements, resulting in contract assets and contract liabilities.</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of September 29, 2018 and April 1, 2018, the Company had contract assets of $5.2 million and $2.7 million, respectively. The change is primarily due to the delay in billings compared to the revenue recognized. Contract assets are classified as other current assets and other long-term assets on the consolidated balance sheet.</w:t>
      </w:r>
    </w:p>
    <w:p>
      <w:pPr>
        <w:spacing w:after="0" w:line="18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As of September 29, 2018 and April 1, 2018, the Company had contract liabilities of $16.4 million and $16.6 million, respectively. During the three and six months ended September 29, 2018, the Company recognized $4.1 million and $11.5 million, respectively, of revenue that was included in the above April 1, 2018 contract liability balance. Contract liabilities are classified as other current liabilities and other long-term liabilities on the consolidated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 elected not to disclose the value of transaction price allocated to unsatisfied performance obligations for contracts with an original expected length of one year or less. When applicable, the Company has also elected to use the practical expedient to not adjust the promised amount of consideration for the effects of a significant financing component if 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ind w:right="40"/>
        <w:spacing w:after="0" w:line="277" w:lineRule="auto"/>
        <w:rPr>
          <w:sz w:val="20"/>
          <w:szCs w:val="20"/>
          <w:color w:val="auto"/>
        </w:rPr>
      </w:pPr>
      <w:r>
        <w:rPr>
          <w:rFonts w:ascii="Arial" w:cs="Arial" w:eastAsia="Arial" w:hAnsi="Arial"/>
          <w:sz w:val="18"/>
          <w:szCs w:val="18"/>
          <w:color w:val="auto"/>
        </w:rPr>
        <w:t>is expected, at contract inception, that the period between when the Company transfers a promised good or service to a customer, and when the customer pays for that good or service, will be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300" w:type="dxa"/>
            <w:vAlign w:val="bottom"/>
          </w:tcPr>
          <w:p>
            <w:pPr>
              <w:spacing w:after="0"/>
              <w:rPr>
                <w:sz w:val="14"/>
                <w:szCs w:val="14"/>
                <w:color w:val="auto"/>
              </w:rPr>
            </w:pPr>
          </w:p>
        </w:tc>
        <w:tc>
          <w:tcPr>
            <w:tcW w:w="130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8"/>
                <w:szCs w:val="8"/>
                <w:b w:val="1"/>
                <w:bCs w:val="1"/>
                <w:color w:val="auto"/>
              </w:rPr>
              <w:t>(1)</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52,997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13,075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10,774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99,481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97,028</w:t>
            </w:r>
          </w:p>
        </w:tc>
      </w:tr>
      <w:tr>
        <w:trPr>
          <w:trHeight w:val="25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163,584</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160,799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8890</wp:posOffset>
            </wp:positionV>
            <wp:extent cx="2092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5"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The Company corrected the classification of inventory as of March 31, 2018. This correction did not change total inventories and did not have a financial statement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-98425</wp:posOffset>
            </wp:positionV>
            <wp:extent cx="2092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13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part of the acquisition of the whole blood business from Pall Corporation (“Pall”) in fiscal 2012, Pall agreed to manufacture and install in one of the Company's facilities a filter media manufacturing line (the “HDC line”) for which the Company agreed to pay Pall approximately $15.0 million (plus pre-approved overages). Pall also agreed to supply media to the Company for use in leukoreduction filters until such time as the Company accepted the HDC line.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In May 2018, the Company entered into a long-term supply agreement with Pall under which Pall will continue to supply media to the Company for use</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leukoreduction filters. As a condition of the supply agreement, the Company agreed to accept the HDC line and to make a final payment of $9.0 million to Pall for the HDC line.</w:t>
      </w:r>
    </w:p>
    <w:p>
      <w:pPr>
        <w:spacing w:after="0" w:line="8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As a result of the decision to continue to source media for leukoreduction filters from Pall rather than producing them internally, the Company does not expect to utilize the HDC line for future production and expect that the asset’s future cash flows will not be sufficient to recover its carrying value of $19.8 million. Accordingly, during the first quarter of fiscal 2019 the Company recorded impairment charges of $19.8 million for the HDC line.</w:t>
      </w:r>
    </w:p>
    <w:p>
      <w:pPr>
        <w:spacing w:after="0" w:line="15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first quarter of fiscal 2019, the Company also impaired $1.4 million of property, plant and equipment as a result of a review of non-core and underperforming assets and a decision to discontinue the use of or investment in certain assets. This impairment, as well as the impairment of the HDC line, were included within cost of goods sold on the consolidated statements of income and impacted the All Other reporting segment.</w:t>
      </w:r>
    </w:p>
    <w:p>
      <w:pPr>
        <w:spacing w:after="0" w:line="7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Additionally, the Company has changed the estimated useful lives of PCS2 devices as these will be replaced by the NexSys PCS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which the Company began placing during the second quarter of fiscal 2019. During the three and six months ended September 29, 2018, the Company incurred $4.4 million and $8.4 million, respectively, of accelerated depreciation expense related to this change in estimate.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CAPITALIZATION OF SOFTWARE DEVELOPMENT COSTS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For costs incurred related to the development of software to be sold, leased or otherwise marketed, the Company applies the provisions of ASC 985-20, </w:t>
      </w:r>
      <w:r>
        <w:rPr>
          <w:rFonts w:ascii="Arial" w:cs="Arial" w:eastAsia="Arial" w:hAnsi="Arial"/>
          <w:sz w:val="17"/>
          <w:szCs w:val="17"/>
          <w:i w:val="1"/>
          <w:iCs w:val="1"/>
          <w:color w:val="auto"/>
        </w:rPr>
        <w:t>Software - Costs of Software to be Sold, Leased or Marketed</w:t>
      </w:r>
      <w:r>
        <w:rPr>
          <w:rFonts w:ascii="Arial" w:cs="Arial" w:eastAsia="Arial" w:hAnsi="Arial"/>
          <w:sz w:val="17"/>
          <w:szCs w:val="17"/>
          <w:color w:val="auto"/>
        </w:rPr>
        <w:t>, which specifies that costs incurred internally in researching and developing a computer 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capitalized $1.5 million and $6.4 million of software development costs for ongoing initiatives during the six months ended September 29, 2018 and September 30, 2017, respectively. At September 29, 2018 and March 31, 2018, the Company had a total of $73.3 million and $71.8 million of capitalized software costs, respectively, of which $8.6 million and $17.7 million are related to in-process software development initiatives. During the six months ended September 29, 2018, there were $10.6 million capitalized costs placed into service. The Company did not place any capitalized costs into service during the six months ended September 30, 2017. The costs capitalized for each project are included in intangible assets in the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10. PRODUCT WARRANTIES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generally provides warranty on parts and labor for one year after the sale and installation of each device. The Company also warrants disposables products through their use or expiration. The Company estimates its potential warranty expense based on its historical warranty experience and periodically assesses the adequacy of its warranty accrual, making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29,</w:t>
            </w:r>
          </w:p>
        </w:tc>
        <w:tc>
          <w:tcPr>
            <w:tcW w:w="240" w:type="dxa"/>
            <w:vAlign w:val="bottom"/>
          </w:tcPr>
          <w:p>
            <w:pPr>
              <w:spacing w:after="0"/>
              <w:rPr>
                <w:sz w:val="13"/>
                <w:szCs w:val="13"/>
                <w:color w:val="auto"/>
              </w:rPr>
            </w:pPr>
          </w:p>
        </w:tc>
        <w:tc>
          <w:tcPr>
            <w:tcW w:w="136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796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435</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 AND LONG-TERM DEBT</w:t>
      </w:r>
    </w:p>
    <w:p>
      <w:pPr>
        <w:spacing w:after="0" w:line="13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June 15, 2018, the Company entered into a credit agreement with certain lenders which provided for a $350.0 million term loan (the "Term Loan") and a $350.0 million revolving loan (the "Revolving Credit Facility" and together with the Term Loan, the "Credit Facilities"). The Credit Facilities expire on June 15, 2023. Interest on the Credit Facilities is established using LIBOR plus 1.13% - 1.75%, depending on the Company's leverage ratio. Under the Credit Facilities, the Company is required to maintain certain leverage and interest coverage ratios specified in the credit agreement as well as other customary non-financial affirmative and negative covenants. A portion of the net proceeds of $347.8 million was used to pay down the $253.7 million remaining outstanding balance on the 2012 credit agreement, as amended in fiscal 2014. The remainder of the proceeds are available to be used to support the launch of the NexSys PCS device and for general corporate purposes. At September 29, 2018, $345.6 million was outstanding under the Term Loan with an effective interest rate of 3.5% and no amount was outstanding on the Revolving Credit Facility. The Company also has $24.5 million of uncommitted operating lines of credit to fund its global operations under which there were no outstanding borrowings as of September 29, 2018.</w:t>
      </w:r>
    </w:p>
    <w:p>
      <w:pPr>
        <w:spacing w:after="0" w:line="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has required scheduled principal payments of $8.8 million during fiscal 2019, $17.5 million during each fiscal 2020, fiscal 2021 and fiscal 2022, $214.4 million during fiscal 2023 and $70.0 million thereafter.</w:t>
      </w:r>
    </w:p>
    <w:p>
      <w:pPr>
        <w:spacing w:after="0" w:line="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was in compliance with the leverage and interest coverage ratios specified in the Credit Facilities as well as all other bank covenants as of September 29,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AND FAIR VALUE MEASUREMENTS</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manufactures, markets and sells its products globally. During the three and six months ended September 29, 2018, 36.7% and 37.3%, respectively, of its sales were generated outside the U.S., generally in foreign currencies. The Company also incurs certain manufacturing, marketing and selling costs in international markets in local currency.</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All of the Company's designated foreign currency hedge contracts as of September 29, 2018 and March 31, 2018 were cash flow hedges under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815"). The Company records the effective portion of any change in the fair value of designated foreign currency hedge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would reclassify the amount of any gain or loss on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related cash flow hedge to earnings at that time. The Company had designated foreign currency hedge contracts outstanding in the contract amount of $59.0 million as of September 29, 2018 and $86.0 million as of March 31, 2018. At September 29, 2018, gains of $2.5 million, net of tax, will be reclassified to earnings within the next twelve months. Substantially all currency cash flow hedges outstanding as of September 29, 2018 mature within twelve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$41.6 million as of September 29, 2018 and $36.3 million as of March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15, 2018, the Company entered into Credit Facilities which provided for a $350.0 million Term Loan and a $350.0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August 2018, the Company entered into two interest rate swap agreements (the "Swaps") to pay an average fixed rate of 2.80% on a total notional value of $241.9 million of debt. As a result of the interest rate swaps, 70% of the Term Loan exposed to interest rate risk from changes in LIBOR are fixed at a rate of 4.05%. The Swaps mature on June 15, 2023. The Company designated the Swaps as cash flow hedges of variable interest rate risk associated with $345.6 million of indebtedness. For fiscal 2019, $0.3 million of gains were recorded in accumulated other comprehensive loss to recognize the effective portion of the fair value of the Swaps that qualify as cash flow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The following table presents the effect of the Company's derivative instruments designated as cash flow hedges and those not designated as hedging instruments under ASC 815 in its consolidated statements of income and comprehensive income for the six months ended September 29, 2018:</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vMerge w:val="restart"/>
          </w:tcPr>
          <w:p>
            <w:pPr>
              <w:jc w:val="center"/>
              <w:ind w:right="60"/>
              <w:spacing w:after="0"/>
              <w:rPr>
                <w:sz w:val="20"/>
                <w:szCs w:val="20"/>
                <w:color w:val="auto"/>
              </w:rPr>
            </w:pPr>
            <w:r>
              <w:rPr>
                <w:rFonts w:ascii="Arial" w:cs="Arial" w:eastAsia="Arial" w:hAnsi="Arial"/>
                <w:sz w:val="14"/>
                <w:szCs w:val="14"/>
                <w:color w:val="auto"/>
                <w:w w:val="98"/>
              </w:rPr>
              <w:t>Amount of Gain</w:t>
            </w:r>
          </w:p>
        </w:tc>
        <w:tc>
          <w:tcPr>
            <w:tcW w:w="300" w:type="dxa"/>
            <w:vAlign w:val="bottom"/>
          </w:tcPr>
          <w:p>
            <w:pPr>
              <w:spacing w:after="0"/>
              <w:rPr>
                <w:sz w:val="14"/>
                <w:szCs w:val="14"/>
                <w:color w:val="auto"/>
              </w:rPr>
            </w:pPr>
          </w:p>
        </w:tc>
        <w:tc>
          <w:tcPr>
            <w:tcW w:w="1440" w:type="dxa"/>
            <w:vAlign w:val="bottom"/>
          </w:tcPr>
          <w:p>
            <w:pPr>
              <w:jc w:val="center"/>
              <w:ind w:right="159"/>
              <w:spacing w:after="0"/>
              <w:rPr>
                <w:sz w:val="20"/>
                <w:szCs w:val="20"/>
                <w:color w:val="auto"/>
              </w:rPr>
            </w:pPr>
            <w:r>
              <w:rPr>
                <w:rFonts w:ascii="Arial" w:cs="Arial" w:eastAsia="Arial" w:hAnsi="Arial"/>
                <w:sz w:val="14"/>
                <w:szCs w:val="14"/>
                <w:color w:val="auto"/>
                <w:w w:val="97"/>
              </w:rPr>
              <w:t>Amount of (Loss)</w:t>
            </w: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240" w:type="dxa"/>
            <w:vAlign w:val="bottom"/>
          </w:tcPr>
          <w:p>
            <w:pPr>
              <w:spacing w:after="0"/>
              <w:rPr>
                <w:sz w:val="14"/>
                <w:szCs w:val="14"/>
                <w:color w:val="auto"/>
              </w:rPr>
            </w:pPr>
          </w:p>
        </w:tc>
        <w:tc>
          <w:tcPr>
            <w:tcW w:w="1220" w:type="dxa"/>
            <w:vAlign w:val="bottom"/>
            <w:vMerge w:val="restart"/>
          </w:tcPr>
          <w:p>
            <w:pPr>
              <w:jc w:val="center"/>
              <w:ind w:right="80"/>
              <w:spacing w:after="0"/>
              <w:rPr>
                <w:sz w:val="20"/>
                <w:szCs w:val="20"/>
                <w:color w:val="auto"/>
              </w:rPr>
            </w:pPr>
            <w:r>
              <w:rPr>
                <w:rFonts w:ascii="Arial" w:cs="Arial" w:eastAsia="Arial" w:hAnsi="Arial"/>
                <w:sz w:val="14"/>
                <w:szCs w:val="14"/>
                <w:color w:val="auto"/>
                <w:w w:val="96"/>
              </w:rPr>
              <w:t>Amount of Gain</w:t>
            </w:r>
          </w:p>
        </w:tc>
        <w:tc>
          <w:tcPr>
            <w:tcW w:w="1920" w:type="dxa"/>
            <w:vAlign w:val="bottom"/>
            <w:vMerge w:val="restart"/>
          </w:tcPr>
          <w:p>
            <w:pPr>
              <w:jc w:val="center"/>
              <w:ind w:left="19"/>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vMerge w:val="restart"/>
          </w:tcPr>
          <w:p>
            <w:pPr>
              <w:jc w:val="center"/>
              <w:ind w:right="159"/>
              <w:spacing w:after="0" w:line="149" w:lineRule="exact"/>
              <w:rPr>
                <w:sz w:val="20"/>
                <w:szCs w:val="20"/>
                <w:color w:val="auto"/>
              </w:rPr>
            </w:pPr>
            <w:r>
              <w:rPr>
                <w:rFonts w:ascii="Arial" w:cs="Arial" w:eastAsia="Arial" w:hAnsi="Arial"/>
                <w:sz w:val="14"/>
                <w:szCs w:val="14"/>
                <w:color w:val="auto"/>
                <w:w w:val="95"/>
              </w:rPr>
              <w:t>Reclassified</w:t>
            </w:r>
          </w:p>
        </w:tc>
        <w:tc>
          <w:tcPr>
            <w:tcW w:w="2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vMerge w:val="restart"/>
          </w:tcPr>
          <w:p>
            <w:pPr>
              <w:jc w:val="center"/>
              <w:ind w:right="60"/>
              <w:spacing w:after="0" w:line="149" w:lineRule="exact"/>
              <w:rPr>
                <w:sz w:val="20"/>
                <w:szCs w:val="20"/>
                <w:color w:val="auto"/>
              </w:rPr>
            </w:pPr>
            <w:r>
              <w:rPr>
                <w:rFonts w:ascii="Arial" w:cs="Arial" w:eastAsia="Arial" w:hAnsi="Arial"/>
                <w:sz w:val="14"/>
                <w:szCs w:val="14"/>
                <w:color w:val="auto"/>
                <w:w w:val="91"/>
              </w:rPr>
              <w:t>Recognized</w:t>
            </w:r>
          </w:p>
        </w:tc>
        <w:tc>
          <w:tcPr>
            <w:tcW w:w="3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240" w:type="dxa"/>
            <w:vAlign w:val="bottom"/>
          </w:tcPr>
          <w:p>
            <w:pPr>
              <w:spacing w:after="0"/>
              <w:rPr>
                <w:sz w:val="7"/>
                <w:szCs w:val="7"/>
                <w:color w:val="auto"/>
              </w:rPr>
            </w:pPr>
          </w:p>
        </w:tc>
        <w:tc>
          <w:tcPr>
            <w:tcW w:w="1220" w:type="dxa"/>
            <w:vAlign w:val="bottom"/>
            <w:vMerge w:val="restart"/>
          </w:tcPr>
          <w:p>
            <w:pPr>
              <w:jc w:val="center"/>
              <w:ind w:right="80"/>
              <w:spacing w:after="0" w:line="149" w:lineRule="exact"/>
              <w:rPr>
                <w:sz w:val="20"/>
                <w:szCs w:val="20"/>
                <w:color w:val="auto"/>
              </w:rPr>
            </w:pPr>
            <w:r>
              <w:rPr>
                <w:rFonts w:ascii="Arial" w:cs="Arial" w:eastAsia="Arial" w:hAnsi="Arial"/>
                <w:sz w:val="14"/>
                <w:szCs w:val="14"/>
                <w:color w:val="auto"/>
                <w:w w:val="96"/>
              </w:rPr>
              <w:t>Excluded from</w:t>
            </w:r>
          </w:p>
        </w:tc>
        <w:tc>
          <w:tcPr>
            <w:tcW w:w="1920" w:type="dxa"/>
            <w:vAlign w:val="bottom"/>
            <w:vMerge w:val="restart"/>
          </w:tcPr>
          <w:p>
            <w:pPr>
              <w:jc w:val="center"/>
              <w:ind w:left="19"/>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4"/>
              </w:rPr>
              <w:t>from Accumulated Other</w:t>
            </w:r>
          </w:p>
        </w:tc>
        <w:tc>
          <w:tcPr>
            <w:tcW w:w="2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vMerge w:val="restart"/>
          </w:tcPr>
          <w:p>
            <w:pPr>
              <w:jc w:val="center"/>
              <w:ind w:right="60"/>
              <w:spacing w:after="0" w:line="149" w:lineRule="exact"/>
              <w:rPr>
                <w:sz w:val="20"/>
                <w:szCs w:val="20"/>
                <w:color w:val="auto"/>
              </w:rPr>
            </w:pPr>
            <w:r>
              <w:rPr>
                <w:rFonts w:ascii="Arial" w:cs="Arial" w:eastAsia="Arial" w:hAnsi="Arial"/>
                <w:sz w:val="14"/>
                <w:szCs w:val="14"/>
                <w:color w:val="auto"/>
                <w:w w:val="95"/>
              </w:rPr>
              <w:t>in Accumulated Other</w:t>
            </w:r>
          </w:p>
        </w:tc>
        <w:tc>
          <w:tcPr>
            <w:tcW w:w="1740" w:type="dxa"/>
            <w:vAlign w:val="bottom"/>
            <w:gridSpan w:val="2"/>
            <w:vMerge w:val="continue"/>
          </w:tcPr>
          <w:p>
            <w:pPr>
              <w:spacing w:after="0"/>
              <w:rPr>
                <w:sz w:val="7"/>
                <w:szCs w:val="7"/>
                <w:color w:val="auto"/>
              </w:rPr>
            </w:pP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240" w:type="dxa"/>
            <w:vAlign w:val="bottom"/>
          </w:tcPr>
          <w:p>
            <w:pPr>
              <w:spacing w:after="0"/>
              <w:rPr>
                <w:sz w:val="7"/>
                <w:szCs w:val="7"/>
                <w:color w:val="auto"/>
              </w:rPr>
            </w:pPr>
          </w:p>
        </w:tc>
        <w:tc>
          <w:tcPr>
            <w:tcW w:w="1220" w:type="dxa"/>
            <w:vAlign w:val="bottom"/>
            <w:vMerge w:val="restart"/>
          </w:tcPr>
          <w:p>
            <w:pPr>
              <w:jc w:val="center"/>
              <w:ind w:right="80"/>
              <w:spacing w:after="0" w:line="149" w:lineRule="exact"/>
              <w:rPr>
                <w:sz w:val="20"/>
                <w:szCs w:val="20"/>
                <w:color w:val="auto"/>
              </w:rPr>
            </w:pPr>
            <w:r>
              <w:rPr>
                <w:rFonts w:ascii="Arial" w:cs="Arial" w:eastAsia="Arial" w:hAnsi="Arial"/>
                <w:sz w:val="14"/>
                <w:szCs w:val="14"/>
                <w:color w:val="auto"/>
                <w:w w:val="93"/>
              </w:rPr>
              <w:t>Effectiveness</w:t>
            </w:r>
          </w:p>
        </w:tc>
        <w:tc>
          <w:tcPr>
            <w:tcW w:w="1920" w:type="dxa"/>
            <w:vAlign w:val="bottom"/>
            <w:vMerge w:val="restart"/>
          </w:tcPr>
          <w:p>
            <w:pPr>
              <w:jc w:val="center"/>
              <w:ind w:left="19"/>
              <w:spacing w:after="0" w:line="149" w:lineRule="exact"/>
              <w:rPr>
                <w:sz w:val="20"/>
                <w:szCs w:val="20"/>
                <w:color w:val="auto"/>
              </w:rPr>
            </w:pPr>
            <w:r>
              <w:rPr>
                <w:rFonts w:ascii="Arial" w:cs="Arial" w:eastAsia="Arial" w:hAnsi="Arial"/>
                <w:sz w:val="14"/>
                <w:szCs w:val="14"/>
                <w:color w:val="auto"/>
                <w:w w:val="92"/>
              </w:rPr>
              <w:t>Income and Comprehensive</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3"/>
              </w:rPr>
              <w:t>Comprehensive Loss into</w:t>
            </w:r>
          </w:p>
        </w:tc>
        <w:tc>
          <w:tcPr>
            <w:tcW w:w="2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vMerge w:val="restart"/>
          </w:tcPr>
          <w:p>
            <w:pPr>
              <w:jc w:val="center"/>
              <w:ind w:right="60"/>
              <w:spacing w:after="0"/>
              <w:rPr>
                <w:sz w:val="20"/>
                <w:szCs w:val="20"/>
                <w:color w:val="auto"/>
              </w:rPr>
            </w:pPr>
            <w:r>
              <w:rPr>
                <w:rFonts w:ascii="Arial" w:cs="Arial" w:eastAsia="Arial" w:hAnsi="Arial"/>
                <w:sz w:val="14"/>
                <w:szCs w:val="14"/>
                <w:color w:val="auto"/>
                <w:w w:val="91"/>
              </w:rPr>
              <w:t>Comprehensive Loss</w:t>
            </w:r>
          </w:p>
        </w:tc>
        <w:tc>
          <w:tcPr>
            <w:tcW w:w="1740" w:type="dxa"/>
            <w:vAlign w:val="bottom"/>
            <w:gridSpan w:val="2"/>
            <w:vMerge w:val="continue"/>
          </w:tcPr>
          <w:p>
            <w:pPr>
              <w:spacing w:after="0"/>
              <w:rPr>
                <w:sz w:val="7"/>
                <w:szCs w:val="7"/>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w w:val="91"/>
              </w:rPr>
              <w:t>Income</w:t>
            </w:r>
          </w:p>
        </w:tc>
        <w:tc>
          <w:tcPr>
            <w:tcW w:w="240" w:type="dxa"/>
            <w:vAlign w:val="bottom"/>
          </w:tcPr>
          <w:p>
            <w:pPr>
              <w:spacing w:after="0"/>
              <w:rPr>
                <w:sz w:val="7"/>
                <w:szCs w:val="7"/>
                <w:color w:val="auto"/>
              </w:rPr>
            </w:pPr>
          </w:p>
        </w:tc>
        <w:tc>
          <w:tcPr>
            <w:tcW w:w="1220" w:type="dxa"/>
            <w:vAlign w:val="bottom"/>
            <w:vMerge w:val="restart"/>
          </w:tcPr>
          <w:p>
            <w:pPr>
              <w:jc w:val="center"/>
              <w:ind w:right="80"/>
              <w:spacing w:after="0"/>
              <w:rPr>
                <w:sz w:val="20"/>
                <w:szCs w:val="20"/>
                <w:color w:val="auto"/>
              </w:rPr>
            </w:pPr>
            <w:r>
              <w:rPr>
                <w:rFonts w:ascii="Arial" w:cs="Arial" w:eastAsia="Arial" w:hAnsi="Arial"/>
                <w:sz w:val="14"/>
                <w:szCs w:val="14"/>
                <w:color w:val="auto"/>
                <w:w w:val="91"/>
              </w:rPr>
              <w:t>Testing</w:t>
            </w:r>
          </w:p>
        </w:tc>
        <w:tc>
          <w:tcPr>
            <w:tcW w:w="1920" w:type="dxa"/>
            <w:vAlign w:val="bottom"/>
            <w:vMerge w:val="restart"/>
          </w:tcPr>
          <w:p>
            <w:pPr>
              <w:jc w:val="center"/>
              <w:ind w:left="19"/>
              <w:spacing w:after="0"/>
              <w:rPr>
                <w:sz w:val="20"/>
                <w:szCs w:val="20"/>
                <w:color w:val="auto"/>
              </w:rPr>
            </w:pPr>
            <w:r>
              <w:rPr>
                <w:rFonts w:ascii="Arial" w:cs="Arial" w:eastAsia="Arial" w:hAnsi="Arial"/>
                <w:sz w:val="14"/>
                <w:szCs w:val="14"/>
                <w:color w:val="auto"/>
                <w:w w:val="91"/>
              </w:rPr>
              <w:t>Income</w:t>
            </w:r>
          </w:p>
        </w:tc>
        <w:tc>
          <w:tcPr>
            <w:tcW w:w="0" w:type="dxa"/>
            <w:vAlign w:val="bottom"/>
          </w:tcPr>
          <w:p>
            <w:pPr>
              <w:spacing w:after="0"/>
              <w:rPr>
                <w:sz w:val="1"/>
                <w:szCs w:val="1"/>
                <w:color w:val="auto"/>
              </w:rPr>
            </w:pPr>
          </w:p>
        </w:tc>
      </w:tr>
      <w:tr>
        <w:trPr>
          <w:trHeight w:val="101"/>
        </w:trPr>
        <w:tc>
          <w:tcPr>
            <w:tcW w:w="25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vMerge w:val="restart"/>
          </w:tcPr>
          <w:p>
            <w:pPr>
              <w:jc w:val="center"/>
              <w:ind w:right="159"/>
              <w:spacing w:after="0"/>
              <w:rPr>
                <w:sz w:val="20"/>
                <w:szCs w:val="20"/>
                <w:color w:val="auto"/>
              </w:rPr>
            </w:pPr>
            <w:r>
              <w:rPr>
                <w:rFonts w:ascii="Arial" w:cs="Arial" w:eastAsia="Arial" w:hAnsi="Arial"/>
                <w:sz w:val="14"/>
                <w:szCs w:val="14"/>
                <w:color w:val="auto"/>
                <w:w w:val="94"/>
              </w:rPr>
              <w:t>Earnings</w:t>
            </w:r>
          </w:p>
        </w:tc>
        <w:tc>
          <w:tcPr>
            <w:tcW w:w="20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Net revenues, COGS and</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2,452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(730)</w:t>
            </w:r>
          </w:p>
        </w:tc>
        <w:tc>
          <w:tcPr>
            <w:tcW w:w="2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SG&amp;A</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938</w:t>
            </w:r>
          </w:p>
        </w:tc>
        <w:tc>
          <w:tcPr>
            <w:tcW w:w="1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w w:val="94"/>
              </w:rPr>
              <w:t>Non-designated foreign currency</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rPr>
              <w:t>hedge contracts</w:t>
            </w:r>
          </w:p>
        </w:tc>
        <w:tc>
          <w:tcPr>
            <w:tcW w:w="24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1,176</w:t>
            </w:r>
          </w:p>
        </w:tc>
        <w:tc>
          <w:tcPr>
            <w:tcW w:w="192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Designated interest rate swaps,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and other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 net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September 29, 2018 or March 31, 2018. As of September 29, 2018, no deferred tax assets were recognized for designated foreign currency hedges.</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it uses inputs that include quoted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September 29, 2018,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fair value of the Company's derivative instruments as they appear in its consolidated balance sheets as of September 29, 2018 and March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2"/>
            <w:vMerge w:val="restart"/>
          </w:tcPr>
          <w:p>
            <w:pPr>
              <w:ind w:left="820"/>
              <w:spacing w:after="0"/>
              <w:rPr>
                <w:sz w:val="20"/>
                <w:szCs w:val="20"/>
                <w:color w:val="auto"/>
              </w:rPr>
            </w:pPr>
            <w:r>
              <w:rPr>
                <w:rFonts w:ascii="Arial" w:cs="Arial" w:eastAsia="Arial" w:hAnsi="Arial"/>
                <w:sz w:val="14"/>
                <w:szCs w:val="14"/>
                <w:color w:val="auto"/>
              </w:rPr>
              <w:t>Location in</w:t>
            </w:r>
          </w:p>
        </w:tc>
        <w:tc>
          <w:tcPr>
            <w:tcW w:w="260" w:type="dxa"/>
            <w:vAlign w:val="bottom"/>
          </w:tcPr>
          <w:p>
            <w:pPr>
              <w:spacing w:after="0"/>
              <w:rPr>
                <w:sz w:val="16"/>
                <w:szCs w:val="16"/>
                <w:color w:val="auto"/>
              </w:rPr>
            </w:pPr>
          </w:p>
        </w:tc>
        <w:tc>
          <w:tcPr>
            <w:tcW w:w="1840" w:type="dxa"/>
            <w:vAlign w:val="bottom"/>
            <w:gridSpan w:val="2"/>
          </w:tcPr>
          <w:p>
            <w:pPr>
              <w:ind w:left="58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6"/>
                <w:szCs w:val="16"/>
                <w:color w:val="auto"/>
              </w:rPr>
            </w:pPr>
          </w:p>
        </w:tc>
        <w:tc>
          <w:tcPr>
            <w:tcW w:w="1660" w:type="dxa"/>
            <w:vAlign w:val="bottom"/>
          </w:tcPr>
          <w:p>
            <w:pPr>
              <w:jc w:val="right"/>
              <w:ind w:right="73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8"/>
        </w:trPr>
        <w:tc>
          <w:tcPr>
            <w:tcW w:w="4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September 29, 2018</w:t>
            </w:r>
          </w:p>
        </w:tc>
        <w:tc>
          <w:tcPr>
            <w:tcW w:w="10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16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88"/>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Balance Sheet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Designated interest rate swaps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2,926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1,104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4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1,583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94" w:lineRule="exact"/>
        <w:rPr>
          <w:sz w:val="20"/>
          <w:szCs w:val="20"/>
          <w:color w:val="auto"/>
        </w:rPr>
      </w:pPr>
    </w:p>
    <w:p>
      <w:pPr>
        <w:ind w:right="60"/>
        <w:spacing w:after="0" w:line="334"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2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ind w:left="60" w:right="50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financial liabilities measured at fair value on a recurring basis consist of the following as of September 29, 2018 and March 31,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jc w:val="center"/>
              <w:ind w:left="493"/>
              <w:spacing w:after="0"/>
              <w:rPr>
                <w:sz w:val="20"/>
                <w:szCs w:val="20"/>
                <w:color w:val="auto"/>
              </w:rPr>
            </w:pPr>
            <w:r>
              <w:rPr>
                <w:rFonts w:ascii="Arial" w:cs="Arial" w:eastAsia="Arial" w:hAnsi="Arial"/>
                <w:sz w:val="14"/>
                <w:szCs w:val="14"/>
                <w:b w:val="1"/>
                <w:bCs w:val="1"/>
                <w:color w:val="auto"/>
                <w:w w:val="91"/>
              </w:rPr>
              <w:t>As of September 29, 2018</w:t>
            </w:r>
          </w:p>
        </w:tc>
        <w:tc>
          <w:tcPr>
            <w:tcW w:w="760" w:type="dxa"/>
            <w:vAlign w:val="bottom"/>
            <w:tcBorders>
              <w:bottom w:val="single" w:sz="8" w:color="auto"/>
            </w:tcBorders>
          </w:tcPr>
          <w:p>
            <w:pPr>
              <w:spacing w:after="0"/>
              <w:rPr>
                <w:sz w:val="16"/>
                <w:szCs w:val="16"/>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70,961</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70,961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213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70,961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2,926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73,887</w:t>
            </w: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217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217</w:t>
            </w: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305"/>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8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w w:val="93"/>
              </w:rPr>
              <w:t>As of March 31, 2018</w:t>
            </w:r>
          </w:p>
        </w:tc>
        <w:tc>
          <w:tcPr>
            <w:tcW w:w="760" w:type="dxa"/>
            <w:vAlign w:val="bottom"/>
            <w:tcBorders>
              <w:bottom w:val="single" w:sz="8" w:color="auto"/>
            </w:tcBorders>
          </w:tcPr>
          <w:p>
            <w:pPr>
              <w:spacing w:after="0"/>
              <w:rPr>
                <w:sz w:val="22"/>
                <w:szCs w:val="22"/>
                <w:color w:val="auto"/>
              </w:rPr>
            </w:pPr>
          </w:p>
        </w:tc>
      </w:tr>
      <w:tr>
        <w:trPr>
          <w:trHeight w:val="270"/>
        </w:trPr>
        <w:tc>
          <w:tcPr>
            <w:tcW w:w="8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75,450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75,450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780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75,450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1,104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76,554</w:t>
            </w: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1,445</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1,583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1,583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accounts receivable and accounts payable approximate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the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for all matters. Legal costs are expensed as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March 2018, the Company issued a voluntary recall of specific lots of its Acrodose Plus and PL Systems sold to its Blood Center customers in the U.S. The recall resulted from reports of low pH readings for platelets stored in the CLX HP bag and, in some instances, an accompanying yellow discoloration of the storage bag. For a period of nine weeks, the Company was unable to provide its customers with its Acrodose Plus and PL Systems. As a result of the recall, Blood Center customers may have discarded collected platelets and incurred other damages. As of September 29, 2018, the Company has recorded cumulative charges of $2.0 million associated with this recall which consists of $1.3 million of charges associated with customer returns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ind w:right="280"/>
        <w:spacing w:after="0" w:line="277" w:lineRule="auto"/>
        <w:rPr>
          <w:sz w:val="20"/>
          <w:szCs w:val="20"/>
          <w:color w:val="auto"/>
        </w:rPr>
      </w:pPr>
      <w:r>
        <w:rPr>
          <w:rFonts w:ascii="Arial" w:cs="Arial" w:eastAsia="Arial" w:hAnsi="Arial"/>
          <w:sz w:val="18"/>
          <w:szCs w:val="18"/>
          <w:color w:val="auto"/>
        </w:rPr>
        <w:t>and inventory reserves and $0.7 million of charges associated with customer claims. The Company may record incremental charges for customer claims in future periods associated with this recall.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ENTERPRISE-WIDE INFORMATION</w:t>
      </w:r>
    </w:p>
    <w:p>
      <w:pPr>
        <w:spacing w:after="0" w:line="1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operating segments are based primarily on geography. North America Plasma is a separate operating segment with dedicated segment management due the size and scale of the Plasma business unit. It aggregates components within an operating segment that have similar economic characteristics.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Japan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has aggregated the Americas Blood Center and Hospital and Asia - Pacific operating segments into the All Other reportable segment based upon their similar operational and economic characteristics, including similarity of operating margin.</w:t>
      </w:r>
    </w:p>
    <w:p>
      <w:pPr>
        <w:spacing w:after="0" w:line="7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asset impairments, accelerated depreciation and certain legal charges.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first quarter of fiscal 2019, management reorganized its operating segments such that certain immaterial components of EMEA are now reported as components of All Other. Accordingly, the prior year numbers have been updated to reflect this reclassification as well as other changes within the cost reporting structure that occurred in the first quarter of fiscal 2019. These changes did not have an impact on its ability to aggregate Americas Blood Center and Hospital with Asia - Pacific.</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business segment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12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Japan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17,343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17,164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33,947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32,396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81,339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81,867</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99,655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85,051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191,229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162,587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6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85,482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82,551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165,294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163,294</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Net revenues before foreign exchange impact</w:t>
            </w:r>
          </w:p>
        </w:tc>
        <w:tc>
          <w:tcPr>
            <w:tcW w:w="16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242,531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226,194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471,809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440,144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16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6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241,581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225,377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470,928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436,328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0" w:type="dxa"/>
            <w:vAlign w:val="bottom"/>
            <w:vMerge w:val="restart"/>
          </w:tcPr>
          <w:p>
            <w:pPr>
              <w:jc w:val="right"/>
              <w:ind w:right="17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Japan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9,366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8,656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17,633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16,123</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20,524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41,468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34,692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80,064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61,892</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69,270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63,199</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98,522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85,903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190,466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161,738</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(98,505)</w:t>
            </w: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Effect of exchange rates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turnaround costs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Deal amortization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(12,995)</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Accelerated depreciation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charges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26,076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24,258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31,369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40,869</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products are organized into three categories for purposes of evaluating their growth potential: Plasma, Blood Center and Hospital.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reviews revenue trends based on these business units.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business unit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12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124,352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241,255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211,278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1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68,243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71,710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132,726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137,275</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48,986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43,896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96,947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87,775</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241,581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225,377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470,928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436,328</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Net revenues generated in the Company's principle operating regions on a reported basis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12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152,926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295,066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269,831</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Japan</w:t>
            </w:r>
          </w:p>
        </w:tc>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17,172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16,732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34,561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31,648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39,096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76,355</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Asia</w:t>
            </w:r>
          </w:p>
        </w:tc>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30,575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28,831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59,970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54,771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57"/>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27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241,581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225,377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470,928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436,328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740" w:type="dxa"/>
            <w:vAlign w:val="bottom"/>
            <w:vMerge w:val="restart"/>
          </w:tcPr>
          <w:p>
            <w:pPr>
              <w:jc w:val="right"/>
              <w:ind w:right="17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3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Net Unrealized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7"/>
              </w:rPr>
              <w:t>Foreign Currency</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Defined Benefit Plans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March 31, 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(18,991)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w w:val="94"/>
              </w:rPr>
              <w:t>Other comprehensive income (loss) before reclassifications</w:t>
            </w:r>
            <w:r>
              <w:rPr>
                <w:rFonts w:ascii="Arial" w:cs="Arial" w:eastAsia="Arial" w:hAnsi="Arial"/>
                <w:sz w:val="25"/>
                <w:szCs w:val="25"/>
                <w:color w:val="auto"/>
                <w:w w:val="94"/>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rPr>
              <w:t>Comprehensive Loss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September 29,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Presented net of income taxes, the amounts of which are insignificant.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Annual Report on Form 10-K for the fiscal year ended March 31, 2018. The following discussion may contain forward-looking statements and should be read in conjunction with the “Cautionary Statement Regarding Forward-Looking Information” in this discussion.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commercial plasma collection, hospital-based diagnostics, blood and blood component collection and devices and software products. When used in this report, the terms “we,” “us,” “our” and “the Company” mean Haemonetics.</w:t>
      </w:r>
    </w:p>
    <w:p>
      <w:pPr>
        <w:spacing w:after="0" w:line="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products are organized into three categories for purposes of evaluating and developing their growth potential: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as well as related donor management software. "Hospital", which is comprised of Hemostasis Management and Cell Processing products, includes devices and methodologies for measuring coagulation characteristics of blood, surgical blood salvage systems, specialized blood cell processing systems, disposables and blood transfusion management software.</w:t>
      </w:r>
    </w:p>
    <w:p>
      <w:pPr>
        <w:spacing w:after="0" w:line="9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believe that Plasma and Hospital have the greatest growth potential, while Blood Center competes in challenging markets which require us to manage the business differently, including reducing costs, shrinking the scope of the current product line, and evaluating opportunities to exit unfavorable customer contracts. We are progressing toward a streamlined operating model with a management and cost structure that can bring about sustainable productivity improvement across the organization. Overall implementation of our new operating model began in fiscal 2017 and will continue into fiscal 2019 and beyond.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NexSys PCS</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and NexLynk DMS</w:t>
      </w:r>
      <w:r>
        <w:rPr>
          <w:rFonts w:ascii="Arial" w:cs="Arial" w:eastAsia="Arial" w:hAnsi="Arial"/>
          <w:sz w:val="25"/>
          <w:szCs w:val="25"/>
          <w:color w:val="auto"/>
          <w:vertAlign w:val="superscript"/>
        </w:rPr>
        <w:t>™</w:t>
      </w:r>
    </w:p>
    <w:p>
      <w:pPr>
        <w:spacing w:after="0" w:line="50"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In fiscal 2018, we received FDA 510(k) clearance for our NexSys PCS plasmapheresis system, including our embedded software that activates YES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technology, a yield-enhancing solution. We have begun production of the devices and expect to pursue further regulatory clearances for additional enhancements to the overall product offering.</w:t>
      </w:r>
    </w:p>
    <w:p>
      <w:pPr>
        <w:spacing w:after="0" w:line="10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planned roll out of this new platform includes the placement of a significant number of new devices. Such placements will require meaningful capital expenditures and new customer contracts that reflect pricing and volumes appropriate to these investments. In the second quarter of fiscal 2019, we entered into several long-term commercial contracts and began rollout with Plasma customers for the delivery of NexSys PCS devices and NexLynk DMS donor management software.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and Repayment</w:t>
      </w:r>
    </w:p>
    <w:p>
      <w:pPr>
        <w:spacing w:after="0" w:line="13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June 15, 2018, we entered into a five year credit agreement with certain lenders which provided for a $350.0 million term loan (the "Term Loan") and a $350.0 million revolving loan (the "Revolving Credit Facility" and together with the Term Loan, the "Credit Facilities"). A portion of the net proceeds of $347.8 million was used to pay down the $253.7 million remaining outstanding balance on our 2012 credit agreement, as amended in fiscal 2014. The remainder of the proceeds are available to be used to support the launch of our NexSys PCS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device and for general corporate purposes. On August 21, 2018, we entered into two interest rate swap agreements to effectively convert $241.9 million of borrowings under our Credit Facilities from a variable rate to a fixed rate of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6, 2018, we announced that our Board of Directors authorized the repurchase of up to $260 million of our outstanding common stock through March 30, 2019. In May 2018, we completed a $100.0 million repurchase of our common stock pursuant to an accelerated share repurchase agreement ("ASR") entered into with Citibank N.A (“Citibank”) in February 2018. The total number of shares repurchased under the ASR was approximately 1.4 million at an average price per share upon final settlement of $72.51. In August 2018, we completed an additional $80.0 million repurchase of our common stock pursuant to an ASR entered into with Citibank in June 2018. The total number of shares repurchased under the ASR was approximately 0.9 million at an average price per share upon final settlement of $93.83.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September 29, 2018, the total remaining authorization for repurchases of the Company’s common stock under our share repurchase program was $80.0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Supply Agreement</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part of our acquisition of the whole blood business from Pall Corporation (“Pall”) in fiscal 2012, Pall agreed to manufacture and install in one of our facilities a filter media manufacturing line (the “HDC line”) for which we agreed to pay Pall approximately $15.0 million (plus pre-approved overages). Pall also agreed to supply media to us for use in leukoreduction filters until such time as we accepted the HDC line.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May 2018, we entered into a long-term supply agreement with Pall under which Pall will continue to supply media to us for use in leukoreduction filters.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condition of the supply agreement, we agreed to accept the HDC line and to make a final payment of $9.0 million to Pall for the HDC line.</w:t>
      </w:r>
    </w:p>
    <w:p>
      <w:pPr>
        <w:spacing w:after="0" w:line="116"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As a result of the decision to continue to source media for our leukoreduction filters from Pall rather than producing them internally, we do not expect to utilize the HDC line for future production and expect that the asset’s future cash flows will not be sufficient to recover its carrying value of $19.8 million. Accordingly, during the first quarter of fiscal 2019 we recorded impairment charges of $19.8 million for the HDC 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March 2018, we issued a voluntary recall of specific lots of our Acrodose Plus and PL Systems sold to our Blood Center customers in the U.S. The recall resulted from reports of low pH readings for platelets stored in the CLX HP bag and, in some instances, an accompanying yellow discoloration of the storage bag. For a period of nine weeks, we were unable to provide our customers with our Acrodose Plus and PL Systems. As a result of the recall, our Blood Center customers may have discarded collected platelets and incurred other damages. As of September 29, 2018, we have recorded cumulative charges of $2.0 million associated with this recall which consists of $1.3 million of charges associated with customer returns and inventory reserves and $0.7 million of charges associated with customer claims. We may record incremental charges for customer claims in future periods associated with this recall.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Initiative</w:t>
      </w:r>
    </w:p>
    <w:p>
      <w:pPr>
        <w:spacing w:after="0" w:line="1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fiscal 2018, we launched a Complexity Reduction Initiative (the "2018 Program"), a company-wide restructuring program designed to improve operational performance and reduce cost, freeing up resources to invest in accelerated growth. This program includes a reduction of headcount and operating costs which will enable a more streamlined organizational structure. We expect to incur aggregate charges between $50 million and $60 million associated with these actions, of which we expect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We expect savings from this program of approximately $80 million on an annualized basis once the program is completed. During the three and six months ended September 29, 2018, we incurred $1.9 million and $5.3 million, respectively, of restructuring and turnaround costs under this program.</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1220" w:type="dxa"/>
            <w:vAlign w:val="bottom"/>
            <w:tcBorders>
              <w:bottom w:val="single" w:sz="8" w:color="auto"/>
            </w:tcBorders>
          </w:tcPr>
          <w:p>
            <w:pPr>
              <w:spacing w:after="0"/>
              <w:rPr>
                <w:sz w:val="16"/>
                <w:szCs w:val="16"/>
                <w:color w:val="auto"/>
              </w:rPr>
            </w:pPr>
          </w:p>
        </w:tc>
      </w:tr>
      <w:tr>
        <w:trPr>
          <w:trHeight w:val="152"/>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w w:val="93"/>
              </w:rPr>
              <w:t>September 29,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 Increase/</w:t>
            </w:r>
          </w:p>
        </w:tc>
        <w:tc>
          <w:tcPr>
            <w:tcW w:w="16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22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241,581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225,377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470,928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436,328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111,907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104,562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195,151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196,227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85,831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80,304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163,782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155,358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26,076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24,258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40,869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(23.2)%</w:t>
            </w: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10.8%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9.4%</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divestiture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i w:val="1"/>
                <w:iCs w:val="1"/>
                <w:color w:val="auto"/>
              </w:rPr>
              <w:t>—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(3,039)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117.5 %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82.0 %</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Income before provision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23,037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22,861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46,113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(42.9)%</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4,311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56.3 %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10,445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77.8 %</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pre-tax income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18,726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20,102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15,907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40,239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(60.5)%</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0.36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(59.7)%</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0.35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(60.5)%</w:t>
            </w:r>
          </w:p>
        </w:tc>
      </w:tr>
      <w:tr>
        <w:trPr>
          <w:trHeight w:val="27"/>
        </w:trPr>
        <w:tc>
          <w:tcPr>
            <w:tcW w:w="3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revenues increased 7.2% and 7.9% for the three and six months ended September 29, 2018, as compared with the same periods of fiscal 2018. Without the effect of foreign exchange, net revenues increased 7.2% for both the three and six months ended September 29, 2018, as compared with the same periods of fiscal 2018. Revenue increases in Plasma and Hospital were partially offset by declines in Blood Center during the three and six months ended September 29, 2018.</w:t>
      </w:r>
    </w:p>
    <w:p>
      <w:pPr>
        <w:spacing w:after="0" w:line="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Operating income increased for the three months ended September 29, 2018, as compared with the same period of fiscal 2018, primarily due to increased revenue volumes, favorable price, product mix and currency and savings as a result of the prior year restructuring initiative. This increase was partially offset by increased freight costs driven by revenue volume growth and rising fuel costs and carrier fees, as well as increased investments within our Plasma and Hospital business units, accelerated depreciation and increased variable compensation. Operating income decreased for the six months ended September 29, 2018, as compared with the same period of fiscal 2018, primarily due to asset impairments associated with the HDC line, accelerated depreciation of PCS2 devices and increased freight costs, partially offset by increased revenue volumes, the impact of favorable currency and savings as a result of the prior year restructuring initiative.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1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6"/>
              </w:rPr>
              <w:t>Three Months Ended</w:t>
            </w: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18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3"/>
                <w:szCs w:val="13"/>
                <w:color w:val="auto"/>
              </w:rPr>
            </w:pPr>
          </w:p>
        </w:tc>
        <w:tc>
          <w:tcPr>
            <w:tcW w:w="14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00" w:type="dxa"/>
            <w:vAlign w:val="bottom"/>
            <w:vMerge w:val="restart"/>
          </w:tcPr>
          <w:p>
            <w:pPr>
              <w:spacing w:after="0"/>
              <w:rPr>
                <w:sz w:val="13"/>
                <w:szCs w:val="13"/>
                <w:color w:val="auto"/>
              </w:rPr>
            </w:pPr>
          </w:p>
        </w:tc>
        <w:tc>
          <w:tcPr>
            <w:tcW w:w="14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20" w:type="dxa"/>
            <w:vAlign w:val="bottom"/>
          </w:tcPr>
          <w:p>
            <w:pPr>
              <w:jc w:val="right"/>
              <w:ind w:right="5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152,926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138,779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88,655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86,598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241,581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225,377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100" w:firstLine="8"/>
        <w:spacing w:after="0" w:line="273" w:lineRule="auto"/>
        <w:tabs>
          <w:tab w:leader="none" w:pos="127" w:val="left"/>
        </w:tabs>
        <w:numPr>
          <w:ilvl w:val="0"/>
          <w:numId w:val="7"/>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-228600</wp:posOffset>
            </wp:positionV>
            <wp:extent cx="1783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0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3"/>
                <w:szCs w:val="13"/>
                <w:color w:val="auto"/>
              </w:rPr>
            </w:pPr>
          </w:p>
        </w:tc>
        <w:tc>
          <w:tcPr>
            <w:tcW w:w="14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20" w:type="dxa"/>
            <w:vAlign w:val="bottom"/>
          </w:tcPr>
          <w:p>
            <w:pPr>
              <w:jc w:val="right"/>
              <w:ind w:right="5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295,066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269,831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175,862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166,497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470,928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436,328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100" w:firstLine="8"/>
        <w:spacing w:after="0" w:line="273" w:lineRule="auto"/>
        <w:tabs>
          <w:tab w:leader="none" w:pos="127" w:val="left"/>
        </w:tabs>
        <w:numPr>
          <w:ilvl w:val="0"/>
          <w:numId w:val="8"/>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-228600</wp:posOffset>
            </wp:positionV>
            <wp:extent cx="1800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principal operations are in the U.S., Europe, Japan and other parts of Asia. Our products are marketed in approximately 90 countries around the world through a combination of our direct sales force, independent distributors and agents. Our revenue generated outside the U.S. was 36.7% and 37.3%, of total net revenues for the three and six months ended September 29, 2018, respectively, as compared with 38.4% and 38.2% for the three and six months ended September 30, 2017, respectively.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80" w:type="dxa"/>
            <w:vAlign w:val="bottom"/>
          </w:tcPr>
          <w:p>
            <w:pPr>
              <w:spacing w:after="0"/>
              <w:rPr>
                <w:sz w:val="13"/>
                <w:szCs w:val="13"/>
                <w:color w:val="auto"/>
              </w:rPr>
            </w:pPr>
          </w:p>
        </w:tc>
        <w:tc>
          <w:tcPr>
            <w:tcW w:w="118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3"/>
                <w:szCs w:val="13"/>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6"/>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109,771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68,243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71,710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48,986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43,896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5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241,581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225,377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8890</wp:posOffset>
            </wp:positionV>
            <wp:extent cx="17837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715" cy="26035"/>
                    </a:xfrm>
                    <a:prstGeom prst="rect">
                      <a:avLst/>
                    </a:prstGeom>
                    <a:noFill/>
                  </pic:spPr>
                </pic:pic>
              </a:graphicData>
            </a:graphic>
          </wp:anchor>
        </w:drawing>
      </w:r>
    </w:p>
    <w:p>
      <w:pPr>
        <w:spacing w:after="0" w:line="42" w:lineRule="exact"/>
        <w:rPr>
          <w:sz w:val="20"/>
          <w:szCs w:val="20"/>
          <w:color w:val="auto"/>
        </w:rPr>
      </w:pPr>
    </w:p>
    <w:p>
      <w:pPr>
        <w:ind w:right="100" w:firstLine="8"/>
        <w:spacing w:after="0" w:line="310" w:lineRule="auto"/>
        <w:tabs>
          <w:tab w:leader="none" w:pos="127"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 xml:space="preserve">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 Non-GAAP Measures."</w:t>
      </w:r>
      <w:r>
        <w:rPr>
          <w:rFonts w:ascii="Arial" w:cs="Arial" w:eastAsia="Arial" w:hAnsi="Arial"/>
          <w:sz w:val="13"/>
          <w:szCs w:val="13"/>
          <w:color w:val="auto"/>
          <w:vertAlign w:val="superscript"/>
        </w:rPr>
        <w:t>(</w:t>
      </w:r>
    </w:p>
    <w:p>
      <w:pPr>
        <w:spacing w:after="0" w:line="209" w:lineRule="exact"/>
        <w:rPr>
          <w:rFonts w:ascii="Arial" w:cs="Arial" w:eastAsia="Arial" w:hAnsi="Arial"/>
          <w:sz w:val="14"/>
          <w:szCs w:val="14"/>
          <w:color w:val="auto"/>
          <w:vertAlign w:val="superscript"/>
        </w:rPr>
      </w:pPr>
    </w:p>
    <w:p>
      <w:pPr>
        <w:ind w:right="140"/>
        <w:spacing w:after="0" w:line="276" w:lineRule="auto"/>
        <w:rPr>
          <w:rFonts w:ascii="Arial" w:cs="Arial" w:eastAsia="Arial" w:hAnsi="Arial"/>
          <w:sz w:val="14"/>
          <w:szCs w:val="14"/>
          <w:color w:val="auto"/>
          <w:vertAlign w:val="superscript"/>
        </w:rPr>
      </w:pPr>
      <w:r>
        <w:rPr>
          <w:rFonts w:ascii="Arial" w:cs="Arial" w:eastAsia="Arial" w:hAnsi="Arial"/>
          <w:sz w:val="8"/>
          <w:szCs w:val="8"/>
          <w:color w:val="auto"/>
        </w:rPr>
        <w:t xml:space="preserve">2) </w:t>
      </w:r>
      <w:r>
        <w:rPr>
          <w:rFonts w:ascii="Arial" w:cs="Arial" w:eastAsia="Arial" w:hAnsi="Arial"/>
          <w:sz w:val="13"/>
          <w:szCs w:val="13"/>
          <w:color w:val="auto"/>
        </w:rPr>
        <w:t>Hospital revenue includes both Cell Processing and Hemostasis Management revenue. Hemostasis Management revenue was $22.3 million and $18.1 million for the three months ended</w:t>
      </w:r>
      <w:r>
        <w:rPr>
          <w:rFonts w:ascii="Arial" w:cs="Arial" w:eastAsia="Arial" w:hAnsi="Arial"/>
          <w:sz w:val="8"/>
          <w:szCs w:val="8"/>
          <w:color w:val="auto"/>
        </w:rPr>
        <w:t xml:space="preserve"> </w:t>
      </w:r>
      <w:r>
        <w:rPr>
          <w:rFonts w:ascii="Arial" w:cs="Arial" w:eastAsia="Arial" w:hAnsi="Arial"/>
          <w:sz w:val="13"/>
          <w:szCs w:val="13"/>
          <w:color w:val="auto"/>
        </w:rPr>
        <w:t>September 29, 2018 and September 30, 2017, respectively. Hemostasis Management revenue increased 22.7% in the second quarter of fiscal 2019 as compared with the same period of fiscal 2018. Without the effect of foreign exchange, Hemostasis Management revenue increased 22.3% in the second quarter of fiscal 2019 as compared with the same period of fiscal 2018.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18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3"/>
                <w:szCs w:val="13"/>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6"/>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241,255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211,278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132,726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137,275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96,947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87,775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50"/>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470,928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436,328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8890</wp:posOffset>
            </wp:positionV>
            <wp:extent cx="1783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5" w:lineRule="exact"/>
        <w:rPr>
          <w:sz w:val="20"/>
          <w:szCs w:val="20"/>
          <w:color w:val="auto"/>
        </w:rPr>
      </w:pPr>
    </w:p>
    <w:p>
      <w:pPr>
        <w:ind w:right="100" w:firstLine="8"/>
        <w:spacing w:after="0" w:line="250" w:lineRule="auto"/>
        <w:tabs>
          <w:tab w:leader="none" w:pos="127" w:val="left"/>
        </w:tabs>
        <w:numPr>
          <w:ilvl w:val="0"/>
          <w:numId w:val="10"/>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ind w:right="20" w:firstLine="8"/>
        <w:spacing w:after="0" w:line="276" w:lineRule="auto"/>
        <w:tabs>
          <w:tab w:leader="none" w:pos="141" w:val="left"/>
        </w:tabs>
        <w:numPr>
          <w:ilvl w:val="0"/>
          <w:numId w:val="10"/>
        </w:numPr>
        <w:rPr>
          <w:rFonts w:ascii="Arial" w:cs="Arial" w:eastAsia="Arial" w:hAnsi="Arial"/>
          <w:sz w:val="8"/>
          <w:szCs w:val="8"/>
          <w:color w:val="auto"/>
        </w:rPr>
      </w:pPr>
      <w:r>
        <w:rPr>
          <w:rFonts w:ascii="Arial" w:cs="Arial" w:eastAsia="Arial" w:hAnsi="Arial"/>
          <w:sz w:val="13"/>
          <w:szCs w:val="13"/>
          <w:color w:val="auto"/>
        </w:rPr>
        <w:t>Hospital revenue includes both Cell Processing and Hemostasis Management revenue. Hemostasis Management revenue was $44.0 million and $35.7 million for the six months ended September 29, 2018 and September 30, 2017, respectively. Hemostasis Management revenue increased 23.4% in the first six months of fiscal 2019 as compared with the same period of fiscal 2018. Without the effect of foreign exchange, Hemostasis Management revenue increased 21.4% in the first six months of fiscal 2019 as compared with the same period of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-537210</wp:posOffset>
            </wp:positionV>
            <wp:extent cx="1783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13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Plasma revenue increased 13.3% and 14.2% during the three and six months ended September 29, 2018, respectively, as compared with the same periods of fiscal 2018. Without the effect of foreign exchange, Plasma revenue increased 13.3% and 13.6% for the three and six months ended September 29, 2018, respectively, as compared with the same periods of fiscal 2018. This revenue growth was primarily driven by an increase in sales of plasma disposables during the three and six months ended September 29, 2018 due to continued strong performance in the U.S. and an increase in sales of liquid solutions.</w:t>
      </w:r>
    </w:p>
    <w:p>
      <w:pPr>
        <w:spacing w:after="0" w:line="6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continuing delays in the expansion of our liquid solutions production capacity that require us or our customers to continue to obtain alternative sources of supply. We expect purchases from these alternate sources to continue until we can complete the expansion and produce solutions at the necessary level.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Blood Center revenue decreased 4.8% and 3.3% during the three and six months ended September 29, 2018, respectively, as compared with the same periods of fiscal 2018. Without the effect of foreign exchange, Blood Center revenue decreased 4.7% and 3.9% for the three and six months ended September 29, 2018, respectively, as compared with the same periods of fiscal 2018. This decrease was primarily driven by declines in whole blood revenue, primarily in Europe. The strategic exit of certain contracts and markets also contributed to this decline.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Hospital</w:t>
      </w:r>
    </w:p>
    <w:p>
      <w:pPr>
        <w:spacing w:after="0" w:line="13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Hospital revenue increased 11.6% and 10.4% during the three and six months ended September 29, 2018, respectively as compared with the same periods of fiscal 2018. Without the effect of foreign exchange, Hospital revenue increased 11.3% and 8.8% during the three and six months ended September 29, 2018, respectively, as compared with the same periods of fiscal 2018. The increase during both the three and six months ended September 29, 2018 was primarily attributable to the growth of disposables associated with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diagnostic systems, principally in the U.S. and China. The TEG 6s hemostasis analyzer system continues to contribute to the overall growth of Hemostasis Management in the U.S and Europe. The TEG 6s system and TEG Manager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software are approved for the same set of indications as the TEG 5000 system in Europe, Australia and Japan. In the U.S., the TEG 6s system is approved for cardiovascular surgery and cardiology. We are pursuing a broader set of indications for the TEG 6s system in the U.S., including trauma. The increase during the three and six months ended September 29, 2018 was partially offset by the continued decline in OrthoPAT revenue due to better blood management which has reduced orthopedic blood loss. Effective March 31, 2019, our OrthoPAT products will be discontinued and we will offer the Cell Saver Elite + as an alternative autotransfusion system for orthopedics or other medium to low blood loss procedures.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Three Months Ended</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29, 2018</w:t>
            </w:r>
          </w:p>
        </w:tc>
        <w:tc>
          <w:tcPr>
            <w:tcW w:w="12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30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140" w:type="dxa"/>
            <w:vAlign w:val="bottom"/>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(Decrease)</w:t>
            </w:r>
          </w:p>
        </w:tc>
        <w:tc>
          <w:tcPr>
            <w:tcW w:w="14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30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111,907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104,562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196,227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Gross profit increased 7.0% and decreased 0.5% for the three and six months ended September 29, 2018, respectively, as compared with the same periods of fiscal 2018. Without the effect of foreign exchange, gross profit increased 5.8% and decreased 4.3% for the three and six months ended September 29, 2018, respectively, as compared with the same periods of fiscal 2018. Gross profit margin decreased 10 and 360 basis points for the three and six months ended September 29, 2018, respectively, as compared with the same period of fiscal 2018. The decrease in gross profit margin during the three and six months ended September 29, 2018 was primarily due to increased depreciation expense as a result of the accelerated depreciation of PCS2 devices. Asset impairments associated with the HDC line also contributed to the decline in gross profit margin during the six months ended September 29, 2018. The decline during both the three and six months ended September 29, 2018 was partially offset by favorable revenue volume, price and mix, savings as a result of the prior year restructuring initiative, the impact of foreign exchange in the current year period and manufacturing challenges incurred during the prior year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Six Months Ended</w:t>
            </w:r>
          </w:p>
        </w:tc>
        <w:tc>
          <w:tcPr>
            <w:tcW w:w="1280" w:type="dxa"/>
            <w:vAlign w:val="bottom"/>
            <w:tcBorders>
              <w:bottom w:val="single" w:sz="8" w:color="auto"/>
            </w:tcBorders>
          </w:tcPr>
          <w:p>
            <w:pPr>
              <w:spacing w:after="0"/>
              <w:rPr>
                <w:sz w:val="16"/>
                <w:szCs w:val="16"/>
                <w:color w:val="auto"/>
              </w:rPr>
            </w:pPr>
          </w:p>
        </w:tc>
      </w:tr>
      <w:tr>
        <w:trPr>
          <w:trHeight w:val="152"/>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14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8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30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6"/>
                <w:szCs w:val="16"/>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30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17,989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77,248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72,783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145,793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139,644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85,831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80,304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163,782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155,358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Research and development expenses increased 14.1% and 14.5% for the three and six months ended September 29, 2018, respectively, as compared with the same periods of fiscal 2018. Without the effect of foreign exchange, research and development expenses increased 15.2% and 15.1% for the three and six months ended September 29, 2018, respectively, as compared with the same periods of fiscal 2018. The increase during the three and six months ended September 29, 2018 was primarily driven by our continued investment of resources in clinical programs, primarily in our Hospital business unit, as well as continued investment in our Plasma business unit.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Selling, general and administrative expenses increased 6.1% and 4.4% for the three and six months ended September 29, 2018, respectively, as compared with the same periods of fiscal 2018. Without the effect of foreign exchange, selling, general, and administrative expenses increased 6.2% and 3.8% for the three and six months ended September 29, 2018, respectively, as compared with the same periods of fiscal 2018. The increase for the three and six months ended September 29, 2018 was primarily the result of higher freight costs driven by revenue volume growth and rising fuel costs and carrier fees, increased investments within our Plasma and Hospital business units and an increase in variable compensation and stock-based compensation expense. This increase was partially offset by lower restructuring and turnaround costs and annualized savings as a result of the prior year restructuring initiative.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13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Interest expense from our Term Loan borrowings, which constitutes the majority of expense, increased 76% and 52% during the three and six months ended September 29, 2018, respectively, as compared with the prior year periods due to an increase in the Term Loan balance as well as an increase in the effective interest rate. The effective interest rate on total debt outstanding as of September 29, 2018 was 3.5%.</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Our reported tax rate for the three and six months ended September 29, 2018 was 18.7% and 39.6%, respectively. The rate for the three months ended September 29, 2018 includes a discrete stock compensation windfall benefit of $2.6 million. The rate for the six months ended September 29, 2018 is higher than the U.S. statutory tax rate primarily as a result of asset impairment expense of $21.2 million recorded in pretax income for which no tax benefit was recognized as a result of the valuation allowance maintained against our deferred tax assets in the impacted jurisdiction. Refer to Note 8, </w:t>
      </w:r>
      <w:r>
        <w:rPr>
          <w:rFonts w:ascii="Arial" w:cs="Arial" w:eastAsia="Arial" w:hAnsi="Arial"/>
          <w:sz w:val="18"/>
          <w:szCs w:val="18"/>
          <w:i w:val="1"/>
          <w:iCs w:val="1"/>
          <w:color w:val="auto"/>
        </w:rPr>
        <w:t>Property, Plant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Equipment </w:t>
      </w:r>
      <w:r>
        <w:rPr>
          <w:rFonts w:ascii="Arial" w:cs="Arial" w:eastAsia="Arial" w:hAnsi="Arial"/>
          <w:sz w:val="18"/>
          <w:szCs w:val="18"/>
          <w:color w:val="auto"/>
        </w:rPr>
        <w:t>for additional details</w:t>
      </w:r>
      <w:r>
        <w:rPr>
          <w:rFonts w:ascii="Arial" w:cs="Arial" w:eastAsia="Arial" w:hAnsi="Arial"/>
          <w:sz w:val="18"/>
          <w:szCs w:val="18"/>
          <w:i w:val="1"/>
          <w:iCs w:val="1"/>
          <w:color w:val="auto"/>
        </w:rPr>
        <w:t xml:space="preserve">. </w:t>
      </w:r>
      <w:r>
        <w:rPr>
          <w:rFonts w:ascii="Arial" w:cs="Arial" w:eastAsia="Arial" w:hAnsi="Arial"/>
          <w:sz w:val="18"/>
          <w:szCs w:val="18"/>
          <w:color w:val="auto"/>
        </w:rPr>
        <w:t>Our effective tax rate was also negatively impacted by certain provisions of the recently enacted U.S. tax reform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below.</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three months ended September 29, 2018 and September 30, 2017, we reported an income tax provision of $4.3 million and $2.8 million, respectively. During the six months ended September 29, 2018 and September 30, 2017, we reported an income tax provision of $10.4 million and $5.9 million, respectively. The change in our tax provision for both the three and six months ended September 29, 2018 was primarily due to an increase in the tax expense of our U.S. entity, which was impacted by the U.S. tax reform provisions discussed in more detail below, partially offset by a discrete stock compensation windfall benefit.</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fiscal 2018, the Tax Cuts and Jobs Act (the "Act") was enacted in the United States. As of September 29, 2018, we had not completed our accounting for the tax effects of the enactment of the Act. However, we have made a reasonable estimate of the effects on our existing deferred tax balances and the one-time transition tax. During the three and six months ended September 29, 2018, we recognized an immaterial adjustment to the provisional tax expense estimate recorded related to the Act. We will continue to refine our calculations as additional analysis is completed. In addition, our estimates may also be affected as we gain a more thorough understanding of the tax law. In the third quarter of fiscal 2019, we will finalize our accounting for the tax effects of the Act.</w:t>
      </w:r>
    </w:p>
    <w:p>
      <w:pPr>
        <w:spacing w:after="0" w:line="19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have incorporated the other impacts of the Act that became effective in fiscal 2019 in our calculation of the year to date tax provision and effective tax rate including the provisions related to Global Intangible Low Taxed Income, Foreign Derived Intangible Income, Base Erosion Anti Abuse Tax, as well as other provisions which limit tax deductibility of expenses.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in a three year cumulative loss position in the U.S. and, accordingly, maintain a valuation allowance against certain U.S. deferred tax assets. Additionally, we also maintain a valuation allowance against certain other deferred tax assets primarily in Switzerland, Puerto Rico, Luxembourg and France which we have concluded are not more-likely-than-not realizable.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29,</w:t>
            </w:r>
          </w:p>
        </w:tc>
        <w:tc>
          <w:tcPr>
            <w:tcW w:w="30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180,169</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363,638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136,474</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r>
      <w:tr>
        <w:trPr>
          <w:trHeight w:val="270"/>
        </w:trPr>
        <w:tc>
          <w:tcPr>
            <w:tcW w:w="81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Net debt</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(143,889)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(73,513)</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Inventory turnover</w:t>
            </w:r>
          </w:p>
        </w:tc>
        <w:tc>
          <w:tcPr>
            <w:tcW w:w="2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3.5</w:t>
            </w:r>
          </w:p>
        </w:tc>
      </w:tr>
      <w:tr>
        <w:trPr>
          <w:trHeight w:val="341"/>
        </w:trPr>
        <w:tc>
          <w:tcPr>
            <w:tcW w:w="810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Net debt position is the sum of cash and cash equivalents less total debt.</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fiscal 2018, we launched the 2018 Program, a restructuring initiative designed to reposition our organization and improve our cost structure. During the three and six months ended September 29, 2018, we incurred $1.9 million and $5.3 million, respectively, of restructuring and turnaround costs under this program.</w:t>
      </w:r>
    </w:p>
    <w:p>
      <w:pPr>
        <w:spacing w:after="0" w:line="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primary sources of liquidity are cash and cash equivalents, internally generated cash flow from operations, our Revolving Credit Facility and proceeds from employee stock option exercises. We believe these sources are sufficient to fund our cash requirements over at least the next twelve months. Our expected cash outlays relate primarily to investments, capital expenditures, including production of the NexSys PCS and Plasma plant capacity expansions, share repurchases, cash payments under the loan agreement, restructuring and turnaround initiatives and acquisitions.</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September 29, 2018, we had $199.8 million in cash and cash equivalents, the majority of which is held in the U.S. or in countries from which it can be repatriated to the U.S. On June 15, 2018, we entered into a credit agreement with certain lenders which provided for a $350.0 million Term Loan and a $350.0 million Revolving Credit Facility. The Credit Facilities expire on June 15, 2023. Interest on the Credit Facilities is established using LIBOR plus 1.13% -</w:t>
      </w:r>
    </w:p>
    <w:p>
      <w:pPr>
        <w:ind w:right="80"/>
        <w:spacing w:after="0" w:line="290" w:lineRule="auto"/>
        <w:rPr>
          <w:sz w:val="20"/>
          <w:szCs w:val="20"/>
          <w:color w:val="auto"/>
        </w:rPr>
      </w:pPr>
      <w:r>
        <w:rPr>
          <w:rFonts w:ascii="Arial" w:cs="Arial" w:eastAsia="Arial" w:hAnsi="Arial"/>
          <w:sz w:val="16"/>
          <w:szCs w:val="16"/>
          <w:color w:val="auto"/>
        </w:rPr>
        <w:t>1.75%, depending on our leverage ratio. Under the Credit Facilities, we are required to maintain certain leverage and interest coverage ratios specified in the credit agreement as well as other customary non-financial affirmative and negative covenants. A portion of the net proceeds of $347.8 million was used to pay down the $253.7 remaining outstanding balance on our 2012 credit agreement, as amended in fiscal 2014. The remainder of the proceeds are available to be used to support the launch of our NexSys PCS device and for general corporate purposes. At September 29, 2018, $345.6 million was outstanding under the Term Loan with an effective interest rate of 3.5% and no amount was outstanding on the Revolving Credit Facility. We also have $24.5 million of uncommitted operating lines of credit to fund our global operations under which there were no outstanding borrowings as of September 29, 2018.</w:t>
      </w:r>
    </w:p>
    <w:p>
      <w:pPr>
        <w:spacing w:after="0" w:line="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scheduled principal payments of $8.8 million required during the remainder of fiscal 2019. We were in compliance with the leverage and interest coverage ratios specified in the credit agreement as well as all other bank covenants as of September 29,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7"/>
              </w:rPr>
              <w:t>Six Months Ended</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52"/>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29,</w:t>
            </w:r>
          </w:p>
        </w:tc>
        <w:tc>
          <w:tcPr>
            <w:tcW w:w="180" w:type="dxa"/>
            <w:vAlign w:val="bottom"/>
          </w:tcPr>
          <w:p>
            <w:pPr>
              <w:spacing w:after="0"/>
              <w:rPr>
                <w:sz w:val="13"/>
                <w:szCs w:val="13"/>
                <w:color w:val="auto"/>
              </w:rPr>
            </w:pPr>
          </w:p>
        </w:tc>
        <w:tc>
          <w:tcPr>
            <w:tcW w:w="142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80,479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97,328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(16,849)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(56,567)</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18,584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34,880</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19,594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64,058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 w:right="200"/>
        <w:spacing w:after="0" w:line="27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balance sheet is affected by spot exchange rates used to translate local currency amounts into U.S. Dollars. In accordance with U.S. GAAP, we have removed the effect of foreign currency</w:t>
      </w:r>
      <w:r>
        <w:rPr>
          <w:rFonts w:ascii="Arial" w:cs="Arial" w:eastAsia="Arial" w:hAnsi="Arial"/>
          <w:sz w:val="9"/>
          <w:szCs w:val="9"/>
          <w:color w:val="auto"/>
        </w:rPr>
        <w:t xml:space="preserve"> </w:t>
      </w:r>
      <w:r>
        <w:rPr>
          <w:rFonts w:ascii="Arial" w:cs="Arial" w:eastAsia="Arial" w:hAnsi="Arial"/>
          <w:sz w:val="14"/>
          <w:szCs w:val="14"/>
          <w:color w:val="auto"/>
        </w:rPr>
        <w:t>throughout our cash flow statement, except for its effect on our cash and cash equivalents.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provided by operating activities decreased by $16.8 million during the six months ended September 29, 2018, as compared with the six months ended September 30, 2017. The decrease in cash provided by operating activities was primarily due to a working capital outflow driven largely by an increase accounts receivable and an increase in inventory build to support the launch of the NexSys PCS devices. Decreases in accrued payroll due to the payout of annual bonuses and severance payments associated with the 2018 Program also contributed to the decline. These decreases were partially offset by an increase in accounts payable.</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cash used in investing activities increased by $56.6 million during the six months ended September 29, 2018, as compared with the six months ended September 30, 2017. The increase in cash used in investing activities was primarily the result of an increase in capital expenditures in the current year period and the proceeds received related to the divestiture of our SEBRA product line in the prior period.</w:t>
      </w:r>
    </w:p>
    <w:p>
      <w:pPr>
        <w:spacing w:after="0" w:line="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financing activities increased by $34.9 million during the six months ended September 29, 2018, as compared with the six months ended September 30, 2017, primarily due to the $350.0 million Term Loan entered into in June 2018, as discussed above. This increase was partially offset by the repayment of the $253.7 remaining outstanding balance on our 2012 credit agreement, as amended in fiscal 2014, as well as $80.0 million of share repurchases during the six months ended September 29, 2018.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3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the three and six months ended September 29, 2018, approximately 36.7% and 37.3%, respectively,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17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February 2016, the Financial Accounting Standards Board (FASB) issued ASC Update No. 2016-02, Leases (Topic 842). ASC Update No. 2016-02 is intended to increase the transparency and comparability among organizations by recognizing lease asset and lease liabilities on the balance sheet, including those previously classified as operating leases under current U.S. GAAP and disclosing key information about leasing arrangements. ASC Update No. 2016-02 is effective for fiscal years beginning after December 15, 2018, including interim periods within those fiscal years, and is applicable to us in fiscal 2020. Earlier adoption is permitted. In July 2018, the FASB issued an update to the leasing guidance to allow an additional transition option which would allow companies to adopt the standard as of the beginning of the year of adoption as opposed to the earliest comparative period presented. While we are still in the process of determining the effect that the new standard will have on our financial position and results of operations, we expect to recognize additional assets and corresponding liabilities on our consolidated balance sheets, when we adopt the new standard. Additionally, we are in the process of implementing a new lease administration and lease accounting system, and updating our controls and procedures for maintaining and accounting for our lease portfolio under the new standard. As a result, we will adopt the new standard on March 31, 2019.</w:t>
      </w:r>
    </w:p>
    <w:p>
      <w:pPr>
        <w:spacing w:after="0" w:line="7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March 2017, the FASB issued ASC Update No. 2017-07, Compensation - Retirement Benefits (Topic 715). The guidance revises the presentation of net periodic pension cost and net periodic post-retirement benefit cost. The guidance is effective for annual periods beginning after December 15, 2018, and is applicable to us in fiscal 2020. Early adoption is permitted for all entities as of the beginning of an annual reporting period. The impact of adopting ASC Update No. 2017-07 is not expected to have a material effect on our consolidated financial statements.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June 2018, the FASB issued ASC Update No. 2018-07, Compensation - Stock Compensation (Topic 718). The new guidance will align the accounting for non-employee share-based payments with the existing employee share-based transactions guidance. The guidance is effective for annual periods beginning after December 15, 2018, and is applicable to us in fiscal 2020. Early adoption is permitted for all entities, including interim periods, but no earlier than the entity's adoption of ASC 606. The impact of adopting ASC Update No. 2018-07 on our financial position and results of operations is being assessed by management.</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August 2018, the FASB issued ASC Update No. 2018-15, Intangibles, Goodwill and Other - Internal-Use Software (Subtopic 350-40). The new guidance will align the accounting implementation costs incurred in a cloud computing arrangement that is a service contract with the accounting for internal-use software licenses. The guidance is effective for annual periods beginning after December 15, 2019 and is applicable to us in fiscal 2021. Early adoption is permitted for all entities, including interim periods. The impact of adopting ASC Update No. 2018-15 is not expected to have a material effect on our consolidated financial statements.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August 2018, the Securities and Exchange Commission adopted amendments to certain disclosure requirements in Securities Act Release No. 33-10532, Disclosure Update and Simplification. This amendment will require companies to disclose a reconciliation of changes in stockholders’ equity to prior periods. A presentation showing the activity for the year to date and quarter to date periods along with comparable prior year detail will be shown in the disclosure. The requirement is effective beginning November 2018, but excludes the current period filing. As such, the amendment becomes effective for us in the third quarter of fiscal 2019.</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3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Statements contained in this report, as well as oral statements we make that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w:t>
      </w:r>
    </w:p>
    <w:p>
      <w:pPr>
        <w:spacing w:after="0" w:line="7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These forward-looking statements, like any forward-looking statements, involve risks and uncertainties that could cause actual results to differ materially from those projected or anticipated. Factors that may influence or contribute to the inaccuracy of the forward-looking statements or cause actual results to differ materially from expected or desired results may include, without limitation, demand for whole blood and blood components, changes in executive management, changes in operations, restructuring and turnaround plans, the impact of the Tax Cuts and Jobs Act, the share repurchase program, asset revaluations to reflect current business conditions, asset sales, technological advances in the medical field and standards for transfusion medicine and our ability to successfully offer products that incorporate such advances and standards, product quality, market acceptance, regulatory uncertainties, including in the receipt or timing of regulatory approvals,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other risks detailed under Part II, Item 1A. Risk Factors included in this report, if any, as well as those described in our Annual Report on Form 10-K for the fiscal year ended March 31, 2018. The foregoing list should not be construed as exhaustive.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3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$4.9 million increase in the fair value of the forward contracts; whereas a 10% weakening of the U.S. Dollar would result in a $5.0 million decrease of the fair value of the forward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exposure to changes in interest rates is associated with borrowings under our Credit Facilities, all of which is variable rate debt. Total outstanding debt under our Credit Facilities as of September 29, 2018 was $345.6 million with an interest rate of 3.5% based on prevailing LIBOR rates. An increase of 100 basis points in LIBOR rates would result in additional annual interest expense of $3.5 million. On August 21, 2018, we entered into two interest rate swap agreements to effectively convert $241.9 million of borrowings under our Credit Facilities from a variable rate to a fixed rate. The interest rate swaps qualify for hedge accounting treatment as cash flow hedges.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364"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an evaluation, as of September 29, 2018,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our disclosure controls and procedures are effective as of September 29,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implemented certain controls related to the adoption of FASB ASC Topic 606, effective April 1, 2018. These controls were designed and implemented to ensure the completeness and accuracy over financial reporting. With the exception of the controls implemented for FASB ASC Topic 606, there were no changes in our internal control over financial reporting during the three and six months ended September 29,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36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Consolidated Financial Statements in this Quarterly Report on Form 10-Q,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are no material changes from the Risk Factors previously disclosed in our Annual Report on Form 10-K for the fiscal year ended March 31,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Company’s share repurchases during the second quarter of fiscal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1680" w:type="dxa"/>
            <w:vAlign w:val="bottom"/>
            <w:vMerge w:val="continue"/>
          </w:tcPr>
          <w:p>
            <w:pPr>
              <w:spacing w:after="0"/>
              <w:rPr>
                <w:sz w:val="12"/>
                <w:szCs w:val="12"/>
                <w:color w:val="auto"/>
              </w:rPr>
            </w:pPr>
          </w:p>
        </w:tc>
        <w:tc>
          <w:tcPr>
            <w:tcW w:w="16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0" w:type="dxa"/>
            <w:vAlign w:val="bottom"/>
          </w:tcPr>
          <w:p>
            <w:pPr>
              <w:jc w:val="center"/>
              <w:ind w:right="4"/>
              <w:spacing w:after="0"/>
              <w:rPr>
                <w:sz w:val="20"/>
                <w:szCs w:val="20"/>
                <w:color w:val="auto"/>
              </w:rPr>
            </w:pPr>
            <w:r>
              <w:rPr>
                <w:rFonts w:ascii="Arial" w:cs="Arial" w:eastAsia="Arial" w:hAnsi="Arial"/>
                <w:sz w:val="14"/>
                <w:szCs w:val="14"/>
                <w:b w:val="1"/>
                <w:bCs w:val="1"/>
                <w:color w:val="auto"/>
                <w:w w:val="92"/>
              </w:rPr>
              <w:t>Announced Program</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Under the Program</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2018 - July 28, 2018</w:t>
            </w:r>
          </w:p>
        </w:tc>
        <w:tc>
          <w:tcPr>
            <w:tcW w:w="1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July 29, 2018 - August 25, 2018</w:t>
            </w:r>
          </w:p>
        </w:tc>
        <w:tc>
          <w:tcPr>
            <w:tcW w:w="1500" w:type="dxa"/>
            <w:vAlign w:val="bottom"/>
          </w:tcPr>
          <w:p>
            <w:pPr>
              <w:jc w:val="right"/>
              <w:ind w:right="41"/>
              <w:spacing w:after="0"/>
              <w:rPr>
                <w:sz w:val="20"/>
                <w:szCs w:val="20"/>
                <w:color w:val="auto"/>
              </w:rPr>
            </w:pPr>
            <w:r>
              <w:rPr>
                <w:rFonts w:ascii="Arial" w:cs="Arial" w:eastAsia="Arial" w:hAnsi="Arial"/>
                <w:sz w:val="18"/>
                <w:szCs w:val="18"/>
                <w:color w:val="auto"/>
              </w:rPr>
              <w:t>181,881</w:t>
            </w:r>
          </w:p>
        </w:tc>
        <w:tc>
          <w:tcPr>
            <w:tcW w:w="1680" w:type="dxa"/>
            <w:vAlign w:val="bottom"/>
          </w:tcPr>
          <w:p>
            <w:pPr>
              <w:jc w:val="right"/>
              <w:ind w:right="711"/>
              <w:spacing w:after="0"/>
              <w:rPr>
                <w:sz w:val="20"/>
                <w:szCs w:val="20"/>
                <w:color w:val="auto"/>
              </w:rPr>
            </w:pPr>
            <w:r>
              <w:rPr>
                <w:rFonts w:ascii="Arial" w:cs="Arial" w:eastAsia="Arial" w:hAnsi="Arial"/>
                <w:sz w:val="13"/>
                <w:szCs w:val="13"/>
                <w:color w:val="auto"/>
              </w:rPr>
              <w:t>(2)</w:t>
            </w:r>
          </w:p>
        </w:tc>
        <w:tc>
          <w:tcPr>
            <w:tcW w:w="1600" w:type="dxa"/>
            <w:vAlign w:val="bottom"/>
          </w:tcPr>
          <w:p>
            <w:pPr>
              <w:jc w:val="right"/>
              <w:ind w:right="124"/>
              <w:spacing w:after="0"/>
              <w:rPr>
                <w:sz w:val="20"/>
                <w:szCs w:val="20"/>
                <w:color w:val="auto"/>
              </w:rPr>
            </w:pPr>
            <w:r>
              <w:rPr>
                <w:rFonts w:ascii="Arial" w:cs="Arial" w:eastAsia="Arial" w:hAnsi="Arial"/>
                <w:sz w:val="18"/>
                <w:szCs w:val="18"/>
                <w:color w:val="auto"/>
              </w:rPr>
              <w:t>181,881</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26, 2018 - September 29, 2018</w:t>
            </w:r>
          </w:p>
        </w:tc>
        <w:tc>
          <w:tcPr>
            <w:tcW w:w="15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181,881</w:t>
            </w:r>
          </w:p>
        </w:tc>
        <w:tc>
          <w:tcPr>
            <w:tcW w:w="16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$80,000,000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 w:right="80" w:hanging="5"/>
        <w:spacing w:after="0" w:line="289" w:lineRule="auto"/>
        <w:tabs>
          <w:tab w:leader="none" w:pos="181" w:val="left"/>
        </w:tabs>
        <w:numPr>
          <w:ilvl w:val="0"/>
          <w:numId w:val="11"/>
        </w:numPr>
        <w:rPr>
          <w:rFonts w:ascii="Arial" w:cs="Arial" w:eastAsia="Arial" w:hAnsi="Arial"/>
          <w:sz w:val="8"/>
          <w:szCs w:val="8"/>
          <w:color w:val="auto"/>
        </w:rPr>
      </w:pPr>
      <w:r>
        <w:rPr>
          <w:rFonts w:ascii="Arial" w:cs="Arial" w:eastAsia="Arial" w:hAnsi="Arial"/>
          <w:sz w:val="12"/>
          <w:szCs w:val="12"/>
          <w:color w:val="auto"/>
        </w:rPr>
        <w:t>On February 6, 2018, the Company announced that the Board of Directors had authorized the repurchase of up to $260 million of the Company’s common stock from time to time, based on market conditions, through March 30, 2019. The Company’s share repurchase program does not obligate it to acquire any specific number of shares. Under the program, shares may be repurchased in accordance with applicable laws both on the open market, including under trading plans established pursuant to Rule 10b5-1 under the Exchange Act, and in privately negotiated transactions.</w:t>
      </w:r>
    </w:p>
    <w:p>
      <w:pPr>
        <w:spacing w:after="0" w:line="1" w:lineRule="exact"/>
        <w:rPr>
          <w:rFonts w:ascii="Arial" w:cs="Arial" w:eastAsia="Arial" w:hAnsi="Arial"/>
          <w:sz w:val="8"/>
          <w:szCs w:val="8"/>
          <w:color w:val="auto"/>
        </w:rPr>
      </w:pPr>
    </w:p>
    <w:p>
      <w:pPr>
        <w:ind w:left="40" w:right="100" w:hanging="5"/>
        <w:spacing w:after="0" w:line="238" w:lineRule="auto"/>
        <w:tabs>
          <w:tab w:leader="none" w:pos="181" w:val="left"/>
        </w:tabs>
        <w:numPr>
          <w:ilvl w:val="0"/>
          <w:numId w:val="11"/>
        </w:numPr>
        <w:rPr>
          <w:rFonts w:ascii="Arial" w:cs="Arial" w:eastAsia="Arial" w:hAnsi="Arial"/>
          <w:sz w:val="9"/>
          <w:szCs w:val="9"/>
          <w:color w:val="auto"/>
        </w:rPr>
      </w:pPr>
      <w:r>
        <w:rPr>
          <w:rFonts w:ascii="Arial" w:cs="Arial" w:eastAsia="Arial" w:hAnsi="Arial"/>
          <w:sz w:val="14"/>
          <w:szCs w:val="14"/>
          <w:color w:val="auto"/>
        </w:rPr>
        <w:t>In June 2018, the Company entered into an accelerated share repurchase agreement ("ASR") to repurchase approximately $80.0 million of the Company's common stock. In August 2018, the ASR was completed and an additional 0.2 million shares were delivered upon settlement. The total number of shares repurchased under this ASR was approximately 0.9 million at an average price per share upon final settlement of $93.83.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November 6, 2018, Haemonetics Corporation (the “Company”) entered into indemnification agreements (the “Indemnification Agreements”) with each of our current directors and each of the following officers: Christopher Simon, William P. Burke, Michelle L. Basil, Said Bolorforosh, Ph.D., Jacqueline D. Scanlan, Josep Llorens and Dan Goldstein.</w:t>
      </w:r>
    </w:p>
    <w:p>
      <w:pPr>
        <w:spacing w:after="0" w:line="10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Indemnification Agreements supplement existing indemnification provisions of the Company’s Restated Articles of Organization and By-Laws and, in general, provide for indemnification to the maximum extent permitted by Massachusetts law, subject to the exceptions, terms and conditions provided in the Indemnification Agreements. The Indemnification Agreements also provide that the Company will advance to an indemnified person, if requested by the indemnified person, expenses incurred in connection with any proceeding arising out of such indemnified person’s service to the Company, subject to reimbursement if he or she is not entitled to indemnification under the Indemnification Agreement, and that the Company shall purchase and maintain insurance against any liability asserted against, and incurred by, the indemnified person arising out of their service to the Company, if such insurance is available on commercially reasonably terms.</w:t>
      </w:r>
    </w:p>
    <w:p>
      <w:pPr>
        <w:spacing w:after="0" w:line="10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foregoing description of the Indemnification Agreement does not purport to be complete and is qualified in its entirety by reference to the form of Indemnification Agreement, a copy of which is filed herewith as Exhibit 10.1 and incorporated herein by reference.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7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175"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35">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Form of Indemnification Agreement.</w:t>
      </w:r>
    </w:p>
    <w:p>
      <w:pPr>
        <w:spacing w:after="0" w:line="360" w:lineRule="exact"/>
        <w:rPr>
          <w:sz w:val="20"/>
          <w:szCs w:val="20"/>
          <w:color w:val="auto"/>
        </w:rPr>
      </w:pPr>
    </w:p>
    <w:p>
      <w:pPr>
        <w:ind w:left="840" w:right="560" w:hanging="796"/>
        <w:spacing w:after="0" w:line="277" w:lineRule="auto"/>
        <w:tabs>
          <w:tab w:leader="none" w:pos="820" w:val="left"/>
        </w:tabs>
        <w:rPr>
          <w:rFonts w:ascii="Arial" w:cs="Arial" w:eastAsia="Arial" w:hAnsi="Arial"/>
          <w:sz w:val="18"/>
          <w:szCs w:val="18"/>
          <w:color w:val="0000FF"/>
        </w:rPr>
      </w:pPr>
      <w:hyperlink w:anchor="page51">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Section 302 of Sarbanes-Oxley Act of 2002, of Christopher Simon, President and Chief Executive Officer of the Company.</w:t>
      </w:r>
    </w:p>
    <w:p>
      <w:pPr>
        <w:spacing w:after="0" w:line="279" w:lineRule="exact"/>
        <w:rPr>
          <w:sz w:val="20"/>
          <w:szCs w:val="20"/>
          <w:color w:val="auto"/>
        </w:rPr>
      </w:pPr>
    </w:p>
    <w:p>
      <w:pPr>
        <w:ind w:left="840" w:right="340" w:hanging="796"/>
        <w:spacing w:after="0" w:line="277" w:lineRule="auto"/>
        <w:tabs>
          <w:tab w:leader="none" w:pos="820" w:val="left"/>
        </w:tabs>
        <w:rPr>
          <w:rFonts w:ascii="Arial" w:cs="Arial" w:eastAsia="Arial" w:hAnsi="Arial"/>
          <w:sz w:val="18"/>
          <w:szCs w:val="18"/>
          <w:color w:val="0000FF"/>
        </w:rPr>
      </w:pPr>
      <w:hyperlink w:anchor="page52">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Section 302 of Sarbanes-Oxley of 2002, of William Burke, Executive Vice President, Chief Financial Officer of the Company.</w:t>
      </w:r>
    </w:p>
    <w:p>
      <w:pPr>
        <w:spacing w:after="0" w:line="279" w:lineRule="exact"/>
        <w:rPr>
          <w:sz w:val="20"/>
          <w:szCs w:val="20"/>
          <w:color w:val="auto"/>
        </w:rPr>
      </w:pPr>
    </w:p>
    <w:p>
      <w:pPr>
        <w:ind w:left="840" w:right="640" w:hanging="796"/>
        <w:spacing w:after="0" w:line="277" w:lineRule="auto"/>
        <w:tabs>
          <w:tab w:leader="none" w:pos="820" w:val="left"/>
        </w:tabs>
        <w:rPr>
          <w:rFonts w:ascii="Arial" w:cs="Arial" w:eastAsia="Arial" w:hAnsi="Arial"/>
          <w:sz w:val="18"/>
          <w:szCs w:val="18"/>
          <w:color w:val="0000FF"/>
        </w:rPr>
      </w:pPr>
      <w:hyperlink w:anchor="page53">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United States Code Section 1350, as adopted Pursuant to Section 906 of the Sarbanes-Oxley Act of 2002, of Christopher Simon, President and Chief Executive Officer of the Company.</w:t>
      </w:r>
    </w:p>
    <w:p>
      <w:pPr>
        <w:spacing w:after="0" w:line="279" w:lineRule="exact"/>
        <w:rPr>
          <w:sz w:val="20"/>
          <w:szCs w:val="20"/>
          <w:color w:val="auto"/>
        </w:rPr>
      </w:pPr>
    </w:p>
    <w:p>
      <w:pPr>
        <w:ind w:left="840" w:hanging="796"/>
        <w:spacing w:after="0" w:line="277" w:lineRule="auto"/>
        <w:tabs>
          <w:tab w:leader="none" w:pos="820" w:val="left"/>
        </w:tabs>
        <w:rPr>
          <w:rFonts w:ascii="Arial" w:cs="Arial" w:eastAsia="Arial" w:hAnsi="Arial"/>
          <w:sz w:val="18"/>
          <w:szCs w:val="18"/>
          <w:color w:val="0000FF"/>
        </w:rPr>
      </w:pPr>
      <w:hyperlink w:anchor="page54">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United States Code Section 1350, as adopted Pursuant to Section 906 of the Sarbanes-Oxley Act of 2002, of William Burke, Executive Vice President, Chief Financial Officer of the Company.</w:t>
      </w:r>
    </w:p>
    <w:p>
      <w:pPr>
        <w:spacing w:after="0" w:line="306" w:lineRule="exact"/>
        <w:rPr>
          <w:sz w:val="20"/>
          <w:szCs w:val="20"/>
          <w:color w:val="auto"/>
        </w:rPr>
      </w:pPr>
    </w:p>
    <w:p>
      <w:pPr>
        <w:ind w:left="840" w:right="240" w:hanging="799"/>
        <w:spacing w:after="0" w:line="291" w:lineRule="auto"/>
        <w:tabs>
          <w:tab w:leader="none" w:pos="8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Haemonetics Corporation on Form 10-Q for the quarter ended September 29, 2018, formatted in Extensible Business Reporting Language (XBRL); (i) Consolidated Statements of Income and Comprehensive Income, (ii) Consolidated Balance Sheets,</w:t>
      </w:r>
    </w:p>
    <w:p>
      <w:pPr>
        <w:ind w:left="1140" w:hanging="308"/>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Consolidated Statements of Cash Flows, and (iv) Notes to Consolidated Financial Statements.</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w:t>
      </w:r>
    </w:p>
    <w:p>
      <w:pPr>
        <w:spacing w:after="0" w:line="171" w:lineRule="exact"/>
        <w:rPr>
          <w:rFonts w:ascii="Arial" w:cs="Arial" w:eastAsia="Arial" w:hAnsi="Arial"/>
          <w:sz w:val="18"/>
          <w:szCs w:val="18"/>
          <w:color w:val="auto"/>
        </w:rPr>
      </w:pPr>
    </w:p>
    <w:p>
      <w:pPr>
        <w:ind w:left="720" w:hanging="685"/>
        <w:spacing w:after="0" w:line="26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364" w:right="359" w:bottom="1440" w:gutter="0" w:footer="0" w:header="0"/>
        </w:sectPr>
      </w:pPr>
    </w:p>
    <w:bookmarkStart w:id="33" w:name="page34"/>
    <w:bookmarkEnd w:id="3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11/6/2018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Christopher Simon,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11/6/2018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William Burke, Executive Vice President, Chief Financial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364"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Indemnification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________, by and between Haemonetics Corporation, 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Massachusetts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____________ (“</w:t>
      </w:r>
      <w:r>
        <w:rPr>
          <w:rFonts w:ascii="Arial" w:cs="Arial" w:eastAsia="Arial" w:hAnsi="Arial"/>
          <w:sz w:val="22"/>
          <w:szCs w:val="22"/>
          <w:u w:val="single" w:color="auto"/>
          <w:color w:val="auto"/>
        </w:rPr>
        <w:t>Indemnitee</w:t>
      </w:r>
      <w:r>
        <w:rPr>
          <w:rFonts w:ascii="Arial" w:cs="Arial" w:eastAsia="Arial" w:hAnsi="Arial"/>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WHEREAS, the Company desires to attract and retain the services of highly qualified individuals, such as Indemnitee, to serve the Company;</w:t>
      </w:r>
    </w:p>
    <w:p>
      <w:pPr>
        <w:spacing w:after="0" w:line="175" w:lineRule="exact"/>
        <w:rPr>
          <w:sz w:val="20"/>
          <w:szCs w:val="20"/>
          <w:color w:val="auto"/>
        </w:rPr>
      </w:pPr>
    </w:p>
    <w:p>
      <w:pPr>
        <w:ind w:right="80" w:firstLine="648"/>
        <w:spacing w:after="0" w:line="343" w:lineRule="auto"/>
        <w:rPr>
          <w:sz w:val="20"/>
          <w:szCs w:val="20"/>
          <w:color w:val="auto"/>
        </w:rPr>
      </w:pPr>
      <w:r>
        <w:rPr>
          <w:rFonts w:ascii="Arial" w:cs="Arial" w:eastAsia="Arial" w:hAnsi="Arial"/>
          <w:sz w:val="19"/>
          <w:szCs w:val="19"/>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05"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WHEREAS, the Articles of Organization (the “</w:t>
      </w:r>
      <w:r>
        <w:rPr>
          <w:rFonts w:ascii="Arial" w:cs="Arial" w:eastAsia="Arial" w:hAnsi="Arial"/>
          <w:sz w:val="22"/>
          <w:szCs w:val="22"/>
          <w:u w:val="single" w:color="auto"/>
          <w:color w:val="auto"/>
        </w:rPr>
        <w:t>Charter</w:t>
      </w:r>
      <w:r>
        <w:rPr>
          <w:rFonts w:ascii="Arial" w:cs="Arial" w:eastAsia="Arial" w:hAnsi="Arial"/>
          <w:sz w:val="22"/>
          <w:szCs w:val="22"/>
          <w:color w:val="auto"/>
        </w:rPr>
        <w:t>”) and the Bylaws (the “</w:t>
      </w:r>
      <w:r>
        <w:rPr>
          <w:rFonts w:ascii="Arial" w:cs="Arial" w:eastAsia="Arial" w:hAnsi="Arial"/>
          <w:sz w:val="22"/>
          <w:szCs w:val="22"/>
          <w:u w:val="single" w:color="auto"/>
          <w:color w:val="auto"/>
        </w:rPr>
        <w:t>Bylaws</w:t>
      </w:r>
      <w:r>
        <w:rPr>
          <w:rFonts w:ascii="Arial" w:cs="Arial" w:eastAsia="Arial" w:hAnsi="Arial"/>
          <w:sz w:val="22"/>
          <w:szCs w:val="22"/>
          <w:color w:val="auto"/>
        </w:rPr>
        <w:t>”) of the Company require indemnification of the officers and directors of the Company, and Indemnitee may also be entitled to indemnification pursuant to the Massachusetts Business Corporation Act (the “</w:t>
      </w:r>
      <w:r>
        <w:rPr>
          <w:rFonts w:ascii="Arial" w:cs="Arial" w:eastAsia="Arial" w:hAnsi="Arial"/>
          <w:sz w:val="22"/>
          <w:szCs w:val="22"/>
          <w:u w:val="single" w:color="auto"/>
          <w:color w:val="auto"/>
        </w:rPr>
        <w:t>MBCA</w:t>
      </w:r>
      <w:r>
        <w:rPr>
          <w:rFonts w:ascii="Arial" w:cs="Arial" w:eastAsia="Arial" w:hAnsi="Arial"/>
          <w:sz w:val="22"/>
          <w:szCs w:val="22"/>
          <w:color w:val="auto"/>
        </w:rPr>
        <w:t>”);</w:t>
      </w:r>
    </w:p>
    <w:p>
      <w:pPr>
        <w:spacing w:after="0" w:line="186"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WHEREAS, the Charter, the Bylaws and the MBCA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86" w:lineRule="exact"/>
        <w:rPr>
          <w:sz w:val="20"/>
          <w:szCs w:val="20"/>
          <w:color w:val="auto"/>
        </w:rPr>
      </w:pPr>
    </w:p>
    <w:p>
      <w:pPr>
        <w:jc w:val="both"/>
        <w:ind w:right="120" w:firstLine="648"/>
        <w:spacing w:after="0" w:line="343" w:lineRule="auto"/>
        <w:rPr>
          <w:sz w:val="20"/>
          <w:szCs w:val="20"/>
          <w:color w:val="auto"/>
        </w:rPr>
      </w:pPr>
      <w:r>
        <w:rPr>
          <w:rFonts w:ascii="Arial" w:cs="Arial" w:eastAsia="Arial" w:hAnsi="Arial"/>
          <w:sz w:val="19"/>
          <w:szCs w:val="19"/>
          <w:color w:val="auto"/>
        </w:rPr>
        <w:t>WHEREAS,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has determined that the increased difficulty in attracting and retaining highly qualified persons such as Indemnitee is detrimental to the best interests of the Company’s shareholders;</w:t>
      </w:r>
    </w:p>
    <w:p>
      <w:pPr>
        <w:spacing w:after="0" w:line="105"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WHEREAS, it is reasonable, prudent and necessary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and</w:t>
      </w:r>
    </w:p>
    <w:p>
      <w:pPr>
        <w:spacing w:after="0" w:line="188"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w:t>
      </w:r>
    </w:p>
    <w:p>
      <w:pPr>
        <w:spacing w:after="0" w:line="18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NOW, THEREFORE, in consideration of the premises and the covenants contained herein, the Company and Indemnitee do hereby covenant and agree as follows:</w:t>
      </w:r>
    </w:p>
    <w:p>
      <w:pPr>
        <w:spacing w:after="0" w:line="169" w:lineRule="exact"/>
        <w:rPr>
          <w:sz w:val="20"/>
          <w:szCs w:val="20"/>
          <w:color w:val="auto"/>
        </w:rPr>
      </w:pPr>
    </w:p>
    <w:p>
      <w:pPr>
        <w:ind w:right="560" w:firstLine="648"/>
        <w:spacing w:after="0" w:line="25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Services to the Company</w:t>
      </w:r>
      <w:r>
        <w:rPr>
          <w:rFonts w:ascii="Arial" w:cs="Arial" w:eastAsia="Arial" w:hAnsi="Arial"/>
          <w:sz w:val="22"/>
          <w:szCs w:val="22"/>
          <w:color w:val="auto"/>
        </w:rPr>
        <w:t>. Indemnitee agrees to serve as a [</w:t>
      </w:r>
      <w:r>
        <w:rPr>
          <w:rFonts w:ascii="Arial" w:cs="Arial" w:eastAsia="Arial" w:hAnsi="Arial"/>
          <w:sz w:val="22"/>
          <w:szCs w:val="22"/>
          <w:b w:val="1"/>
          <w:bCs w:val="1"/>
          <w:color w:val="auto"/>
        </w:rPr>
        <w:t>director/officer</w:t>
      </w:r>
      <w:r>
        <w:rPr>
          <w:rFonts w:ascii="Arial" w:cs="Arial" w:eastAsia="Arial" w:hAnsi="Arial"/>
          <w:sz w:val="22"/>
          <w:szCs w:val="22"/>
          <w:color w:val="auto"/>
        </w:rPr>
        <w:t>] of the Company. Indemnitee may at any time and for any reason resign from such position (subject to any other contractual obligation or any obligation imposed by law), in which</w:t>
      </w:r>
    </w:p>
    <w:p>
      <w:pPr>
        <w:sectPr>
          <w:pgSz w:w="11900" w:h="16838" w:orient="portrait"/>
          <w:cols w:equalWidth="0" w:num="1">
            <w:col w:w="11420"/>
          </w:cols>
          <w:pgMar w:left="240" w:top="369" w:right="23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auto"/>
        </w:rPr>
        <w:t>event the Company shall have no obligation under this Agreement to continue Indemnitee in his or her position as a</w:t>
      </w:r>
    </w:p>
    <w:p>
      <w:pPr>
        <w:spacing w:after="0" w:line="22" w:lineRule="exact"/>
        <w:rPr>
          <w:sz w:val="20"/>
          <w:szCs w:val="20"/>
          <w:color w:val="auto"/>
        </w:rPr>
      </w:pPr>
    </w:p>
    <w:p>
      <w:pPr>
        <w:ind w:right="200"/>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director/officer</w:t>
      </w:r>
      <w:r>
        <w:rPr>
          <w:rFonts w:ascii="Arial" w:cs="Arial" w:eastAsia="Arial" w:hAnsi="Arial"/>
          <w:sz w:val="22"/>
          <w:szCs w:val="22"/>
          <w:color w:val="auto"/>
        </w:rPr>
        <w:t>]. This Agreement shall not be deemed an employment contract between the Company (or any of its subsidiaries or any Enterprise) and Indemnitee.</w:t>
      </w:r>
    </w:p>
    <w:p>
      <w:pPr>
        <w:spacing w:after="0" w:line="193"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this Agreement:</w:t>
      </w:r>
    </w:p>
    <w:p>
      <w:pPr>
        <w:spacing w:after="0" w:line="220" w:lineRule="exact"/>
        <w:rPr>
          <w:sz w:val="20"/>
          <w:szCs w:val="20"/>
          <w:color w:val="auto"/>
        </w:rPr>
      </w:pPr>
    </w:p>
    <w:p>
      <w:pPr>
        <w:ind w:left="1720" w:hanging="415"/>
        <w:spacing w:after="0"/>
        <w:tabs>
          <w:tab w:leader="none" w:pos="17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mean the earliest to occur of the following events:</w:t>
      </w:r>
    </w:p>
    <w:p>
      <w:pPr>
        <w:spacing w:after="0" w:line="233" w:lineRule="exact"/>
        <w:rPr>
          <w:rFonts w:ascii="Arial" w:cs="Arial" w:eastAsia="Arial" w:hAnsi="Arial"/>
          <w:sz w:val="22"/>
          <w:szCs w:val="22"/>
          <w:color w:val="auto"/>
        </w:rPr>
      </w:pPr>
    </w:p>
    <w:p>
      <w:pPr>
        <w:ind w:right="60" w:firstLine="1953"/>
        <w:spacing w:after="0" w:line="266" w:lineRule="auto"/>
        <w:tabs>
          <w:tab w:leader="none" w:pos="2329" w:val="left"/>
        </w:tabs>
        <w:numPr>
          <w:ilvl w:val="1"/>
          <w:numId w:val="13"/>
        </w:numPr>
        <w:rPr>
          <w:rFonts w:ascii="Arial" w:cs="Arial" w:eastAsia="Arial" w:hAnsi="Arial"/>
          <w:sz w:val="21"/>
          <w:szCs w:val="21"/>
          <w:color w:val="auto"/>
        </w:rPr>
      </w:pPr>
      <w:r>
        <w:rPr>
          <w:rFonts w:ascii="Arial" w:cs="Arial" w:eastAsia="Arial" w:hAnsi="Arial"/>
          <w:sz w:val="21"/>
          <w:szCs w:val="21"/>
          <w:color w:val="auto"/>
        </w:rPr>
        <w:t>a person, or any two or more persons acting as a group, and all affiliates of such person or persons, who prior to such time owned less than fifty percent (50%) of the then outstanding shares of the Company’s $0.01 par value common stock (“</w:t>
      </w:r>
      <w:r>
        <w:rPr>
          <w:rFonts w:ascii="Arial" w:cs="Arial" w:eastAsia="Arial" w:hAnsi="Arial"/>
          <w:sz w:val="21"/>
          <w:szCs w:val="21"/>
          <w:u w:val="single" w:color="auto"/>
          <w:color w:val="auto"/>
        </w:rPr>
        <w:t>Common Stock</w:t>
      </w:r>
      <w:r>
        <w:rPr>
          <w:rFonts w:ascii="Arial" w:cs="Arial" w:eastAsia="Arial" w:hAnsi="Arial"/>
          <w:sz w:val="21"/>
          <w:szCs w:val="21"/>
          <w:color w:val="auto"/>
        </w:rPr>
        <w:t>”), shall acquire such additional shares of the Company’s Common Stock in one or more transactions, or series of transactions, such that following such transaction or transactions such person or group and affiliates beneficially own fifty percent (50%) or more of the Company’s Common Stock outstanding;</w:t>
      </w:r>
    </w:p>
    <w:p>
      <w:pPr>
        <w:spacing w:after="0" w:line="174" w:lineRule="exact"/>
        <w:rPr>
          <w:rFonts w:ascii="Arial" w:cs="Arial" w:eastAsia="Arial" w:hAnsi="Arial"/>
          <w:sz w:val="21"/>
          <w:szCs w:val="21"/>
          <w:color w:val="auto"/>
        </w:rPr>
      </w:pPr>
    </w:p>
    <w:p>
      <w:pPr>
        <w:ind w:left="2400" w:hanging="447"/>
        <w:spacing w:after="0"/>
        <w:tabs>
          <w:tab w:leader="none" w:pos="2400" w:val="left"/>
        </w:tabs>
        <w:numPr>
          <w:ilvl w:val="1"/>
          <w:numId w:val="13"/>
        </w:numPr>
        <w:rPr>
          <w:rFonts w:ascii="Arial" w:cs="Arial" w:eastAsia="Arial" w:hAnsi="Arial"/>
          <w:sz w:val="19"/>
          <w:szCs w:val="19"/>
          <w:color w:val="auto"/>
        </w:rPr>
      </w:pPr>
      <w:r>
        <w:rPr>
          <w:rFonts w:ascii="Arial" w:cs="Arial" w:eastAsia="Arial" w:hAnsi="Arial"/>
          <w:sz w:val="19"/>
          <w:szCs w:val="19"/>
          <w:color w:val="auto"/>
        </w:rPr>
        <w:t>closing of the sale of all or substantially all of the assets of the Company on a consolidated basis to an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unrelated person or entity;</w:t>
      </w:r>
    </w:p>
    <w:p>
      <w:pPr>
        <w:spacing w:after="0" w:line="215" w:lineRule="exact"/>
        <w:rPr>
          <w:rFonts w:ascii="Arial" w:cs="Arial" w:eastAsia="Arial" w:hAnsi="Arial"/>
          <w:sz w:val="19"/>
          <w:szCs w:val="19"/>
          <w:color w:val="auto"/>
        </w:rPr>
      </w:pPr>
    </w:p>
    <w:p>
      <w:pPr>
        <w:ind w:right="20" w:firstLine="1953"/>
        <w:spacing w:after="0" w:line="297" w:lineRule="auto"/>
        <w:tabs>
          <w:tab w:leader="none" w:pos="2449" w:val="left"/>
        </w:tabs>
        <w:numPr>
          <w:ilvl w:val="1"/>
          <w:numId w:val="13"/>
        </w:numPr>
        <w:rPr>
          <w:rFonts w:ascii="Arial" w:cs="Arial" w:eastAsia="Arial" w:hAnsi="Arial"/>
          <w:sz w:val="19"/>
          <w:szCs w:val="19"/>
          <w:color w:val="auto"/>
        </w:rPr>
      </w:pPr>
      <w:r>
        <w:rPr>
          <w:rFonts w:ascii="Arial" w:cs="Arial" w:eastAsia="Arial" w:hAnsi="Arial"/>
          <w:sz w:val="19"/>
          <w:szCs w:val="19"/>
          <w:color w:val="auto"/>
        </w:rPr>
        <w:t>individuals who constitute the Incumbent Board cease for any reason to constitute at least a majority of the Board (for this purpose, “</w:t>
      </w:r>
      <w:r>
        <w:rPr>
          <w:rFonts w:ascii="Arial" w:cs="Arial" w:eastAsia="Arial" w:hAnsi="Arial"/>
          <w:sz w:val="19"/>
          <w:szCs w:val="19"/>
          <w:u w:val="single" w:color="auto"/>
          <w:color w:val="auto"/>
        </w:rPr>
        <w:t>Incumbent Board</w:t>
      </w:r>
      <w:r>
        <w:rPr>
          <w:rFonts w:ascii="Arial" w:cs="Arial" w:eastAsia="Arial" w:hAnsi="Arial"/>
          <w:sz w:val="19"/>
          <w:szCs w:val="19"/>
          <w:color w:val="auto"/>
        </w:rPr>
        <w:t>” means at any time those persons who are then members of the Board and who are either (i) members of the Board on the date of this Agreement, or (ii) have been elected, or have been nominated for election by the Company’s shareholders, by the affirmative vote of at least two-thirds of the directors comprising the Incumbent Board at the time of such election or nomination (either by a specific vote or by approval of the proxy statement of the Company in which such person is named as a nominee for director without objection to such nomination); or</w:t>
      </w:r>
    </w:p>
    <w:p>
      <w:pPr>
        <w:spacing w:after="0" w:line="146" w:lineRule="exact"/>
        <w:rPr>
          <w:rFonts w:ascii="Arial" w:cs="Arial" w:eastAsia="Arial" w:hAnsi="Arial"/>
          <w:sz w:val="19"/>
          <w:szCs w:val="19"/>
          <w:color w:val="auto"/>
        </w:rPr>
      </w:pPr>
    </w:p>
    <w:p>
      <w:pPr>
        <w:ind w:firstLine="1953"/>
        <w:spacing w:after="0" w:line="248" w:lineRule="auto"/>
        <w:tabs>
          <w:tab w:leader="none" w:pos="2437"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there is a consummation of any merger, reorganization, consolidation or share exchange unless the persons who were the beneficial owners of the outstanding shares of the Company’s Common Stock immediately before the consummation of such transaction beneficially own more than 50% of the outstanding shares of the common stock of the successor or survivor entity in such transaction immediately following the consummation of such transaction. For purposes of the definition of “Change in Control”, the percentage of the beneficially owned shares of the successor or survivor entity described above shall be determined exclusively by reference to the shares of the successor or survivor entity which result from the beneficial ownership of shares of the Company’s Common Stock by the persons described above immediately before the consummation of such transaction.</w:t>
      </w:r>
    </w:p>
    <w:p>
      <w:pPr>
        <w:spacing w:after="0" w:line="191" w:lineRule="exact"/>
        <w:rPr>
          <w:rFonts w:ascii="Arial" w:cs="Arial" w:eastAsia="Arial" w:hAnsi="Arial"/>
          <w:sz w:val="22"/>
          <w:szCs w:val="22"/>
          <w:color w:val="auto"/>
        </w:rPr>
      </w:pPr>
    </w:p>
    <w:p>
      <w:pPr>
        <w:jc w:val="both"/>
        <w:ind w:right="40" w:firstLine="1305"/>
        <w:spacing w:after="0" w:line="260" w:lineRule="auto"/>
        <w:tabs>
          <w:tab w:leader="none" w:pos="1728"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Status</w:t>
      </w:r>
      <w:r>
        <w:rPr>
          <w:rFonts w:ascii="Arial" w:cs="Arial" w:eastAsia="Arial" w:hAnsi="Arial"/>
          <w:sz w:val="22"/>
          <w:szCs w:val="22"/>
          <w:color w:val="auto"/>
        </w:rPr>
        <w:t>” describes the status of a person as a current or former director or officer of the Company or current or former director, manager, partner, officer, employee, agent or trustee of any other Enterprise which such person is or was serving at the request of the Company.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375" w:right="259" w:bottom="1440" w:gutter="0" w:footer="0" w:header="0"/>
        </w:sectPr>
      </w:pPr>
    </w:p>
    <w:bookmarkStart w:id="36" w:name="page37"/>
    <w:bookmarkEnd w:id="36"/>
    <w:p>
      <w:pPr>
        <w:ind w:left="-20" w:right="40" w:firstLine="1305"/>
        <w:spacing w:after="0" w:line="251" w:lineRule="auto"/>
        <w:tabs>
          <w:tab w:leader="none" w:pos="1696"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Enforcement Expenses</w:t>
      </w:r>
      <w:r>
        <w:rPr>
          <w:rFonts w:ascii="Arial" w:cs="Arial" w:eastAsia="Arial" w:hAnsi="Arial"/>
          <w:sz w:val="22"/>
          <w:szCs w:val="22"/>
          <w:color w:val="auto"/>
        </w:rPr>
        <w:t>” shall include all reasonable attorneys’ fees, retainers,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89" w:lineRule="exact"/>
        <w:rPr>
          <w:rFonts w:ascii="Arial" w:cs="Arial" w:eastAsia="Arial" w:hAnsi="Arial"/>
          <w:sz w:val="22"/>
          <w:szCs w:val="22"/>
          <w:color w:val="auto"/>
        </w:rPr>
      </w:pPr>
    </w:p>
    <w:p>
      <w:pPr>
        <w:ind w:left="-20" w:right="60" w:firstLine="1305"/>
        <w:spacing w:after="0" w:line="260" w:lineRule="auto"/>
        <w:tabs>
          <w:tab w:leader="none" w:pos="1708"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w:t>
      </w:r>
      <w:r>
        <w:rPr>
          <w:rFonts w:ascii="Arial" w:cs="Arial" w:eastAsia="Arial" w:hAnsi="Arial"/>
          <w:sz w:val="22"/>
          <w:szCs w:val="22"/>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77" w:lineRule="exact"/>
        <w:rPr>
          <w:rFonts w:ascii="Arial" w:cs="Arial" w:eastAsia="Arial" w:hAnsi="Arial"/>
          <w:sz w:val="22"/>
          <w:szCs w:val="22"/>
          <w:color w:val="auto"/>
        </w:rPr>
      </w:pPr>
    </w:p>
    <w:p>
      <w:pPr>
        <w:ind w:left="1700" w:hanging="415"/>
        <w:spacing w:after="0"/>
        <w:tabs>
          <w:tab w:leader="none" w:pos="17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the Securities Exchange Act of 1934, as amended.</w:t>
      </w:r>
    </w:p>
    <w:p>
      <w:pPr>
        <w:spacing w:after="0" w:line="233" w:lineRule="exact"/>
        <w:rPr>
          <w:rFonts w:ascii="Arial" w:cs="Arial" w:eastAsia="Arial" w:hAnsi="Arial"/>
          <w:sz w:val="22"/>
          <w:szCs w:val="22"/>
          <w:color w:val="auto"/>
        </w:rPr>
      </w:pPr>
    </w:p>
    <w:p>
      <w:pPr>
        <w:ind w:left="-20" w:firstLine="1305"/>
        <w:spacing w:after="0" w:line="297" w:lineRule="auto"/>
        <w:tabs>
          <w:tab w:leader="none" w:pos="1672" w:val="left"/>
        </w:tabs>
        <w:numPr>
          <w:ilvl w:val="0"/>
          <w:numId w:val="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Expenses</w:t>
      </w:r>
      <w:r>
        <w:rPr>
          <w:rFonts w:ascii="Arial" w:cs="Arial" w:eastAsia="Arial" w:hAnsi="Arial"/>
          <w:sz w:val="19"/>
          <w:szCs w:val="19"/>
          <w:color w:val="auto"/>
        </w:rPr>
        <w:t>” shall include all reasonable attorneys’ fees, retainers,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46" w:lineRule="exact"/>
        <w:rPr>
          <w:rFonts w:ascii="Arial" w:cs="Arial" w:eastAsia="Arial" w:hAnsi="Arial"/>
          <w:sz w:val="19"/>
          <w:szCs w:val="19"/>
          <w:color w:val="auto"/>
        </w:rPr>
      </w:pPr>
    </w:p>
    <w:p>
      <w:pPr>
        <w:ind w:left="-20" w:right="40" w:firstLine="1305"/>
        <w:spacing w:after="0" w:line="289" w:lineRule="auto"/>
        <w:tabs>
          <w:tab w:leader="none" w:pos="1708"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shall include any threatened, pending or completed action, suit, alternate dispute resolution mechanism, or proceeding, whether brought in the right of the Company or otherwise and whether of a civil, criminal, administrative, arbitrative or investigative nature, and whether formal or informal, in which Indemnitee was, is or will be involved as a party or otherwise, by reason of the fact that Indemnitee is or was a director or officer of the Company or is or was serving at the request of the Company as a director, manager, partner, officer, employee, agent or trustee of any Enterprise or by reason of any action taken by Indemnitee or of any action taken on his or her part while acting as a director or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“Proceeding” shall not include any action, suit or arbitration, or part thereof, initiated by Indemnitee to enforce Indemnitee’s rights under this Agreement as provided for in Section 12(a) of this Agreement.</w:t>
      </w:r>
    </w:p>
    <w:p>
      <w:pPr>
        <w:spacing w:after="0" w:line="158" w:lineRule="exact"/>
        <w:rPr>
          <w:rFonts w:ascii="Arial" w:cs="Arial" w:eastAsia="Arial" w:hAnsi="Arial"/>
          <w:sz w:val="19"/>
          <w:szCs w:val="19"/>
          <w:color w:val="auto"/>
        </w:rPr>
      </w:pPr>
    </w:p>
    <w:p>
      <w:pPr>
        <w:ind w:left="-20" w:right="120" w:firstLine="1305"/>
        <w:spacing w:after="0" w:line="251" w:lineRule="auto"/>
        <w:tabs>
          <w:tab w:leader="none" w:pos="1763"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Legal Counsel</w:t>
      </w:r>
      <w:r>
        <w:rPr>
          <w:rFonts w:ascii="Arial" w:cs="Arial" w:eastAsia="Arial" w:hAnsi="Arial"/>
          <w:sz w:val="22"/>
          <w:szCs w:val="22"/>
          <w:color w:val="auto"/>
        </w:rPr>
        <w:t>” shall mean a law firm, or a partner (or, if applicable, member or shareholder) of such a law firm, that is experienced in matters of Massachusetts corporation law and neither presently is, nor in the past has been, retained to represent: (i) the Company, any subsidiary of the Company, any Enterprise or Indemnitee in any matter material to any such party; or (ii) any other party to the Proceeding giving rise to a claim for indemnification hereunder. Notwithstanding the foregoing, the term “</w:t>
      </w:r>
      <w:r>
        <w:rPr>
          <w:rFonts w:ascii="Arial" w:cs="Arial" w:eastAsia="Arial" w:hAnsi="Arial"/>
          <w:sz w:val="22"/>
          <w:szCs w:val="22"/>
          <w:u w:val="single" w:color="auto"/>
          <w:color w:val="auto"/>
        </w:rPr>
        <w:t>Special Legal Counsel</w:t>
      </w:r>
      <w:r>
        <w:rPr>
          <w:rFonts w:ascii="Arial" w:cs="Arial" w:eastAsia="Arial" w:hAnsi="Arial"/>
          <w:sz w:val="22"/>
          <w:szCs w:val="22"/>
          <w:color w:val="auto"/>
        </w:rPr>
        <w: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60" w:top="375" w:right="239" w:bottom="1440" w:gutter="0" w:footer="0" w:header="0"/>
        </w:sectPr>
      </w:pPr>
    </w:p>
    <w:bookmarkStart w:id="37" w:name="page38"/>
    <w:bookmarkEnd w:id="37"/>
    <w:p>
      <w:pPr>
        <w:ind w:right="60"/>
        <w:spacing w:after="0" w:line="248" w:lineRule="auto"/>
        <w:rPr>
          <w:sz w:val="20"/>
          <w:szCs w:val="20"/>
          <w:color w:val="auto"/>
        </w:rPr>
      </w:pPr>
      <w:r>
        <w:rPr>
          <w:rFonts w:ascii="Arial" w:cs="Arial" w:eastAsia="Arial" w:hAnsi="Arial"/>
          <w:sz w:val="22"/>
          <w:szCs w:val="22"/>
          <w:color w:val="auto"/>
        </w:rPr>
        <w:t>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Special Legal Counsel referred to above and to fully indemnify such counsel against any and all expenses, claims, liabilities and damages arising out of or relating to this Agreement or its engagement pursuant hereto.</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Indemnity in Third-Party Proceedings</w:t>
      </w:r>
      <w:r>
        <w:rPr>
          <w:rFonts w:ascii="Arial" w:cs="Arial" w:eastAsia="Arial" w:hAnsi="Arial"/>
          <w:sz w:val="19"/>
          <w:szCs w:val="19"/>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(A) Indemnitee conducted himself or herself in good faith and in a manner he or she reasonably believed to be in the best interests of the Company or at least not opposed to the best interests of the Company, and, in the case of a criminal proceeding, had no reasonable cause to believe that his or her conduct was unlawful, or (B) Indemnitee engaged in conduct for which he or she shall not be liable under a provision of the Charter as authorized by Section 2.02(b)(4) of the MBCA (or any successor provision). The conduct of Indemnitee with respect to an employee benefit plan for a purpose Indemnitee reasonably believed to be in the best interests of the participants in, and the beneficiaries of, the plan is conduct that satisfies clause (A) of the preceding sentence.</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Indemnity in Proceedings by or in the Right of the Company</w:t>
      </w:r>
      <w:r>
        <w:rPr>
          <w:rFonts w:ascii="Arial" w:cs="Arial" w:eastAsia="Arial" w:hAnsi="Arial"/>
          <w:sz w:val="19"/>
          <w:szCs w:val="19"/>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judgments, fines, penalties, excise taxes, and amounts paid in settlement actually and reasonably incurred by Indemnitee or on his or her behalf in connection with such Proceeding or any claim, issue or matter therein, if (A) Indemnitee conducted himself in good faith and in a manner he or she reasonably believed to be in the best interests of the Company or at least not opposed to the best interests of the Company, or (B) Indemnitee engaged in conduct for which he or she shall not be liable under a provision of the Charter as authorized by Section 2.02(b)(4) of the MBCA (or any successor provision). The conduct of Indemnitee with respect to an employee benefit plan for a purpose Indemnitee reasonably believed to be in the best interests of the participants in, and the beneficiaries of, the plan is conduct that satisfies clause (A) of the preceding sentence.</w:t>
      </w:r>
    </w:p>
    <w:p>
      <w:pPr>
        <w:spacing w:after="0" w:line="156" w:lineRule="exact"/>
        <w:rPr>
          <w:sz w:val="20"/>
          <w:szCs w:val="20"/>
          <w:color w:val="auto"/>
        </w:rPr>
      </w:pPr>
    </w:p>
    <w:p>
      <w:pPr>
        <w:ind w:right="80" w:firstLine="648"/>
        <w:spacing w:after="0" w:line="300"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Indemnification for Expenses of a Party Who is Successful</w:t>
      </w:r>
      <w:r>
        <w:rPr>
          <w:rFonts w:ascii="Arial" w:cs="Arial" w:eastAsia="Arial" w:hAnsi="Arial"/>
          <w:sz w:val="19"/>
          <w:szCs w:val="19"/>
          <w:color w:val="auto"/>
        </w:rPr>
        <w:t>. Notwithstanding any other provisions of this Agreement and except as provided in Section 7, to the extent that Indemnitee is a party to or a participant in any Proceeding and is wholly successful, on the merits or otherwise, in such Proceeding, the Company shall indemnify Indemnitee against all Expenses actually and reasonably incurred by him or her in connection therewith. If in such Proceeding Indemnitee is successful, on the merits or otherwise, as to one or more but less than all claims, issues or matters in such Proceeding, the Company shall indemnify</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60"/>
          </w:cols>
          <w:pgMar w:left="240" w:top="375" w:right="299" w:bottom="1440" w:gutter="0" w:footer="0" w:header="0"/>
        </w:sectPr>
      </w:pPr>
    </w:p>
    <w:bookmarkStart w:id="38" w:name="page39"/>
    <w:bookmarkEnd w:id="38"/>
    <w:p>
      <w:pPr>
        <w:ind w:right="180"/>
        <w:spacing w:after="0" w:line="250" w:lineRule="auto"/>
        <w:rPr>
          <w:sz w:val="20"/>
          <w:szCs w:val="20"/>
          <w:color w:val="auto"/>
        </w:rPr>
      </w:pPr>
      <w:r>
        <w:rPr>
          <w:rFonts w:ascii="Arial" w:cs="Arial" w:eastAsia="Arial" w:hAnsi="Arial"/>
          <w:sz w:val="22"/>
          <w:szCs w:val="22"/>
          <w:color w:val="auto"/>
        </w:rPr>
        <w:t>Indemnitee against all Expenses actually and reasonably incurred by Indemnitee or on his or her behalf in connection with each successfully resolved claim, issue or matter to the extent permitted by law. For purposes of this Section 5 and without limitation, the termination of any claim, issue or matter in such a Proceeding by dismissal, with or without prejudice, shall be deemed to be a successful result as to such claim, issue or matter.</w:t>
      </w:r>
    </w:p>
    <w:p>
      <w:pPr>
        <w:spacing w:after="0" w:line="188" w:lineRule="exact"/>
        <w:rPr>
          <w:sz w:val="20"/>
          <w:szCs w:val="20"/>
          <w:color w:val="auto"/>
        </w:rPr>
      </w:pPr>
    </w:p>
    <w:p>
      <w:pPr>
        <w:ind w:right="120" w:firstLine="648"/>
        <w:spacing w:after="0" w:line="300"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Reimbursement for Expenses of a Witness or in Response to a Subpoena</w:t>
      </w:r>
      <w:r>
        <w:rPr>
          <w:rFonts w:ascii="Arial" w:cs="Arial" w:eastAsia="Arial" w:hAnsi="Arial"/>
          <w:sz w:val="19"/>
          <w:szCs w:val="19"/>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47" w:lineRule="exact"/>
        <w:rPr>
          <w:sz w:val="20"/>
          <w:szCs w:val="20"/>
          <w:color w:val="auto"/>
        </w:rPr>
      </w:pPr>
    </w:p>
    <w:p>
      <w:pPr>
        <w:ind w:right="760" w:firstLine="648"/>
        <w:spacing w:after="0" w:line="276"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Exclusions</w:t>
      </w:r>
      <w:r>
        <w:rPr>
          <w:rFonts w:ascii="Arial" w:cs="Arial" w:eastAsia="Arial" w:hAnsi="Arial"/>
          <w:sz w:val="22"/>
          <w:szCs w:val="22"/>
          <w:color w:val="auto"/>
        </w:rPr>
        <w:t>. Notwithstanding any provision in this Agreement to the contrary, the Company shall not be obligated under this Agreement:</w:t>
      </w:r>
    </w:p>
    <w:p>
      <w:pPr>
        <w:spacing w:after="0" w:line="161" w:lineRule="exact"/>
        <w:rPr>
          <w:sz w:val="20"/>
          <w:szCs w:val="20"/>
          <w:color w:val="auto"/>
        </w:rPr>
      </w:pPr>
    </w:p>
    <w:p>
      <w:pPr>
        <w:ind w:right="20" w:firstLine="1305"/>
        <w:spacing w:after="0" w:line="320" w:lineRule="auto"/>
        <w:tabs>
          <w:tab w:leader="none" w:pos="1716" w:val="left"/>
        </w:tabs>
        <w:numPr>
          <w:ilvl w:val="0"/>
          <w:numId w:val="15"/>
        </w:numPr>
        <w:rPr>
          <w:rFonts w:ascii="Arial" w:cs="Arial" w:eastAsia="Arial" w:hAnsi="Arial"/>
          <w:sz w:val="19"/>
          <w:szCs w:val="19"/>
          <w:color w:val="auto"/>
        </w:rPr>
      </w:pPr>
      <w:r>
        <w:rPr>
          <w:rFonts w:ascii="Arial" w:cs="Arial" w:eastAsia="Arial" w:hAnsi="Arial"/>
          <w:sz w:val="19"/>
          <w:szCs w:val="19"/>
          <w:color w:val="auto"/>
        </w:rPr>
        <w:t>to indemnify for amounts otherwise indemnifiable hereunder (or for which advancement is provided hereunder) if and to the extent that Indemnitee has otherwise actually received such amounts under any insurance policy, contract, agreement or otherwise; provided, that the foregoing shall not affect the rights of Indemnitee set forth in Section 13(c) below;</w:t>
      </w:r>
    </w:p>
    <w:p>
      <w:pPr>
        <w:spacing w:after="0" w:line="125" w:lineRule="exact"/>
        <w:rPr>
          <w:rFonts w:ascii="Arial" w:cs="Arial" w:eastAsia="Arial" w:hAnsi="Arial"/>
          <w:sz w:val="19"/>
          <w:szCs w:val="19"/>
          <w:color w:val="auto"/>
        </w:rPr>
      </w:pPr>
    </w:p>
    <w:p>
      <w:pPr>
        <w:ind w:firstLine="1305"/>
        <w:spacing w:after="0" w:line="260" w:lineRule="auto"/>
        <w:tabs>
          <w:tab w:leader="none" w:pos="1728" w:val="left"/>
        </w:tabs>
        <w:numPr>
          <w:ilvl w:val="0"/>
          <w:numId w:val="15"/>
        </w:numPr>
        <w:rPr>
          <w:rFonts w:ascii="Arial" w:cs="Arial" w:eastAsia="Arial" w:hAnsi="Arial"/>
          <w:sz w:val="22"/>
          <w:szCs w:val="22"/>
          <w:color w:val="auto"/>
        </w:rPr>
      </w:pPr>
      <w:r>
        <w:rPr>
          <w:rFonts w:ascii="Arial" w:cs="Arial" w:eastAsia="Arial" w:hAnsi="Arial"/>
          <w:sz w:val="22"/>
          <w:szCs w:val="22"/>
          <w:color w:val="auto"/>
        </w:rPr>
        <w:t>to indemnify for an accounting of profits made from the purchase and sale (or sale and purchase) by Indemnitee of securities of the Company within the meaning of Section 16(b) of the Exchange Act, or similar provisions of state statutory law or common law;</w:t>
      </w:r>
    </w:p>
    <w:p>
      <w:pPr>
        <w:spacing w:after="0" w:line="177" w:lineRule="exact"/>
        <w:rPr>
          <w:rFonts w:ascii="Arial" w:cs="Arial" w:eastAsia="Arial" w:hAnsi="Arial"/>
          <w:sz w:val="22"/>
          <w:szCs w:val="22"/>
          <w:color w:val="auto"/>
        </w:rPr>
      </w:pPr>
    </w:p>
    <w:p>
      <w:pPr>
        <w:ind w:right="40" w:firstLine="1305"/>
        <w:spacing w:after="0" w:line="248" w:lineRule="auto"/>
        <w:tabs>
          <w:tab w:leader="none" w:pos="1716"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Section 7(c)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a suit for which indemnification or advancement is being sought as described in Section 12; or</w:t>
      </w:r>
    </w:p>
    <w:p>
      <w:pPr>
        <w:spacing w:after="0" w:line="191" w:lineRule="exact"/>
        <w:rPr>
          <w:rFonts w:ascii="Arial" w:cs="Arial" w:eastAsia="Arial" w:hAnsi="Arial"/>
          <w:sz w:val="22"/>
          <w:szCs w:val="22"/>
          <w:color w:val="auto"/>
        </w:rPr>
      </w:pPr>
    </w:p>
    <w:p>
      <w:pPr>
        <w:ind w:right="300" w:firstLine="1305"/>
        <w:spacing w:after="0" w:line="276" w:lineRule="auto"/>
        <w:tabs>
          <w:tab w:leader="none" w:pos="1728" w:val="left"/>
        </w:tabs>
        <w:numPr>
          <w:ilvl w:val="0"/>
          <w:numId w:val="15"/>
        </w:numPr>
        <w:rPr>
          <w:rFonts w:ascii="Arial" w:cs="Arial" w:eastAsia="Arial" w:hAnsi="Arial"/>
          <w:sz w:val="22"/>
          <w:szCs w:val="22"/>
          <w:color w:val="auto"/>
        </w:rPr>
      </w:pPr>
      <w:r>
        <w:rPr>
          <w:rFonts w:ascii="Arial" w:cs="Arial" w:eastAsia="Arial" w:hAnsi="Arial"/>
          <w:sz w:val="22"/>
          <w:szCs w:val="22"/>
          <w:color w:val="auto"/>
        </w:rPr>
        <w:t>to provide any indemnification or advancement of expenses that is prohibited by applicable law (as such law exists at the time payment would otherwise be required pursuant to this Agreement).</w:t>
      </w:r>
    </w:p>
    <w:p>
      <w:pPr>
        <w:spacing w:after="0" w:line="161" w:lineRule="exact"/>
        <w:rPr>
          <w:sz w:val="20"/>
          <w:szCs w:val="20"/>
          <w:color w:val="auto"/>
        </w:rPr>
      </w:pPr>
    </w:p>
    <w:p>
      <w:pPr>
        <w:ind w:right="60" w:firstLine="648"/>
        <w:spacing w:after="0" w:line="307"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Advancement of Expenses</w:t>
      </w:r>
      <w:r>
        <w:rPr>
          <w:rFonts w:ascii="Arial" w:cs="Arial" w:eastAsia="Arial" w:hAnsi="Arial"/>
          <w:sz w:val="19"/>
          <w:szCs w:val="19"/>
          <w:color w:val="auto"/>
        </w:rPr>
        <w:t>. Subject to Section 9(b), the Company shall advance, to the extent not prohibited by applicable law, the Expenses incurred by Indemnitee in connection with any Proceeding, and such advancement shall be made within thirty (30) days after the receipt by the Company of a statement or statements requesting such advances (which shall include invoices received by Indemnitee in connection with such Expenses but, in the case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39" w:name="page40"/>
    <w:bookmarkEnd w:id="39"/>
    <w:p>
      <w:pPr>
        <w:spacing w:after="0" w:line="290" w:lineRule="auto"/>
        <w:rPr>
          <w:sz w:val="20"/>
          <w:szCs w:val="20"/>
          <w:color w:val="auto"/>
        </w:rPr>
      </w:pPr>
      <w:r>
        <w:rPr>
          <w:rFonts w:ascii="Arial" w:cs="Arial" w:eastAsia="Arial" w:hAnsi="Arial"/>
          <w:sz w:val="19"/>
          <w:szCs w:val="19"/>
          <w:color w:val="auto"/>
        </w:rPr>
        <w:t xml:space="preserve">of invoices in connection with legal services, any references to legal work performed or to expenditures made that would cause Indemnitee to waive any privilege accorded by applicable law need not be included with the invoice)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Indemnitee shall qualify for advances upon the execution and delivery to the Company of an undertaking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5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Procedure for Notification and Defense of Claim</w:t>
      </w:r>
      <w:r>
        <w:rPr>
          <w:rFonts w:ascii="Arial" w:cs="Arial" w:eastAsia="Arial" w:hAnsi="Arial"/>
          <w:sz w:val="19"/>
          <w:szCs w:val="19"/>
          <w:color w:val="auto"/>
        </w:rPr>
        <w:t>.</w:t>
      </w:r>
    </w:p>
    <w:p>
      <w:pPr>
        <w:spacing w:after="0" w:line="233" w:lineRule="exact"/>
        <w:rPr>
          <w:sz w:val="20"/>
          <w:szCs w:val="20"/>
          <w:color w:val="auto"/>
        </w:rPr>
      </w:pPr>
    </w:p>
    <w:p>
      <w:pPr>
        <w:jc w:val="both"/>
        <w:ind w:right="380" w:firstLine="1305"/>
        <w:spacing w:after="0" w:line="260" w:lineRule="auto"/>
        <w:tabs>
          <w:tab w:leader="none" w:pos="1716" w:val="left"/>
        </w:tabs>
        <w:numPr>
          <w:ilvl w:val="0"/>
          <w:numId w:val="16"/>
        </w:numPr>
        <w:rPr>
          <w:rFonts w:ascii="Arial" w:cs="Arial" w:eastAsia="Arial" w:hAnsi="Arial"/>
          <w:sz w:val="22"/>
          <w:szCs w:val="22"/>
          <w:color w:val="auto"/>
        </w:rPr>
      </w:pPr>
      <w:r>
        <w:rPr>
          <w:rFonts w:ascii="Arial" w:cs="Arial" w:eastAsia="Arial" w:hAnsi="Arial"/>
          <w:sz w:val="22"/>
          <w:szCs w:val="22"/>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77" w:lineRule="exact"/>
        <w:rPr>
          <w:rFonts w:ascii="Arial" w:cs="Arial" w:eastAsia="Arial" w:hAnsi="Arial"/>
          <w:sz w:val="22"/>
          <w:szCs w:val="22"/>
          <w:color w:val="auto"/>
        </w:rPr>
      </w:pPr>
    </w:p>
    <w:p>
      <w:pPr>
        <w:ind w:firstLine="1305"/>
        <w:spacing w:after="0" w:line="288" w:lineRule="auto"/>
        <w:tabs>
          <w:tab w:leader="none" w:pos="1728"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conditioned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or (C) the Company shall not continue to retain such counsel to defend such Proceeding, then the reasonable fees and expenses actually and reasonably incurred by Indemnitee with respect to his or her separate counsel shall be Expenses hereunder.</w:t>
      </w:r>
    </w:p>
    <w:p>
      <w:pPr>
        <w:spacing w:after="0" w:line="162" w:lineRule="exact"/>
        <w:rPr>
          <w:rFonts w:ascii="Arial" w:cs="Arial" w:eastAsia="Arial" w:hAnsi="Arial"/>
          <w:sz w:val="19"/>
          <w:szCs w:val="19"/>
          <w:color w:val="auto"/>
        </w:rPr>
      </w:pPr>
    </w:p>
    <w:p>
      <w:pPr>
        <w:ind w:right="280" w:firstLine="1305"/>
        <w:spacing w:after="0" w:line="276" w:lineRule="auto"/>
        <w:tabs>
          <w:tab w:leader="none" w:pos="1716"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 the event that the Company does not assume the defense in a Proceeding pursuant to paragraph (b) above, then the Company will be entitled to participate in the Proceeding at its own expense.</w:t>
      </w:r>
    </w:p>
    <w:p>
      <w:pPr>
        <w:spacing w:after="0" w:line="160" w:lineRule="exact"/>
        <w:rPr>
          <w:rFonts w:ascii="Arial" w:cs="Arial" w:eastAsia="Arial" w:hAnsi="Arial"/>
          <w:sz w:val="22"/>
          <w:szCs w:val="22"/>
          <w:color w:val="auto"/>
        </w:rPr>
      </w:pPr>
    </w:p>
    <w:p>
      <w:pPr>
        <w:ind w:right="200" w:firstLine="1305"/>
        <w:spacing w:after="0" w:line="251" w:lineRule="auto"/>
        <w:tabs>
          <w:tab w:leader="none" w:pos="1728"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Company shall not be liable to indemnify Indemnitee under this Agreement for any amounts paid in settlement of any Proceeding effected without its prior written consent (which consent shall not be unreasonably withheld, conditioned or delayed). The Company shall not, without the prior written consent of Indemnitee (which consent shall not be unreasonably withheld, conditioned or delayed), enter into any settlement which (i) includes an admission of fault of Indemnitee, any non-monetary remedy imposed on Indemnitee or any</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375" w:right="279" w:bottom="1440" w:gutter="0" w:footer="0" w:header="0"/>
        </w:sectPr>
      </w:pPr>
    </w:p>
    <w:bookmarkStart w:id="40" w:name="page41"/>
    <w:bookmarkEnd w:id="40"/>
    <w:p>
      <w:pPr>
        <w:jc w:val="both"/>
        <w:ind w:right="220"/>
        <w:spacing w:after="0" w:line="271" w:lineRule="auto"/>
        <w:rPr>
          <w:sz w:val="20"/>
          <w:szCs w:val="20"/>
          <w:color w:val="auto"/>
        </w:rPr>
      </w:pPr>
      <w:r>
        <w:rPr>
          <w:rFonts w:ascii="Arial" w:cs="Arial" w:eastAsia="Arial" w:hAnsi="Arial"/>
          <w:sz w:val="21"/>
          <w:szCs w:val="21"/>
          <w:color w:val="auto"/>
        </w:rPr>
        <w:t>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6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Procedure Upon Application for Indemnification</w:t>
      </w:r>
      <w:r>
        <w:rPr>
          <w:rFonts w:ascii="Arial" w:cs="Arial" w:eastAsia="Arial" w:hAnsi="Arial"/>
          <w:sz w:val="19"/>
          <w:szCs w:val="19"/>
          <w:color w:val="auto"/>
        </w:rPr>
        <w:t>.</w:t>
      </w:r>
    </w:p>
    <w:p>
      <w:pPr>
        <w:spacing w:after="0" w:line="233" w:lineRule="exact"/>
        <w:rPr>
          <w:sz w:val="20"/>
          <w:szCs w:val="20"/>
          <w:color w:val="auto"/>
        </w:rPr>
      </w:pPr>
    </w:p>
    <w:p>
      <w:pPr>
        <w:ind w:right="60" w:firstLine="1305"/>
        <w:spacing w:after="0" w:line="286" w:lineRule="auto"/>
        <w:tabs>
          <w:tab w:leader="none" w:pos="1716" w:val="left"/>
        </w:tabs>
        <w:numPr>
          <w:ilvl w:val="0"/>
          <w:numId w:val="17"/>
        </w:numPr>
        <w:rPr>
          <w:rFonts w:ascii="Arial" w:cs="Arial" w:eastAsia="Arial" w:hAnsi="Arial"/>
          <w:sz w:val="19"/>
          <w:szCs w:val="19"/>
          <w:color w:val="auto"/>
        </w:rPr>
      </w:pPr>
      <w:r>
        <w:rPr>
          <w:rFonts w:ascii="Arial" w:cs="Arial" w:eastAsia="Arial" w:hAnsi="Arial"/>
          <w:sz w:val="19"/>
          <w:szCs w:val="19"/>
          <w:color w:val="auto"/>
        </w:rPr>
        <w:t>Upon written request by Indemnitee for indemnification pursuant to Section 9, a determination, if such determination is required by applicable law, with respect to the permissibility thereof shall be made in the specific case: (i) if a Change in Control shall have occurred, by Special Legal Counsel in a written opinion to the Board, or (ii) if a Change in Control shall not have occurred, by (A) the Board by majority vote of a quorum of Disinterested Directors or (B) if such a quorum is not obtainable or, if directed by majority vote of a quorum of Disinterested Directors, Special Legal Counsel in a written opinion to the Board. In the case that such determination is made by Special Legal Counsel, a copy of Special Legal Counsel’s written opinion shall be delivered to Indemnitee and, if it is so determined that Indemnitee is entitled to indemnification, payment to Indemnitee shall be made within thirty (30) days after such determination. Indemnitee shall cooperate with the Special Legal Counsel or the Company, as applicable, in making such determination with respect to the permissibility of indemnification of Indemnitee, including providing to such counsel or the Company, upon reasonable advance request, any documentation or information which is not privileged or otherwise protected from disclosure and which is reasonably available to Indemnitee and reasonably necessary to such determination. Any out-of-pocket costs or expenses (including reasonable attorneys’ fees and disbursements) actually and reasonably incurred by Indemnitee in so cooperating with the Special Legal Counsel or the Company shall be borne by the Company (irrespective of the determination as to the permissibility of indemnification) and the Company hereby indemnifies and agrees to hold Indemnitee harmless therefrom. For purposes of this Section 10(a), “</w:t>
      </w:r>
      <w:r>
        <w:rPr>
          <w:rFonts w:ascii="Arial" w:cs="Arial" w:eastAsia="Arial" w:hAnsi="Arial"/>
          <w:sz w:val="19"/>
          <w:szCs w:val="19"/>
          <w:u w:val="single" w:color="auto"/>
          <w:color w:val="auto"/>
        </w:rPr>
        <w:t>Disinterested Director</w:t>
      </w:r>
      <w:r>
        <w:rPr>
          <w:rFonts w:ascii="Arial" w:cs="Arial" w:eastAsia="Arial" w:hAnsi="Arial"/>
          <w:sz w:val="19"/>
          <w:szCs w:val="19"/>
          <w:color w:val="auto"/>
        </w:rPr>
        <w:t>” means a director of the Company who is not and was not a party to the Proceeding in respect of which indemnification is sought by Indemnitee.</w:t>
      </w:r>
    </w:p>
    <w:p>
      <w:pPr>
        <w:spacing w:after="0" w:line="169" w:lineRule="exact"/>
        <w:rPr>
          <w:rFonts w:ascii="Arial" w:cs="Arial" w:eastAsia="Arial" w:hAnsi="Arial"/>
          <w:sz w:val="19"/>
          <w:szCs w:val="19"/>
          <w:color w:val="auto"/>
        </w:rPr>
      </w:pPr>
    </w:p>
    <w:p>
      <w:pPr>
        <w:ind w:firstLine="1305"/>
        <w:spacing w:after="0" w:line="259" w:lineRule="auto"/>
        <w:tabs>
          <w:tab w:leader="none" w:pos="1728"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If the determination of permissibility of indemnification is to be made by Special Legal Counsel pursuant to Section 10(a), the Special Legal Counsel shall be selected by the Company in accordance with applicable law. The Indemnitee may, within ten (10) days after written notice of such selection, deliver to the Company a written objection to such selection;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objection may be asserted only on the ground that the Special Legal Counsel so selected does not meet the requirements of “</w:t>
      </w:r>
      <w:r>
        <w:rPr>
          <w:rFonts w:ascii="Arial" w:cs="Arial" w:eastAsia="Arial" w:hAnsi="Arial"/>
          <w:sz w:val="21"/>
          <w:szCs w:val="21"/>
          <w:u w:val="single" w:color="auto"/>
          <w:color w:val="auto"/>
        </w:rPr>
        <w:t>Special Legal Counsel</w:t>
      </w:r>
      <w:r>
        <w:rPr>
          <w:rFonts w:ascii="Arial" w:cs="Arial" w:eastAsia="Arial" w:hAnsi="Arial"/>
          <w:sz w:val="21"/>
          <w:szCs w:val="21"/>
          <w:color w:val="auto"/>
        </w:rPr>
        <w:t>” as defined in Section 2 of this Agreement, and the objection shall set forth with particularity the factual basis of such assertion. Absent a proper and timely objection, the person so selected shall act as Special Legal Counsel. If such written objection is so made and substantiated, the Special Legal Counsel so selected may not serve as Special Legal Counsel unless and until such objection is withdrawn or the Massachusetts Court (as defined in Section 22) has determined that such objection is without merit. If, within twenty (20) days after the later of (i) submission by Indemnitee of a written request for indemnification pursuant to Section 9(a), and (ii) the final disposition of the Proceeding, including any appeal therein, no Special Legal Counsel shall have been selected without objection, Indemnitee may petition the Massachusetts Court for resolution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375" w:right="259" w:bottom="1440" w:gutter="0" w:footer="0" w:header="0"/>
        </w:sectPr>
      </w:pPr>
    </w:p>
    <w:bookmarkStart w:id="41" w:name="page42"/>
    <w:bookmarkEnd w:id="41"/>
    <w:p>
      <w:pPr>
        <w:ind w:right="20"/>
        <w:spacing w:after="0" w:line="261" w:lineRule="auto"/>
        <w:rPr>
          <w:sz w:val="20"/>
          <w:szCs w:val="20"/>
          <w:color w:val="auto"/>
        </w:rPr>
      </w:pPr>
      <w:r>
        <w:rPr>
          <w:rFonts w:ascii="Arial" w:cs="Arial" w:eastAsia="Arial" w:hAnsi="Arial"/>
          <w:sz w:val="21"/>
          <w:szCs w:val="21"/>
          <w:color w:val="auto"/>
        </w:rPr>
        <w:t>of any objection which shall have been made by Indemnitee to the selection of Special Legal Counsel and/or for the appointment as Special Legal Counsel of a person selected by the court or by such other person as the court shall designate. The person with respect to whom all objections are so resolved or the person so appointed shall act as Special Legal Counsel under Section 10(a) hereof. Upon the due commencement of any judicial proceeding or arbitration pursuant to Section 12(a) of this Agreement, Special Legal Counsel shall be discharged and relieved of any further responsibility in such capacity (subject to the applicable standards of professional conduct then prevailing).</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Presumptions and Effect of Certain Proceedings</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60" w:lineRule="auto"/>
        <w:tabs>
          <w:tab w:leader="none" w:pos="1716" w:val="left"/>
        </w:tabs>
        <w:numPr>
          <w:ilvl w:val="0"/>
          <w:numId w:val="18"/>
        </w:numPr>
        <w:rPr>
          <w:rFonts w:ascii="Arial" w:cs="Arial" w:eastAsia="Arial" w:hAnsi="Arial"/>
          <w:sz w:val="21"/>
          <w:szCs w:val="21"/>
          <w:color w:val="auto"/>
        </w:rPr>
      </w:pPr>
      <w:r>
        <w:rPr>
          <w:rFonts w:ascii="Arial" w:cs="Arial" w:eastAsia="Arial" w:hAnsi="Arial"/>
          <w:sz w:val="21"/>
          <w:szCs w:val="21"/>
          <w:color w:val="auto"/>
        </w:rPr>
        <w:t>To the extent permitted by applicable law, in making a determination with respect to the permissibility of indemnification hereunder, it shall be presumed that Indemnitee is entitled to indemnification under this Agreement if Indemnitee has submitted a request for indemnification in accordance with Section 9(a) of this Agreement, and the Company shall have the burden of proof to overcome that presumption in connection with the making of any determination contrary to that presumption. Neither (i) the failure of the Company or of Special Legal Counsel to have made a determination prior to the commencement of any action pursuant to this Agreement that indemnification is proper in the circumstances because Indemnitee has met the applicable standard of conduct, nor (ii) an actual determination by the Company or by Special Legal Counsel that Indemnitee has not met such applicable standard of conduct, shall be a defense to the action or create a presumption that Indemnitee has not met the applicable standard of conduct.</w:t>
      </w:r>
    </w:p>
    <w:p>
      <w:pPr>
        <w:spacing w:after="0" w:line="184" w:lineRule="exact"/>
        <w:rPr>
          <w:rFonts w:ascii="Arial" w:cs="Arial" w:eastAsia="Arial" w:hAnsi="Arial"/>
          <w:sz w:val="21"/>
          <w:szCs w:val="21"/>
          <w:color w:val="auto"/>
        </w:rPr>
      </w:pPr>
    </w:p>
    <w:p>
      <w:pPr>
        <w:ind w:right="20" w:firstLine="1305"/>
        <w:spacing w:after="0" w:line="270" w:lineRule="auto"/>
        <w:tabs>
          <w:tab w:leader="none" w:pos="1728" w:val="left"/>
        </w:tabs>
        <w:numPr>
          <w:ilvl w:val="0"/>
          <w:numId w:val="18"/>
        </w:numPr>
        <w:rPr>
          <w:rFonts w:ascii="Arial" w:cs="Arial" w:eastAsia="Arial" w:hAnsi="Arial"/>
          <w:sz w:val="21"/>
          <w:szCs w:val="21"/>
          <w:color w:val="auto"/>
        </w:rPr>
      </w:pPr>
      <w:r>
        <w:rPr>
          <w:rFonts w:ascii="Arial" w:cs="Arial" w:eastAsia="Arial" w:hAnsi="Arial"/>
          <w:sz w:val="21"/>
          <w:szCs w:val="21"/>
          <w:color w:val="auto"/>
        </w:rPr>
        <w:t xml:space="preserve">The termination of any Proceeding or of any claim, issue or matter therein, by judgment, order, settlement or conviction, or upon a plea of </w:t>
      </w:r>
      <w:r>
        <w:rPr>
          <w:rFonts w:ascii="Arial" w:cs="Arial" w:eastAsia="Arial" w:hAnsi="Arial"/>
          <w:sz w:val="21"/>
          <w:szCs w:val="21"/>
          <w:u w:val="single" w:color="auto"/>
          <w:color w:val="auto"/>
        </w:rPr>
        <w:t>nolo contendere</w:t>
      </w:r>
      <w:r>
        <w:rPr>
          <w:rFonts w:ascii="Arial" w:cs="Arial" w:eastAsia="Arial" w:hAnsi="Arial"/>
          <w:sz w:val="21"/>
          <w:szCs w:val="21"/>
          <w:color w:val="auto"/>
        </w:rPr>
        <w:t xml:space="preserve"> or its equivalent, shall not (except as otherwise expressly provided in this Agreement) of itself adversely affect the right of Indemnitee to indemnification or create a presumption that Indemnitee did not meet the applicable standard of conduct for indemnification under this Agreement.</w:t>
      </w:r>
    </w:p>
    <w:p>
      <w:pPr>
        <w:spacing w:after="0" w:line="169" w:lineRule="exact"/>
        <w:rPr>
          <w:rFonts w:ascii="Arial" w:cs="Arial" w:eastAsia="Arial" w:hAnsi="Arial"/>
          <w:sz w:val="21"/>
          <w:szCs w:val="21"/>
          <w:color w:val="auto"/>
        </w:rPr>
      </w:pPr>
    </w:p>
    <w:p>
      <w:pPr>
        <w:ind w:right="300" w:firstLine="1305"/>
        <w:spacing w:after="0" w:line="260" w:lineRule="auto"/>
        <w:tabs>
          <w:tab w:leader="none" w:pos="1716"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w:t>
      </w:r>
    </w:p>
    <w:p>
      <w:pPr>
        <w:spacing w:after="0" w:line="1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Remedies of Indemnitee</w:t>
      </w:r>
      <w:r>
        <w:rPr>
          <w:rFonts w:ascii="Arial" w:cs="Arial" w:eastAsia="Arial" w:hAnsi="Arial"/>
          <w:sz w:val="19"/>
          <w:szCs w:val="19"/>
          <w:color w:val="auto"/>
        </w:rPr>
        <w:t>.</w:t>
      </w:r>
    </w:p>
    <w:p>
      <w:pPr>
        <w:spacing w:after="0" w:line="233" w:lineRule="exact"/>
        <w:rPr>
          <w:sz w:val="20"/>
          <w:szCs w:val="20"/>
          <w:color w:val="auto"/>
        </w:rPr>
      </w:pPr>
    </w:p>
    <w:p>
      <w:pPr>
        <w:ind w:right="120" w:firstLine="1305"/>
        <w:spacing w:after="0" w:line="262" w:lineRule="auto"/>
        <w:tabs>
          <w:tab w:leader="none" w:pos="1716" w:val="left"/>
        </w:tabs>
        <w:numPr>
          <w:ilvl w:val="0"/>
          <w:numId w:val="19"/>
        </w:numPr>
        <w:rPr>
          <w:rFonts w:ascii="Arial" w:cs="Arial" w:eastAsia="Arial" w:hAnsi="Arial"/>
          <w:sz w:val="21"/>
          <w:szCs w:val="21"/>
          <w:color w:val="auto"/>
        </w:rPr>
      </w:pPr>
      <w:r>
        <w:rPr>
          <w:rFonts w:ascii="Arial" w:cs="Arial" w:eastAsia="Arial" w:hAnsi="Arial"/>
          <w:sz w:val="21"/>
          <w:szCs w:val="21"/>
          <w:color w:val="auto"/>
        </w:rPr>
        <w:t>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of permissibility thereof is to be made other than by Special Legal Counsel, (iv) payment of indemnification or reimbursement of expenses is not made pursuant to Section 5 or 6 or the last sentence of Section 10(a) of this Agreement within thirty (30) days after receipt by the Company of a written request therefor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42" w:name="page43"/>
    <w:bookmarkEnd w:id="42"/>
    <w:p>
      <w:pPr>
        <w:ind w:right="20"/>
        <w:spacing w:after="0" w:line="288" w:lineRule="auto"/>
        <w:rPr>
          <w:sz w:val="20"/>
          <w:szCs w:val="20"/>
          <w:color w:val="auto"/>
        </w:rPr>
      </w:pPr>
      <w:r>
        <w:rPr>
          <w:rFonts w:ascii="Arial" w:cs="Arial" w:eastAsia="Arial" w:hAnsi="Arial"/>
          <w:sz w:val="19"/>
          <w:szCs w:val="19"/>
          <w:color w:val="auto"/>
        </w:rPr>
        <w:t xml:space="preserve">(which shall include any invoices received by Indemnitee but, in the case of invoices in connection with legal services, any references to legal work performed or to expenditures made that would cause Indemnitee to waive any privilege accorded by applicable law need not be included with the invoice) or (v) payment of indemnification pursuant to Section 3 or 4 of this Agreement is not made within thirty (30) days after a determination has been made that Indemnitee is entitled to indemnification, Indemnitee shall be entitled to an adjudication by the Massachusetts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55" w:lineRule="exact"/>
        <w:rPr>
          <w:sz w:val="20"/>
          <w:szCs w:val="20"/>
          <w:color w:val="auto"/>
        </w:rPr>
      </w:pPr>
    </w:p>
    <w:p>
      <w:pPr>
        <w:ind w:right="60" w:firstLine="1305"/>
        <w:spacing w:after="0" w:line="300" w:lineRule="auto"/>
        <w:tabs>
          <w:tab w:leader="none" w:pos="1728"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47" w:lineRule="exact"/>
        <w:rPr>
          <w:rFonts w:ascii="Arial" w:cs="Arial" w:eastAsia="Arial" w:hAnsi="Arial"/>
          <w:sz w:val="19"/>
          <w:szCs w:val="19"/>
          <w:color w:val="auto"/>
        </w:rPr>
      </w:pPr>
    </w:p>
    <w:p>
      <w:pPr>
        <w:ind w:firstLine="1305"/>
        <w:spacing w:after="0" w:line="251" w:lineRule="auto"/>
        <w:tabs>
          <w:tab w:leader="none" w:pos="1716" w:val="left"/>
        </w:tabs>
        <w:numPr>
          <w:ilvl w:val="0"/>
          <w:numId w:val="20"/>
        </w:numPr>
        <w:rPr>
          <w:rFonts w:ascii="Arial" w:cs="Arial" w:eastAsia="Arial" w:hAnsi="Arial"/>
          <w:sz w:val="22"/>
          <w:szCs w:val="22"/>
          <w:color w:val="auto"/>
        </w:rPr>
      </w:pPr>
      <w:r>
        <w:rPr>
          <w:rFonts w:ascii="Arial" w:cs="Arial" w:eastAsia="Arial" w:hAnsi="Arial"/>
          <w:sz w:val="22"/>
          <w:szCs w:val="22"/>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9" w:lineRule="exact"/>
        <w:rPr>
          <w:rFonts w:ascii="Arial" w:cs="Arial" w:eastAsia="Arial" w:hAnsi="Arial"/>
          <w:sz w:val="22"/>
          <w:szCs w:val="22"/>
          <w:color w:val="auto"/>
        </w:rPr>
      </w:pPr>
    </w:p>
    <w:p>
      <w:pPr>
        <w:ind w:right="60" w:firstLine="1305"/>
        <w:spacing w:after="0" w:line="320" w:lineRule="auto"/>
        <w:tabs>
          <w:tab w:leader="none" w:pos="1728"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25" w:lineRule="exact"/>
        <w:rPr>
          <w:rFonts w:ascii="Arial" w:cs="Arial" w:eastAsia="Arial" w:hAnsi="Arial"/>
          <w:sz w:val="19"/>
          <w:szCs w:val="19"/>
          <w:color w:val="auto"/>
        </w:rPr>
      </w:pPr>
    </w:p>
    <w:p>
      <w:pPr>
        <w:ind w:right="60" w:firstLine="1305"/>
        <w:spacing w:after="0" w:line="262" w:lineRule="auto"/>
        <w:tabs>
          <w:tab w:leader="none" w:pos="1716"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43" w:name="page44"/>
    <w:bookmarkEnd w:id="43"/>
    <w:p>
      <w:pPr>
        <w:ind w:right="140"/>
        <w:spacing w:after="0" w:line="302" w:lineRule="auto"/>
        <w:rPr>
          <w:sz w:val="20"/>
          <w:szCs w:val="20"/>
          <w:color w:val="auto"/>
        </w:rPr>
      </w:pPr>
      <w:r>
        <w:rPr>
          <w:rFonts w:ascii="Arial" w:cs="Arial" w:eastAsia="Arial" w:hAnsi="Arial"/>
          <w:sz w:val="19"/>
          <w:szCs w:val="19"/>
          <w:color w:val="auto"/>
        </w:rPr>
        <w:t>invoices in connection with legal services, any references to legal work performed or to expenditures made that would cause Indemnitee to waive any privilege accorded by applicable law need not be included with the invoice. Indemnitee shall be required to reimburse all Enforcement Expenses advanced by the Company under this Section 12(e) in the event that a final judicial determination is made that such action brought by Indemnitee was frivolous or not made in good faith.</w:t>
      </w:r>
    </w:p>
    <w:p>
      <w:pPr>
        <w:spacing w:after="0" w:line="143" w:lineRule="exact"/>
        <w:rPr>
          <w:sz w:val="20"/>
          <w:szCs w:val="20"/>
          <w:color w:val="auto"/>
        </w:rPr>
      </w:pPr>
    </w:p>
    <w:p>
      <w:pPr>
        <w:ind w:right="240" w:firstLine="1305"/>
        <w:spacing w:after="0" w:line="260" w:lineRule="auto"/>
        <w:tabs>
          <w:tab w:leader="none" w:pos="1692" w:val="left"/>
        </w:tabs>
        <w:numPr>
          <w:ilvl w:val="0"/>
          <w:numId w:val="21"/>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Non-exclusivity; Survival of Rights; Insurance; Subrogation</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89" w:lineRule="auto"/>
        <w:tabs>
          <w:tab w:leader="none" w:pos="1716"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rights of indemnification and to receive advancement as provided by this Agreement shall not be deemed exclusive of any other rights to which Indemnitee may at any time be entitled under applicable law, the Charter, the Bylaws, any agreement, a vote of shareholders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Massachusetts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58" w:lineRule="exact"/>
        <w:rPr>
          <w:rFonts w:ascii="Arial" w:cs="Arial" w:eastAsia="Arial" w:hAnsi="Arial"/>
          <w:sz w:val="19"/>
          <w:szCs w:val="19"/>
          <w:color w:val="auto"/>
        </w:rPr>
      </w:pPr>
    </w:p>
    <w:p>
      <w:pPr>
        <w:ind w:right="20" w:firstLine="1305"/>
        <w:spacing w:after="0" w:line="259" w:lineRule="auto"/>
        <w:tabs>
          <w:tab w:leader="none" w:pos="1728"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Company shall purchase and maintain a policy or policies of liability insurance (“</w:t>
      </w:r>
      <w:r>
        <w:rPr>
          <w:rFonts w:ascii="Arial" w:cs="Arial" w:eastAsia="Arial" w:hAnsi="Arial"/>
          <w:sz w:val="21"/>
          <w:szCs w:val="21"/>
          <w:u w:val="single" w:color="auto"/>
          <w:color w:val="auto"/>
        </w:rPr>
        <w:t>D&amp;O Insurance</w:t>
      </w:r>
      <w:r>
        <w:rPr>
          <w:rFonts w:ascii="Arial" w:cs="Arial" w:eastAsia="Arial" w:hAnsi="Arial"/>
          <w:sz w:val="21"/>
          <w:szCs w:val="21"/>
          <w:color w:val="auto"/>
        </w:rPr>
        <w:t xml:space="preserve">”) on behalf of the Indemnitee, who is or was or has agreed to serve at the request of the Company as a director or officer of the Company, against any liability asserted against, and incurred by, Indemnitee or on Indemnitee’s behalf in such capacity, or arising out of Indemnitee’s status as such;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D&amp;O Insurance is available on commercially reasonable terms, conditions and premiums. If the Company has such insurance in effect at the time the Company receives from Indemnitee any written notice of the commencement of a proceeding, the Company shall give notice as soon as practicable of the commencement of such proceeding to the insurers in accordance with the procedures set forth in the policy. The Company shall thereafter take all commercially reasonable actions to cause such insurers to pay, on behalf of Indemnitee, all amounts payable as a result of such proceeding in accordance with the terms and conditions of such policy. In case of a “change in control” as defined in the then existing D&amp;O Insurance, the Company shall purchase extended reporting period D&amp;O Insurance (“</w:t>
      </w:r>
      <w:r>
        <w:rPr>
          <w:rFonts w:ascii="Arial" w:cs="Arial" w:eastAsia="Arial" w:hAnsi="Arial"/>
          <w:sz w:val="21"/>
          <w:szCs w:val="21"/>
          <w:u w:val="single" w:color="auto"/>
          <w:color w:val="auto"/>
        </w:rPr>
        <w:t>Tail Coverage</w:t>
      </w:r>
      <w:r>
        <w:rPr>
          <w:rFonts w:ascii="Arial" w:cs="Arial" w:eastAsia="Arial" w:hAnsi="Arial"/>
          <w:sz w:val="21"/>
          <w:szCs w:val="21"/>
          <w:color w:val="auto"/>
        </w:rPr>
        <w:t>”) for the benefit of Indemnitee with terms and conditions equivalent to the then existing D&amp;O Insurance. The Tail Coverage shall be for a period no less than six (6) years.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80"/>
          </w:cols>
          <w:pgMar w:left="240" w:top="375" w:right="279" w:bottom="1440" w:gutter="0" w:footer="0" w:header="0"/>
        </w:sectPr>
      </w:pPr>
    </w:p>
    <w:bookmarkStart w:id="44" w:name="page45"/>
    <w:bookmarkEnd w:id="44"/>
    <w:p>
      <w:pPr>
        <w:ind w:firstLine="1305"/>
        <w:spacing w:after="0" w:line="292" w:lineRule="auto"/>
        <w:tabs>
          <w:tab w:leader="none" w:pos="1716"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Company hereby agrees (i) that it is the indemnitor of first resort (i.e., its obligations to Indemnitee are primary and any obligation of any third party to advance expenses or to provide indemnification for the same expenses or liabilities incurred by Indemnitee are secondary), and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the Charter and the Bylaws (or any other agreement between the Company and Indemnitee), without regard to any rights Indemnitee may have against any third party. The Company further agrees that no advancement or payment by any third party on behalf of Indemnitee with respect to any claim for which Indemnitee has sought indemnification from the Company shall affect the foregoing.</w:t>
      </w:r>
    </w:p>
    <w:p>
      <w:pPr>
        <w:spacing w:after="0" w:line="155" w:lineRule="exact"/>
        <w:rPr>
          <w:rFonts w:ascii="Arial" w:cs="Arial" w:eastAsia="Arial" w:hAnsi="Arial"/>
          <w:sz w:val="19"/>
          <w:szCs w:val="19"/>
          <w:color w:val="auto"/>
        </w:rPr>
      </w:pPr>
    </w:p>
    <w:p>
      <w:pPr>
        <w:ind w:firstLine="1305"/>
        <w:spacing w:after="0" w:line="297" w:lineRule="auto"/>
        <w:tabs>
          <w:tab w:leader="none" w:pos="1728" w:val="left"/>
        </w:tabs>
        <w:numPr>
          <w:ilvl w:val="0"/>
          <w:numId w:val="23"/>
        </w:numPr>
        <w:rPr>
          <w:rFonts w:ascii="Arial" w:cs="Arial" w:eastAsia="Arial" w:hAnsi="Arial"/>
          <w:sz w:val="19"/>
          <w:szCs w:val="19"/>
          <w:color w:val="auto"/>
        </w:rPr>
      </w:pPr>
      <w:r>
        <w:rPr>
          <w:rFonts w:ascii="Arial" w:cs="Arial" w:eastAsia="Arial" w:hAnsi="Arial"/>
          <w:sz w:val="19"/>
          <w:szCs w:val="19"/>
          <w:color w:val="auto"/>
        </w:rPr>
        <w:t>Other than any liability insurance policy or indemnification undertaking separately paid for by or provided other than by the Company on behalf of the Indemnitee, in the event of any payment under this Agreement, the Company shall be subrogated to the extent of such payment to all of the rights of recovery (including, without limitation, under any insurance policy) of Indemnitee, who shall execute all papers required and take all action necessary to secure such rights, including execution of such documents as are necessary to enable the Company to bring suit to enforce such rights. The Company shall pay or reimburse all expenses actually and reasonably incurred by Indemnitee in connection with such subrogation.</w:t>
      </w:r>
    </w:p>
    <w:p>
      <w:pPr>
        <w:spacing w:after="0" w:line="146" w:lineRule="exact"/>
        <w:rPr>
          <w:rFonts w:ascii="Arial" w:cs="Arial" w:eastAsia="Arial" w:hAnsi="Arial"/>
          <w:sz w:val="19"/>
          <w:szCs w:val="19"/>
          <w:color w:val="auto"/>
        </w:rPr>
      </w:pPr>
    </w:p>
    <w:p>
      <w:pPr>
        <w:ind w:right="140" w:firstLine="1305"/>
        <w:spacing w:after="0" w:line="307" w:lineRule="auto"/>
        <w:tabs>
          <w:tab w:leader="none" w:pos="1716"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 provided, that the foregoing shall not affect the rights of Indemnitee set forth in paragraph (c) above.</w:t>
      </w:r>
    </w:p>
    <w:p>
      <w:pPr>
        <w:spacing w:after="0" w:line="138"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Section 14. </w:t>
      </w:r>
      <w:r>
        <w:rPr>
          <w:rFonts w:ascii="Arial" w:cs="Arial" w:eastAsia="Arial" w:hAnsi="Arial"/>
          <w:sz w:val="21"/>
          <w:szCs w:val="21"/>
          <w:u w:val="single" w:color="auto"/>
          <w:color w:val="auto"/>
        </w:rPr>
        <w:t>Duration of Agreement</w:t>
      </w:r>
      <w:r>
        <w:rPr>
          <w:rFonts w:ascii="Arial" w:cs="Arial" w:eastAsia="Arial" w:hAnsi="Arial"/>
          <w:sz w:val="21"/>
          <w:szCs w:val="21"/>
          <w:color w:val="auto"/>
        </w:rPr>
        <w:t>. This Agreement shall continue until and terminate upon the later of: (a) ten (10) years after the date that Indemnitee shall have ceased to serve as a [</w:t>
      </w:r>
      <w:r>
        <w:rPr>
          <w:rFonts w:ascii="Arial" w:cs="Arial" w:eastAsia="Arial" w:hAnsi="Arial"/>
          <w:sz w:val="21"/>
          <w:szCs w:val="21"/>
          <w:b w:val="1"/>
          <w:bCs w:val="1"/>
          <w:color w:val="auto"/>
        </w:rPr>
        <w:t>director/officer</w:t>
      </w:r>
      <w:r>
        <w:rPr>
          <w:rFonts w:ascii="Arial" w:cs="Arial" w:eastAsia="Arial" w:hAnsi="Arial"/>
          <w:sz w:val="21"/>
          <w:szCs w:val="21"/>
          <w:color w:val="auto"/>
        </w:rPr>
        <w:t>]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0" w:lineRule="exact"/>
        <w:rPr>
          <w:sz w:val="20"/>
          <w:szCs w:val="20"/>
          <w:color w:val="auto"/>
        </w:rPr>
      </w:pPr>
    </w:p>
    <w:p>
      <w:pPr>
        <w:ind w:right="20" w:firstLine="648"/>
        <w:spacing w:after="0" w:line="260"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or provisions of this Agreement shall be held to be invalid, illegal or unenforceable for any reason whatsoever: (a) the validity, legality and enforceability of the remaining provisions of this Agreement (including, without limitation,</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40" w:top="375" w:right="279" w:bottom="1440" w:gutter="0" w:footer="0" w:header="0"/>
        </w:sectPr>
      </w:pPr>
    </w:p>
    <w:bookmarkStart w:id="45" w:name="page46"/>
    <w:bookmarkEnd w:id="45"/>
    <w:p>
      <w:pPr>
        <w:ind w:right="100"/>
        <w:spacing w:after="0" w:line="260" w:lineRule="auto"/>
        <w:rPr>
          <w:sz w:val="20"/>
          <w:szCs w:val="20"/>
          <w:color w:val="auto"/>
        </w:rPr>
      </w:pPr>
      <w:r>
        <w:rPr>
          <w:rFonts w:ascii="Arial" w:cs="Arial" w:eastAsia="Arial" w:hAnsi="Arial"/>
          <w:sz w:val="21"/>
          <w:szCs w:val="21"/>
          <w:color w:val="auto"/>
        </w:rPr>
        <w:t>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Enforcement</w:t>
      </w:r>
      <w:r>
        <w:rPr>
          <w:rFonts w:ascii="Arial" w:cs="Arial" w:eastAsia="Arial" w:hAnsi="Arial"/>
          <w:sz w:val="19"/>
          <w:szCs w:val="19"/>
          <w:color w:val="auto"/>
        </w:rPr>
        <w:t>.</w:t>
      </w:r>
    </w:p>
    <w:p>
      <w:pPr>
        <w:spacing w:after="0" w:line="233" w:lineRule="exact"/>
        <w:rPr>
          <w:sz w:val="20"/>
          <w:szCs w:val="20"/>
          <w:color w:val="auto"/>
        </w:rPr>
      </w:pPr>
    </w:p>
    <w:p>
      <w:pPr>
        <w:ind w:right="80" w:firstLine="1305"/>
        <w:spacing w:after="0" w:line="254" w:lineRule="auto"/>
        <w:tabs>
          <w:tab w:leader="none" w:pos="1716"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Company expressly confirms and agrees that it has entered into this Agreement and assumed the obligations imposed on it hereby in order to induce Indemnitee to serve, or continue to serve, as a director or officer of the Company, and the Company acknowledges that Indemnitee is relying upon this Agreement in serving as a director or officer of the Company.</w:t>
      </w:r>
    </w:p>
    <w:p>
      <w:pPr>
        <w:spacing w:after="0" w:line="185" w:lineRule="exact"/>
        <w:rPr>
          <w:rFonts w:ascii="Arial" w:cs="Arial" w:eastAsia="Arial" w:hAnsi="Arial"/>
          <w:sz w:val="22"/>
          <w:szCs w:val="22"/>
          <w:color w:val="auto"/>
        </w:rPr>
      </w:pPr>
    </w:p>
    <w:p>
      <w:pPr>
        <w:ind w:right="40" w:firstLine="1305"/>
        <w:spacing w:after="0" w:line="307" w:lineRule="auto"/>
        <w:tabs>
          <w:tab w:leader="none" w:pos="1728"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Agreement is a supplement to and in furtherance of the Charter, the Bylaws and applicable law, and shall not be deemed a substitute therefor, nor to diminish or abrogate any rights of Indemnitee thereunder.</w:t>
      </w:r>
    </w:p>
    <w:p>
      <w:pPr>
        <w:spacing w:after="0" w:line="138"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Modification and Waiver</w:t>
      </w:r>
      <w:r>
        <w:rPr>
          <w:rFonts w:ascii="Arial" w:cs="Arial" w:eastAsia="Arial" w:hAnsi="Arial"/>
          <w:sz w:val="22"/>
          <w:szCs w:val="22"/>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88" w:lineRule="exact"/>
        <w:rPr>
          <w:sz w:val="20"/>
          <w:szCs w:val="20"/>
          <w:color w:val="auto"/>
        </w:rPr>
      </w:pPr>
    </w:p>
    <w:p>
      <w:pPr>
        <w:ind w:firstLine="648"/>
        <w:spacing w:after="0" w:line="307" w:lineRule="auto"/>
        <w:rPr>
          <w:sz w:val="20"/>
          <w:szCs w:val="20"/>
          <w:color w:val="auto"/>
        </w:rPr>
      </w:pPr>
      <w:r>
        <w:rPr>
          <w:rFonts w:ascii="Arial" w:cs="Arial" w:eastAsia="Arial" w:hAnsi="Arial"/>
          <w:sz w:val="19"/>
          <w:szCs w:val="19"/>
          <w:color w:val="auto"/>
        </w:rPr>
        <w:t xml:space="preserve">Section 18. </w:t>
      </w:r>
      <w:r>
        <w:rPr>
          <w:rFonts w:ascii="Arial" w:cs="Arial" w:eastAsia="Arial" w:hAnsi="Arial"/>
          <w:sz w:val="19"/>
          <w:szCs w:val="19"/>
          <w:u w:val="single" w:color="auto"/>
          <w:color w:val="auto"/>
        </w:rPr>
        <w:t>Notice by Indemnitee</w:t>
      </w:r>
      <w:r>
        <w:rPr>
          <w:rFonts w:ascii="Arial" w:cs="Arial" w:eastAsia="Arial" w:hAnsi="Arial"/>
          <w:sz w:val="19"/>
          <w:szCs w:val="19"/>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shall not relieve the Company of any obligation which it may have to Indemnitee under this Agreement or otherwise.</w:t>
      </w:r>
    </w:p>
    <w:p>
      <w:pPr>
        <w:spacing w:after="0" w:line="138" w:lineRule="exact"/>
        <w:rPr>
          <w:sz w:val="20"/>
          <w:szCs w:val="20"/>
          <w:color w:val="auto"/>
        </w:rPr>
      </w:pPr>
    </w:p>
    <w:p>
      <w:pPr>
        <w:ind w:right="160" w:firstLine="648"/>
        <w:spacing w:after="0" w:line="270" w:lineRule="auto"/>
        <w:rPr>
          <w:sz w:val="20"/>
          <w:szCs w:val="20"/>
          <w:color w:val="auto"/>
        </w:rPr>
      </w:pPr>
      <w:r>
        <w:rPr>
          <w:rFonts w:ascii="Arial" w:cs="Arial" w:eastAsia="Arial" w:hAnsi="Arial"/>
          <w:sz w:val="21"/>
          <w:szCs w:val="21"/>
          <w:color w:val="auto"/>
        </w:rPr>
        <w:t xml:space="preserve">Section 19.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or (iii) mailed by reputable overnight courier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375" w:right="25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and receipted for by the party to whom said notice or other communication shall have been directed:</w:t>
      </w:r>
    </w:p>
    <w:p>
      <w:pPr>
        <w:spacing w:after="0" w:line="220" w:lineRule="exact"/>
        <w:rPr>
          <w:sz w:val="20"/>
          <w:szCs w:val="20"/>
          <w:color w:val="auto"/>
        </w:rPr>
      </w:pPr>
    </w:p>
    <w:p>
      <w:pPr>
        <w:ind w:left="1720" w:hanging="415"/>
        <w:spacing w:after="0"/>
        <w:tabs>
          <w:tab w:leader="none" w:pos="17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to Indemnitee, at such address as Indemnitee shall provide to the Company.</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Haemonetics Corporation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400 Wood Road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Braintree, MA 02184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or to any other address as may have been furnished to Indemnitee by the Company.</w:t>
      </w:r>
    </w:p>
    <w:p>
      <w:pPr>
        <w:spacing w:after="0" w:line="220"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Section 20. </w:t>
      </w:r>
      <w:r>
        <w:rPr>
          <w:rFonts w:ascii="Arial" w:cs="Arial" w:eastAsia="Arial" w:hAnsi="Arial"/>
          <w:sz w:val="19"/>
          <w:szCs w:val="19"/>
          <w:u w:val="single" w:color="auto"/>
          <w:color w:val="auto"/>
        </w:rPr>
        <w:t>Contribution</w:t>
      </w:r>
      <w:r>
        <w:rPr>
          <w:rFonts w:ascii="Arial" w:cs="Arial" w:eastAsia="Arial" w:hAnsi="Arial"/>
          <w:sz w:val="19"/>
          <w:szCs w:val="19"/>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52" w:lineRule="exact"/>
        <w:rPr>
          <w:sz w:val="20"/>
          <w:szCs w:val="20"/>
          <w:color w:val="auto"/>
        </w:rPr>
      </w:pPr>
    </w:p>
    <w:p>
      <w:pPr>
        <w:ind w:firstLine="648"/>
        <w:spacing w:after="0" w:line="262"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21"/>
          <w:szCs w:val="21"/>
          <w:u w:val="single" w:color="auto"/>
          <w:color w:val="auto"/>
        </w:rPr>
        <w:t>Internal Revenue Code Section 409A</w:t>
      </w:r>
      <w:r>
        <w:rPr>
          <w:rFonts w:ascii="Arial" w:cs="Arial" w:eastAsia="Arial" w:hAnsi="Arial"/>
          <w:sz w:val="21"/>
          <w:szCs w:val="21"/>
          <w:color w:val="auto"/>
        </w:rPr>
        <w:t>. The Company intends for this Agreement to comply with the Indemnification exception under Section 1.409A-1(b)(10) of the regulations promulgated under the Internal Revenue Code of 1986, as amended (the “</w:t>
      </w:r>
      <w:r>
        <w:rPr>
          <w:rFonts w:ascii="Arial" w:cs="Arial" w:eastAsia="Arial" w:hAnsi="Arial"/>
          <w:sz w:val="21"/>
          <w:szCs w:val="21"/>
          <w:u w:val="single" w:color="auto"/>
          <w:color w:val="auto"/>
        </w:rPr>
        <w:t>Code</w:t>
      </w:r>
      <w:r>
        <w:rPr>
          <w:rFonts w:ascii="Arial" w:cs="Arial" w:eastAsia="Arial" w:hAnsi="Arial"/>
          <w:sz w:val="21"/>
          <w:szCs w:val="21"/>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capacity as a service provider of the Company. The parties intend that this Agreement be interpreted and construed with such intent.</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Applicable Law and Consent to Jurisdiction</w:t>
      </w:r>
      <w:r>
        <w:rPr>
          <w:rFonts w:ascii="Arial" w:cs="Arial" w:eastAsia="Arial" w:hAnsi="Arial"/>
          <w:sz w:val="21"/>
          <w:szCs w:val="21"/>
          <w:color w:val="auto"/>
        </w:rPr>
        <w:t>. This Agreement and the legal relations among the parties shall be governed by, and construed and enforced in accordance with, the laws of the Commonwealth of Massachusetts,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Massachusetts Superior Court and, to the extent available, the Business Litigation Session (or any successor session) thereof (the “</w:t>
      </w:r>
      <w:r>
        <w:rPr>
          <w:rFonts w:ascii="Arial" w:cs="Arial" w:eastAsia="Arial" w:hAnsi="Arial"/>
          <w:sz w:val="21"/>
          <w:szCs w:val="21"/>
          <w:u w:val="single" w:color="auto"/>
          <w:color w:val="auto"/>
        </w:rPr>
        <w:t>Massachusetts Court</w:t>
      </w:r>
      <w:r>
        <w:rPr>
          <w:rFonts w:ascii="Arial" w:cs="Arial" w:eastAsia="Arial" w:hAnsi="Arial"/>
          <w:sz w:val="21"/>
          <w:szCs w:val="21"/>
          <w:color w:val="auto"/>
        </w:rPr>
        <w:t>”), and not in any other state or federal court in the United States of America or any court in any other country, (ii) consent to submit to the exclusive jurisdiction of the Massachusetts Court for purposes of any</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75" w:right="239" w:bottom="1440" w:gutter="0" w:footer="0" w:header="0"/>
        </w:sectPr>
      </w:pPr>
    </w:p>
    <w:bookmarkStart w:id="47" w:name="page48"/>
    <w:bookmarkEnd w:id="47"/>
    <w:p>
      <w:pPr>
        <w:ind w:right="60"/>
        <w:spacing w:after="0" w:line="263" w:lineRule="auto"/>
        <w:rPr>
          <w:sz w:val="20"/>
          <w:szCs w:val="20"/>
          <w:color w:val="auto"/>
        </w:rPr>
      </w:pPr>
      <w:r>
        <w:rPr>
          <w:rFonts w:ascii="Arial" w:cs="Arial" w:eastAsia="Arial" w:hAnsi="Arial"/>
          <w:sz w:val="21"/>
          <w:szCs w:val="21"/>
          <w:color w:val="auto"/>
        </w:rPr>
        <w:t>action or proceeding arising out of or in connection with this Agreement, (iii) consent to service of process at the address set forth in Section 19 of this Agreement with the same legal force and validity as if served upon such party personally within the Commonwealth of Massachusetts, (iv) waive any objection to the laying of venue of any such action or proceeding in the Massachusetts Court, and (v) waive, and agree not to plead or to make, any claim that any such action or proceeding brought in the Massachusetts Court has been brought in an improper or inconvenient forum.</w:t>
      </w:r>
    </w:p>
    <w:p>
      <w:pPr>
        <w:spacing w:after="0" w:line="176"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paragraphs of this Agreement are inserted for convenience only and shall not be deemed to constitute part of this Agreement or to affect the construction thereof.</w:t>
      </w:r>
    </w:p>
    <w:p>
      <w:pPr>
        <w:spacing w:after="0" w:line="161" w:lineRule="exact"/>
        <w:rPr>
          <w:sz w:val="20"/>
          <w:szCs w:val="20"/>
          <w:color w:val="auto"/>
        </w:rPr>
      </w:pPr>
    </w:p>
    <w:p>
      <w:pPr>
        <w:ind w:right="120" w:firstLine="648"/>
        <w:spacing w:after="0" w:line="254"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Identical Counterparts</w:t>
      </w:r>
      <w:r>
        <w:rPr>
          <w:rFonts w:ascii="Arial" w:cs="Arial" w:eastAsia="Arial" w:hAnsi="Arial"/>
          <w:sz w:val="22"/>
          <w:szCs w:val="22"/>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375" w:right="259" w:bottom="1440" w:gutter="0" w:footer="0" w:header="0"/>
        </w:sectPr>
      </w:pPr>
    </w:p>
    <w:bookmarkStart w:id="48" w:name="page49"/>
    <w:bookmarkEnd w:id="48"/>
    <w:p>
      <w:pPr>
        <w:spacing w:after="0"/>
        <w:rPr>
          <w:sz w:val="20"/>
          <w:szCs w:val="20"/>
          <w:color w:val="auto"/>
        </w:rPr>
      </w:pPr>
      <w:r>
        <w:rPr>
          <w:rFonts w:ascii="Arial" w:cs="Arial" w:eastAsia="Arial" w:hAnsi="Arial"/>
          <w:sz w:val="19"/>
          <w:szCs w:val="19"/>
          <w:color w:val="auto"/>
        </w:rPr>
        <w:t>IN WITNESS WHEREOF, the parties have caused this Agreement to be signed as of the day and year first above written.</w:t>
      </w:r>
    </w:p>
    <w:p>
      <w:pPr>
        <w:sectPr>
          <w:pgSz w:w="11900" w:h="16838" w:orient="portrait"/>
          <w:cols w:equalWidth="0" w:num="1">
            <w:col w:w="10520"/>
          </w:cols>
          <w:pgMar w:left="900" w:top="847" w:right="479" w:bottom="1440" w:gutter="0" w:footer="0" w:header="0"/>
        </w:sectPr>
      </w:pP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By: __________________________</w:t>
      </w:r>
    </w:p>
    <w:p>
      <w:pPr>
        <w:spacing w:after="0" w:line="33"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Name: ________________________</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Title: 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______________________________</w:t>
      </w:r>
    </w:p>
    <w:p>
      <w:pPr>
        <w:spacing w:after="0" w:line="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of Indemnitee]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[Signature Page to Indemnification Agreement]</w:t>
      </w:r>
    </w:p>
    <w:p>
      <w:pPr>
        <w:sectPr>
          <w:pgSz w:w="11900" w:h="16838" w:orient="portrait"/>
          <w:cols w:equalWidth="0" w:num="1">
            <w:col w:w="10520"/>
          </w:cols>
          <w:pgMar w:left="900" w:top="847" w:right="479" w:bottom="1440" w:gutter="0" w:footer="0" w:header="0"/>
          <w:type w:val="continuous"/>
        </w:sectPr>
      </w:pPr>
    </w:p>
    <w:bookmarkStart w:id="49" w:name="page50"/>
    <w:bookmarkEnd w:id="49"/>
    <w:p>
      <w:pPr>
        <w:jc w:val="center"/>
        <w:ind w:right="-99"/>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Form of Undertaking</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 and address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 </w:t>
      </w:r>
      <w:r>
        <w:rPr>
          <w:rFonts w:ascii="Arial" w:cs="Arial" w:eastAsia="Arial" w:hAnsi="Arial"/>
          <w:sz w:val="22"/>
          <w:szCs w:val="22"/>
          <w:b w:val="1"/>
          <w:bCs w:val="1"/>
          <w:u w:val="single" w:color="auto"/>
          <w:color w:val="auto"/>
        </w:rPr>
        <w:t>Request for Advancement of Expenses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Reference is made to the Indemnification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by and between ________________ (the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and the undersigned, ________ (“</w:t>
      </w:r>
      <w:r>
        <w:rPr>
          <w:rFonts w:ascii="Arial" w:cs="Arial" w:eastAsia="Arial" w:hAnsi="Arial"/>
          <w:sz w:val="19"/>
          <w:szCs w:val="19"/>
          <w:u w:val="single" w:color="auto"/>
          <w:color w:val="auto"/>
        </w:rPr>
        <w:t>Indemnitee</w:t>
      </w:r>
      <w:r>
        <w:rPr>
          <w:rFonts w:ascii="Arial" w:cs="Arial" w:eastAsia="Arial" w:hAnsi="Arial"/>
          <w:sz w:val="19"/>
          <w:szCs w:val="19"/>
          <w:color w:val="auto"/>
        </w:rPr>
        <w:t>”). Capitalized terms not defined herein shall have those meanings as set</w:t>
      </w:r>
    </w:p>
    <w:p>
      <w:pPr>
        <w:spacing w:after="0" w:line="38" w:lineRule="exact"/>
        <w:rPr>
          <w:sz w:val="20"/>
          <w:szCs w:val="20"/>
          <w:color w:val="auto"/>
        </w:rPr>
      </w:pPr>
    </w:p>
    <w:p>
      <w:pPr>
        <w:ind w:right="40"/>
        <w:spacing w:after="0" w:line="323" w:lineRule="auto"/>
        <w:rPr>
          <w:sz w:val="20"/>
          <w:szCs w:val="20"/>
          <w:color w:val="auto"/>
        </w:rPr>
      </w:pPr>
      <w:r>
        <w:rPr>
          <w:rFonts w:ascii="Arial" w:cs="Arial" w:eastAsia="Arial" w:hAnsi="Arial"/>
          <w:sz w:val="19"/>
          <w:szCs w:val="19"/>
          <w:color w:val="auto"/>
        </w:rPr>
        <w:t>forth in the Agreement. Pursuant to Section 8 of the Agreement, Indemnitee hereby requests advancement of Expenses incurred as a result of Indemnitee being, or being threatened to be made, a party in the following Proceeding(s): ______________________.</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accordance with Section 8 of the Agreement, Indemnitee hereby:</w:t>
      </w:r>
    </w:p>
    <w:p>
      <w:pPr>
        <w:spacing w:after="0" w:line="220"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affirms [his/her] good faith belief that [he/she] is entitled to indemnification under the Agreement; and</w:t>
      </w:r>
    </w:p>
    <w:p>
      <w:pPr>
        <w:spacing w:after="0" w:line="233" w:lineRule="exact"/>
        <w:rPr>
          <w:rFonts w:ascii="Arial" w:cs="Arial" w:eastAsia="Arial" w:hAnsi="Arial"/>
          <w:sz w:val="22"/>
          <w:szCs w:val="22"/>
          <w:color w:val="auto"/>
        </w:rPr>
      </w:pPr>
    </w:p>
    <w:p>
      <w:pPr>
        <w:ind w:left="3900" w:right="200" w:hanging="3244"/>
        <w:spacing w:after="0" w:line="481" w:lineRule="auto"/>
        <w:tabs>
          <w:tab w:leader="none" w:pos="1091" w:val="left"/>
        </w:tabs>
        <w:numPr>
          <w:ilvl w:val="0"/>
          <w:numId w:val="26"/>
        </w:numPr>
        <w:rPr>
          <w:rFonts w:ascii="Arial" w:cs="Arial" w:eastAsia="Arial" w:hAnsi="Arial"/>
          <w:sz w:val="22"/>
          <w:szCs w:val="22"/>
          <w:color w:val="auto"/>
        </w:rPr>
      </w:pPr>
      <w:r>
        <w:rPr>
          <w:rFonts w:ascii="Arial" w:cs="Arial" w:eastAsia="Arial" w:hAnsi="Arial"/>
          <w:sz w:val="22"/>
          <w:szCs w:val="22"/>
          <w:color w:val="auto"/>
        </w:rPr>
        <w:t>undertakes to repay the advancement of Expenses if [he/she] is not entitled to indemnification under the Agreement. Very truly yours,</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 Indemnitee</w:t>
      </w:r>
    </w:p>
    <w:p>
      <w:pPr>
        <w:sectPr>
          <w:pgSz w:w="11900" w:h="16838" w:orient="portrait"/>
          <w:cols w:equalWidth="0" w:num="1">
            <w:col w:w="11340"/>
          </w:cols>
          <w:pgMar w:left="240" w:top="841" w:right="3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Simon, certify that:</w:t>
      </w:r>
    </w:p>
    <w:p>
      <w:pPr>
        <w:spacing w:after="0" w:line="11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11/6/2018</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Simon, President and Chief Executive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0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11/6/2018</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September 29, 2018 as filed with the Securities and Exchange Commission on the date hereof (the “Report”), I, Christopher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11/6/2018</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September 29, 2018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11/6/2018</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Burke,</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2"/>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lvl w:ilvl="1">
      <w:lvlJc w:val="left"/>
      <w:lvlText w:val="(%2)"/>
      <w:numFmt w:val="lowerRoman"/>
      <w:start w:val="3"/>
    </w:lvl>
  </w:abstractNum>
  <w:abstractNum w:abstractNumId="12">
    <w:nsid w:val="436C6125"/>
    <w:multiLevelType w:val="hybridMultilevel"/>
    <w:lvl w:ilvl="0">
      <w:lvlJc w:val="left"/>
      <w:lvlText w:val="(%1)"/>
      <w:numFmt w:val="lowerLetter"/>
      <w:start w:val="1"/>
    </w:lvl>
    <w:lvl w:ilvl="1">
      <w:lvlJc w:val="left"/>
      <w:lvlText w:val="(%2)"/>
      <w:numFmt w:val="lowerRoman"/>
      <w:start w:val="1"/>
    </w:lvl>
  </w:abstractNum>
  <w:abstractNum w:abstractNumId="13">
    <w:nsid w:val="628C895D"/>
    <w:multiLevelType w:val="hybridMultilevel"/>
    <w:lvl w:ilvl="0">
      <w:lvlJc w:val="left"/>
      <w:lvlText w:val="(%1)"/>
      <w:numFmt w:val="lowerLetter"/>
      <w:start w:val="3"/>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lowerLetter"/>
      <w:start w:val="2"/>
    </w:lvl>
  </w:abstractNum>
  <w:abstractNum w:abstractNumId="20">
    <w:nsid w:val="8EDBDAB"/>
    <w:multiLevelType w:val="hybridMultilevel"/>
    <w:lvl w:ilvl="0">
      <w:lvlJc w:val="left"/>
      <w:lvlText w:val="(%1)"/>
      <w:numFmt w:val="lowerLetter"/>
      <w:start w:val="6"/>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3"/>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2019-12-28T18:41:16Z</dcterms:created>
  <dcterms:modified xsi:type="dcterms:W3CDTF">2019-12-28T18:41:16Z</dcterms:modified>
</cp:coreProperties>
</file>