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DArecca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 SUMMER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HAEMONETICS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59.26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27,637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tax obligations in connection with the vesting of certain restricted stock units ("RSUs") previously reported in Table I.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number includes unvested RSUs previously reported.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V. Powers, attorney-in-fact for Mr. D'Arecca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3903" TargetMode="External"/><Relationship Id="rId5" Type="http://schemas.openxmlformats.org/officeDocument/2006/relationships/hyperlink" Target="http://www.sec.gov/cgi-bin/browse-edgar?action=getcompany&amp;CIK=00003131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3247</Characters>
  <CharactersWithSpaces>3781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