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2"/>
        </w:rPr>
        <w:t xml:space="preserve">Date of Report (Date of earliest event reported): </w:t>
      </w:r>
      <w:r>
        <w:rPr>
          <w:rFonts w:ascii="Times New Roman;serif" w:hAnsi="Times New Roman;serif"/>
          <w:b/>
          <w:color w:val="000000"/>
          <w:sz w:val="22"/>
        </w:rPr>
        <w:t xml:space="preserve">August 6,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HAEMONETICS CORPORATION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47" w:type="dxa"/>
        <w:jc w:val="center"/>
        <w:tblInd w:w="0" w:type="dxa"/>
        <w:tblLayout w:type="fixed"/>
        <w:tblCellMar>
          <w:top w:w="28" w:type="dxa"/>
          <w:left w:w="28" w:type="dxa"/>
          <w:bottom w:w="28" w:type="dxa"/>
          <w:right w:w="28" w:type="dxa"/>
        </w:tblCellMar>
      </w:tblPr>
      <w:tblGrid>
        <w:gridCol w:w="814"/>
        <w:gridCol w:w="717"/>
        <w:gridCol w:w="719"/>
        <w:gridCol w:w="109"/>
        <w:gridCol w:w="109"/>
        <w:gridCol w:w="109"/>
        <w:gridCol w:w="762"/>
        <w:gridCol w:w="762"/>
        <w:gridCol w:w="770"/>
        <w:gridCol w:w="109"/>
        <w:gridCol w:w="109"/>
        <w:gridCol w:w="109"/>
        <w:gridCol w:w="481"/>
        <w:gridCol w:w="481"/>
        <w:gridCol w:w="687"/>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001-14041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04-2882273</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125 Summer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Boston, MA 02110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120" w:after="24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781-848-7100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1650"/>
        <w:gridCol w:w="1447"/>
        <w:gridCol w:w="1447"/>
        <w:gridCol w:w="1989"/>
        <w:gridCol w:w="1514"/>
        <w:gridCol w:w="2158"/>
      </w:tblGrid>
      <w:tr>
        <w:trPr/>
        <w:tc>
          <w:tcPr>
            <w:tcW w:w="1650"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685" w:type="dxa"/>
        <w:jc w:val="center"/>
        <w:tblInd w:w="0" w:type="dxa"/>
        <w:tblLayout w:type="fixed"/>
        <w:tblCellMar>
          <w:top w:w="28" w:type="dxa"/>
          <w:left w:w="28" w:type="dxa"/>
          <w:bottom w:w="28" w:type="dxa"/>
          <w:right w:w="28" w:type="dxa"/>
        </w:tblCellMar>
      </w:tblPr>
      <w:tblGrid>
        <w:gridCol w:w="1218"/>
        <w:gridCol w:w="1071"/>
        <w:gridCol w:w="1071"/>
        <w:gridCol w:w="540"/>
        <w:gridCol w:w="540"/>
        <w:gridCol w:w="540"/>
        <w:gridCol w:w="1085"/>
        <w:gridCol w:w="1085"/>
        <w:gridCol w:w="1535"/>
      </w:tblGrid>
      <w:tr>
        <w:trPr/>
        <w:tc>
          <w:tcPr>
            <w:tcW w:w="121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6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3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36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 per share</w:t>
            </w:r>
          </w:p>
        </w:tc>
        <w:tc>
          <w:tcPr>
            <w:tcW w:w="162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HAE</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tbl>
      <w:tblPr>
        <w:tblW w:w="10205" w:type="dxa"/>
        <w:jc w:val="center"/>
        <w:tblInd w:w="0" w:type="dxa"/>
        <w:tblLayout w:type="fixed"/>
        <w:tblCellMar>
          <w:top w:w="28" w:type="dxa"/>
          <w:left w:w="28" w:type="dxa"/>
          <w:bottom w:w="28" w:type="dxa"/>
          <w:right w:w="28" w:type="dxa"/>
        </w:tblCellMar>
      </w:tblPr>
      <w:tblGrid>
        <w:gridCol w:w="1777"/>
        <w:gridCol w:w="1549"/>
        <w:gridCol w:w="1549"/>
        <w:gridCol w:w="1549"/>
        <w:gridCol w:w="1549"/>
        <w:gridCol w:w="2232"/>
      </w:tblGrid>
      <w:tr>
        <w:trPr/>
        <w:tc>
          <w:tcPr>
            <w:tcW w:w="177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231F2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231F2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2.02 Results of Operations and Financial Condition.</w:t>
      </w:r>
      <w:r>
        <w:rPr>
          <w:color w:val="000000"/>
        </w:rPr>
        <w: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August 6, 2026, Haemonetics Corporation issued a press release announcing financial results for the first quarter ended June 27, 2026. A copy of the press release is furnished as Exhibit 99.1 to this Current Report on Form 8-K.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foregoing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12"/>
        <w:gridCol w:w="363"/>
        <w:gridCol w:w="365"/>
        <w:gridCol w:w="109"/>
        <w:gridCol w:w="109"/>
        <w:gridCol w:w="109"/>
        <w:gridCol w:w="2546"/>
        <w:gridCol w:w="2546"/>
        <w:gridCol w:w="3646"/>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991-fy27q1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of Haemonetics Corporation dated August 6, 2026 announcing financial results for the first quarter ended June 27, 2026.</w:t>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6913"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511"/>
        <w:gridCol w:w="511"/>
        <w:gridCol w:w="511"/>
        <w:gridCol w:w="907"/>
        <w:gridCol w:w="907"/>
        <w:gridCol w:w="921"/>
        <w:gridCol w:w="139"/>
        <w:gridCol w:w="139"/>
        <w:gridCol w:w="19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HAEMONETICS CORPORATION</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Christopher A. Simon </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A. Simon</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2933700" cy="6762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933700" cy="676275"/>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914" w:type="dxa"/>
        <w:jc w:val="center"/>
        <w:tblInd w:w="0" w:type="dxa"/>
        <w:tblLayout w:type="fixed"/>
        <w:tblCellMar>
          <w:top w:w="28" w:type="dxa"/>
          <w:left w:w="28" w:type="dxa"/>
          <w:bottom w:w="28" w:type="dxa"/>
          <w:right w:w="28" w:type="dxa"/>
        </w:tblCellMar>
      </w:tblPr>
      <w:tblGrid>
        <w:gridCol w:w="1928"/>
        <w:gridCol w:w="1692"/>
        <w:gridCol w:w="1704"/>
        <w:gridCol w:w="1512"/>
        <w:gridCol w:w="1269"/>
        <w:gridCol w:w="1809"/>
      </w:tblGrid>
      <w:tr>
        <w:trPr/>
        <w:tc>
          <w:tcPr>
            <w:tcW w:w="1928"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99.1</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Investor Contacts</w:t>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Media Contact</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Olga Guyette, Vice President-Investor Relations &amp; Treasury</w:t>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Josh Gitelson, Sr. Director-Global Communications</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(781) 356-9763</w:t>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(781) 356-9776</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olga.guyette@haemonetics.com</w:t>
            </w:r>
          </w:p>
        </w:tc>
        <w:tc>
          <w:tcPr>
            <w:tcW w:w="4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josh.gitelson@haemonetics.com</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Trenk, Sr. Manager-Investor Relations</w:t>
            </w:r>
          </w:p>
        </w:tc>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 733-4987</w:t>
            </w:r>
          </w:p>
        </w:tc>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david.trenk@haemonetics.com</w:t>
            </w:r>
          </w:p>
        </w:tc>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8"/>
          <w:shd w:fill="FFFFFF" w:val="clear"/>
        </w:rPr>
        <w:t>Haemonetics R</w:t>
      </w:r>
      <w:r>
        <w:rPr>
          <w:rFonts w:ascii="Times New Roman;serif" w:hAnsi="Times New Roman;serif"/>
          <w:b/>
          <w:color w:val="000000"/>
          <w:sz w:val="28"/>
        </w:rPr>
        <w:t>eports First Quarter Fiscal 2027 Results;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Raises Total Company Fiscal 2027 Guidance</w:t>
      </w:r>
    </w:p>
    <w:p>
      <w:pPr>
        <w:pStyle w:val="TextBody"/>
        <w:bidi w:val="0"/>
        <w:spacing w:before="0" w:after="0"/>
        <w:jc w:val="center"/>
        <w:rPr/>
      </w:pPr>
      <w:r>
        <w:rPr/>
      </w:r>
    </w:p>
    <w:p>
      <w:pPr>
        <w:pStyle w:val="TextBody"/>
        <w:bidi w:val="0"/>
        <w:spacing w:lineRule="auto" w:line="288" w:before="0" w:after="180"/>
        <w:jc w:val="both"/>
        <w:rPr/>
      </w:pPr>
      <w:r>
        <w:rPr>
          <w:rFonts w:ascii="Times New Roman;serif" w:hAnsi="Times New Roman;serif"/>
          <w:b/>
          <w:color w:val="000000"/>
          <w:sz w:val="24"/>
          <w:shd w:fill="FFFFFF" w:val="clear"/>
        </w:rPr>
        <w:t xml:space="preserve">Boston, </w:t>
      </w:r>
      <w:r>
        <w:rPr>
          <w:rFonts w:ascii="Times New Roman;serif" w:hAnsi="Times New Roman;serif"/>
          <w:b/>
          <w:color w:val="000000"/>
          <w:sz w:val="24"/>
        </w:rPr>
        <w:t>MA, August 6, 2026</w:t>
      </w:r>
      <w:r>
        <w:rPr>
          <w:color w:val="000000"/>
        </w:rPr>
        <w:t xml:space="preserve"> </w:t>
      </w:r>
      <w:r>
        <w:rPr>
          <w:rFonts w:ascii="Times New Roman;serif" w:hAnsi="Times New Roman;serif"/>
          <w:b w:val="false"/>
          <w:color w:val="000000"/>
          <w:sz w:val="24"/>
        </w:rPr>
        <w:t xml:space="preserve">- </w:t>
      </w:r>
      <w:r>
        <w:rPr>
          <w:rFonts w:ascii="Times New Roman;serif" w:hAnsi="Times New Roman;serif"/>
          <w:b w:val="false"/>
          <w:color w:val="000000"/>
          <w:sz w:val="24"/>
          <w:shd w:fill="FFFFFF" w:val="clear"/>
        </w:rPr>
        <w:t>Haemonetics Corporation (NYSE: HAE) reported financial results for its first quarter of fiscal 2027, which ended June 27, 2026:</w:t>
      </w:r>
    </w:p>
    <w:tbl>
      <w:tblPr>
        <w:tblW w:w="5254" w:type="dxa"/>
        <w:jc w:val="left"/>
        <w:tblInd w:w="0" w:type="dxa"/>
        <w:tblLayout w:type="fixed"/>
        <w:tblCellMar>
          <w:top w:w="28" w:type="dxa"/>
          <w:left w:w="28" w:type="dxa"/>
          <w:bottom w:w="28" w:type="dxa"/>
          <w:right w:w="28" w:type="dxa"/>
        </w:tblCellMar>
      </w:tblPr>
      <w:tblGrid>
        <w:gridCol w:w="124"/>
        <w:gridCol w:w="109"/>
        <w:gridCol w:w="109"/>
        <w:gridCol w:w="989"/>
        <w:gridCol w:w="989"/>
        <w:gridCol w:w="992"/>
        <w:gridCol w:w="559"/>
        <w:gridCol w:w="559"/>
        <w:gridCol w:w="561"/>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1st Quarter 2027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4"/>
              </w:rPr>
            </w:pPr>
            <w:r>
              <w:rPr>
                <w:rFonts w:ascii="Wingdings;sans-serif" w:hAnsi="Wingdings;sans-serif"/>
                <w:b w:val="false"/>
                <w:color w:val="000000"/>
                <w:sz w:val="14"/>
              </w:rPr>
              <w:t>n</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increase</w:t>
            </w:r>
          </w:p>
        </w:tc>
        <w:tc>
          <w:tcPr>
            <w:tcW w:w="1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$339 million, 5.6%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4"/>
              </w:rPr>
            </w:pPr>
            <w:r>
              <w:rPr>
                <w:rFonts w:ascii="Wingdings;sans-serif" w:hAnsi="Wingdings;sans-serif"/>
                <w:b w:val="false"/>
                <w:color w:val="000000"/>
                <w:sz w:val="14"/>
              </w:rPr>
              <w:t>n</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Organic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revenue increase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4"/>
              </w:rPr>
            </w:pPr>
            <w:r>
              <w:rPr>
                <w:rFonts w:ascii="Wingdings;sans-serif" w:hAnsi="Wingdings;sans-serif"/>
                <w:b w:val="false"/>
                <w:color w:val="000000"/>
                <w:sz w:val="14"/>
              </w:rPr>
              <w:t>n</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diluted share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4"/>
              </w:rPr>
            </w:pPr>
            <w:r>
              <w:rPr>
                <w:rFonts w:ascii="Wingdings;sans-serif" w:hAnsi="Wingdings;sans-serif"/>
                <w:b w:val="false"/>
                <w:color w:val="000000"/>
                <w:sz w:val="14"/>
              </w:rPr>
              <w:t>n</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diluted share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4"/>
              </w:rPr>
            </w:pPr>
            <w:r>
              <w:rPr>
                <w:rFonts w:ascii="Wingdings;sans-serif" w:hAnsi="Wingdings;sans-serif"/>
                <w:b w:val="false"/>
                <w:color w:val="000000"/>
                <w:sz w:val="14"/>
              </w:rPr>
              <w:t>n</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 million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4"/>
              </w:rPr>
            </w:pPr>
            <w:r>
              <w:rPr>
                <w:rFonts w:ascii="Wingdings;sans-serif" w:hAnsi="Wingdings;sans-serif"/>
                <w:b w:val="false"/>
                <w:color w:val="000000"/>
                <w:sz w:val="14"/>
              </w:rPr>
              <w:t>n</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 million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16"/>
        </w:rPr>
        <w:t>Excludes the impacts of currency fluctuation and the exit of certain liquid solution products.</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Chris Simon, Haemonetics’ CEO, stated: “We had a strong start to fiscal 2027, gaining Plasma share, sustaining Blood Management Technologies momentum, and returning Interventional Technologies to growth. With our evolved portfolio, transformed operating model and disciplined execution, we are strengthening our competitive position and demonstrating the durable growth of our diversified businesses. We raised full-year guidance, and Haemonetics is well-positioned to deliver sustainable long-term growth and shareholder value.”</w:t>
      </w:r>
    </w:p>
    <w:p>
      <w:pPr>
        <w:pStyle w:val="TextBody"/>
        <w:bidi w:val="0"/>
        <w:spacing w:before="0" w:after="0"/>
        <w:jc w:val="left"/>
        <w:rPr/>
      </w:pPr>
      <w:r>
        <w:rPr/>
        <w:drawing>
          <wp:inline distT="0" distB="0" distL="0" distR="0">
            <wp:extent cx="2933700" cy="6762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933700" cy="676275"/>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GAAP RESULTS</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First quarter fiscal 2027 revenue was $339.4 million, up 5.6% compared with the first quarter of fiscal 2026. Business unit revenue and growth rates compared with the prior year period were as follows:</w:t>
      </w:r>
    </w:p>
    <w:tbl>
      <w:tblPr>
        <w:tblW w:w="6141" w:type="dxa"/>
        <w:jc w:val="center"/>
        <w:tblInd w:w="0" w:type="dxa"/>
        <w:tblLayout w:type="fixed"/>
        <w:tblCellMar>
          <w:top w:w="28" w:type="dxa"/>
          <w:left w:w="28" w:type="dxa"/>
          <w:bottom w:w="28" w:type="dxa"/>
          <w:right w:w="28" w:type="dxa"/>
        </w:tblCellMar>
      </w:tblPr>
      <w:tblGrid>
        <w:gridCol w:w="636"/>
        <w:gridCol w:w="558"/>
        <w:gridCol w:w="561"/>
        <w:gridCol w:w="396"/>
        <w:gridCol w:w="396"/>
        <w:gridCol w:w="396"/>
        <w:gridCol w:w="396"/>
        <w:gridCol w:w="396"/>
        <w:gridCol w:w="396"/>
        <w:gridCol w:w="396"/>
        <w:gridCol w:w="396"/>
        <w:gridCol w:w="410"/>
        <w:gridCol w:w="109"/>
        <w:gridCol w:w="109"/>
        <w:gridCol w:w="109"/>
        <w:gridCol w:w="109"/>
        <w:gridCol w:w="109"/>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First Quarter Fiscal 2027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Apheresis</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$191.3</w:t>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MedSurg</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$148.1</w:t>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net revenue</w:t>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$339.4</w:t>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Gross margin was 59.8% in the first quarter of fiscal 2027, which was relatively flat when compared with 59.8% in the first quarter of fiscal 2026. Operating expenses were $145.3 million, up $7.0 million, or 5.0%, compared with the first quarter of fiscal 2026. The increase in operating expenses was driven by higher personnel-related costs and freight charges. The Company had operating income of $57.5 million and a 16.9% operating margin in the first quarter of fiscal 2027, compared with operating income of $53.9 million and a 16.8% operating margin in the first quarter of fiscal 2026. The effective income tax rate was 30.6% in the first quarter of fiscal 2027, compared with 24.7% in the first quarter of fiscal 2026. The increase in the effective income tax rate was primarily driven by stock compensation shortfalls and valuation allowance impacts related to losses in certain recently acquired jurisdictions. First quarter fiscal 2027 net income and earnings per diluted share were $33.0 million and $0.72, respectively, compared with $34.0 million and $0.70, respectively, in the first quarter of fiscal 2026.</w:t>
      </w:r>
    </w:p>
    <w:p>
      <w:pPr>
        <w:pStyle w:val="TextBody"/>
        <w:bidi w:val="0"/>
        <w:spacing w:lineRule="auto" w:line="288" w:before="0" w:after="18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ADJUSTED RESULTS</w:t>
      </w:r>
    </w:p>
    <w:p>
      <w:pPr>
        <w:pStyle w:val="TextBody"/>
        <w:bidi w:val="0"/>
        <w:spacing w:lineRule="auto" w:line="288" w:before="0" w:after="180"/>
        <w:jc w:val="both"/>
        <w:rPr/>
      </w:pPr>
      <w:r>
        <w:rPr>
          <w:rFonts w:ascii="Times New Roman;serif" w:hAnsi="Times New Roman;serif"/>
          <w:b w:val="false"/>
          <w:color w:val="000000"/>
          <w:sz w:val="24"/>
          <w:shd w:fill="FFFFFF" w:val="clear"/>
        </w:rPr>
        <w:t>First quarter organic revenue growth was</w:t>
      </w:r>
      <w:r>
        <w:rPr>
          <w:color w:val="000000"/>
        </w:rPr>
        <w:t xml:space="preserve"> </w:t>
      </w:r>
      <w:r>
        <w:rPr>
          <w:rFonts w:ascii="Times New Roman;serif" w:hAnsi="Times New Roman;serif"/>
          <w:b w:val="false"/>
          <w:color w:val="000000"/>
          <w:sz w:val="24"/>
        </w:rPr>
        <w:t xml:space="preserve">5.9% compared </w:t>
      </w:r>
      <w:r>
        <w:rPr>
          <w:rFonts w:ascii="Times New Roman;serif" w:hAnsi="Times New Roman;serif"/>
          <w:b w:val="false"/>
          <w:color w:val="000000"/>
          <w:sz w:val="24"/>
          <w:shd w:fill="FFFFFF" w:val="clear"/>
        </w:rPr>
        <w:t>with the same period of fiscal 2026. Year-over-year organic revenue growth rates by business unit were as follows:</w:t>
      </w:r>
    </w:p>
    <w:tbl>
      <w:tblPr>
        <w:tblW w:w="4628" w:type="dxa"/>
        <w:jc w:val="center"/>
        <w:tblInd w:w="0" w:type="dxa"/>
        <w:tblLayout w:type="fixed"/>
        <w:tblCellMar>
          <w:top w:w="28" w:type="dxa"/>
          <w:left w:w="28" w:type="dxa"/>
          <w:bottom w:w="28" w:type="dxa"/>
          <w:right w:w="28" w:type="dxa"/>
        </w:tblCellMar>
      </w:tblPr>
      <w:tblGrid>
        <w:gridCol w:w="636"/>
        <w:gridCol w:w="558"/>
        <w:gridCol w:w="561"/>
        <w:gridCol w:w="869"/>
        <w:gridCol w:w="869"/>
        <w:gridCol w:w="872"/>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First Quarter Fiscal 2027</w:t>
            </w:r>
          </w:p>
        </w:tc>
        <w:tc>
          <w:tcPr>
            <w:tcW w:w="263" w:type="dxa"/>
            <w:gridSpan w:val="2"/>
            <w:tcBorders/>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Organic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Apheresis</w:t>
            </w:r>
          </w:p>
        </w:tc>
        <w:tc>
          <w:tcPr>
            <w:tcW w:w="2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MedSurg</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net revenue</w:t>
            </w:r>
          </w:p>
        </w:tc>
        <w:tc>
          <w:tcPr>
            <w:tcW w:w="2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First quarter fiscal 2027 adjusted gross margin was 60.4%, down 40 basis points compared with the prior year period. The primary drivers of the decrease in the adjusted gross margin percentage included upfront revenue recognition upon the execution of a long-term software agreement in the prior year, partially offset by the continued transformation of the product portfolio to higher-margin offerings and benefits from product innovation.</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Adjusted operating expenses were $125.6 million, up $7.9 million, or 6.7%, compared with the first quarter of fiscal 2026. The increase in adjusted operating expenses was driven by higher personnel-related costs and freight charges. Adjusted operating income for the first quarter of fiscal 2027 was $79.3 million, down $1.7 million, or 2.2%, compared with the first quarter of fiscal 2026. Adjusted operating margin was 23.4%, down 70 basis points when compared with the same period of fiscal 2026. The adjusted income tax rate for the first quarter of fiscal 2027 was 25.7%, up 180 basis points when compared with 24.9% in the first quarter of fiscal 2026. The increase in the effective income tax rate was primarily driven by stock compensation shortfalls.</w:t>
      </w:r>
    </w:p>
    <w:p>
      <w:pPr>
        <w:pStyle w:val="TextBody"/>
        <w:bidi w:val="0"/>
        <w:spacing w:lineRule="auto" w:line="288" w:before="0" w:after="180"/>
        <w:jc w:val="both"/>
        <w:rPr/>
      </w:pPr>
      <w:r>
        <w:rPr>
          <w:rFonts w:ascii="Times New Roman;serif" w:hAnsi="Times New Roman;serif"/>
          <w:b w:val="false"/>
          <w:color w:val="000000"/>
          <w:sz w:val="24"/>
          <w:shd w:fill="FFFFFF" w:val="clear"/>
        </w:rPr>
        <w:t>First</w:t>
      </w:r>
      <w:r>
        <w:rPr>
          <w:color w:val="000000"/>
        </w:rPr>
        <w:t xml:space="preserve"> </w:t>
      </w:r>
      <w:r>
        <w:rPr>
          <w:rFonts w:ascii="Times New Roman;serif" w:hAnsi="Times New Roman;serif"/>
          <w:b w:val="false"/>
          <w:color w:val="000000"/>
          <w:sz w:val="24"/>
        </w:rPr>
        <w:t>quarter fiscal 2027 adjusted net income was $52.3 million, up $0.9 million, or 1.8%, and adjusted earnings per diluted share was $1.14, up 3.6%, each when compared with the same period of fiscal 2026.</w:t>
      </w:r>
    </w:p>
    <w:p>
      <w:pPr>
        <w:pStyle w:val="TextBody"/>
        <w:bidi w:val="0"/>
        <w:spacing w:before="0" w:after="0"/>
        <w:jc w:val="left"/>
        <w:rPr/>
      </w:pPr>
      <w:r>
        <w:rPr/>
        <w:drawing>
          <wp:inline distT="0" distB="0" distL="0" distR="0">
            <wp:extent cx="2933700" cy="6762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933700" cy="676275"/>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BALANCE SHEET AND CASH FLOW</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Cash on hand as of June 27, 2026 was $223.4 million, a decrease of $22.1 million since the end of fiscal 2026, primarily driven by cash outflows for the repayment of revolving credit facility borrowings and strategic investments, partially offset by cash flow provided from operating activities.</w:t>
      </w:r>
    </w:p>
    <w:p>
      <w:pPr>
        <w:pStyle w:val="TextBody"/>
        <w:bidi w:val="0"/>
        <w:spacing w:lineRule="auto" w:line="288" w:before="0" w:after="180"/>
        <w:jc w:val="both"/>
        <w:rPr/>
      </w:pPr>
      <w:r>
        <w:rPr>
          <w:rFonts w:ascii="Times New Roman;serif" w:hAnsi="Times New Roman;serif"/>
          <w:b w:val="false"/>
          <w:color w:val="000000"/>
          <w:sz w:val="24"/>
          <w:shd w:fill="FFFFFF" w:val="clear"/>
        </w:rPr>
        <w:t>First</w:t>
      </w:r>
      <w:r>
        <w:rPr>
          <w:color w:val="000000"/>
        </w:rPr>
        <w:t xml:space="preserve"> </w:t>
      </w:r>
      <w:r>
        <w:rPr>
          <w:rFonts w:ascii="Times New Roman;serif" w:hAnsi="Times New Roman;serif"/>
          <w:b w:val="false"/>
          <w:color w:val="000000"/>
          <w:sz w:val="24"/>
        </w:rPr>
        <w:t>quarter fiscal 2027 cash flow from operating activities was $52.3 million, up $34.9 million, and free cash flow was $39.1 million, up $36.6 million, each when compared with the same period of fiscal 2026. The primary driver of increased operating cash flow as compared to the same period of fiscal 2026 was favorable working capital adjustments driven by the timing of collections on receivables. Free cash flow benefitted from lower non-cash transfers from Haemonetics equipment, partially offset by higher capital expenditures.</w:t>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FISCAL 2027 GUIDANCE</w: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The Company raised its previous fiscal 2027 GAAP revenue and organic revenue growth guidance as follows:</w:t>
      </w:r>
    </w:p>
    <w:tbl>
      <w:tblPr>
        <w:tblW w:w="10205" w:type="dxa"/>
        <w:jc w:val="left"/>
        <w:tblInd w:w="0" w:type="dxa"/>
        <w:tblLayout w:type="fixed"/>
        <w:tblCellMar>
          <w:top w:w="28" w:type="dxa"/>
          <w:left w:w="28" w:type="dxa"/>
          <w:bottom w:w="28" w:type="dxa"/>
          <w:right w:w="28" w:type="dxa"/>
        </w:tblCellMar>
      </w:tblPr>
      <w:tblGrid>
        <w:gridCol w:w="1107"/>
        <w:gridCol w:w="928"/>
        <w:gridCol w:w="931"/>
        <w:gridCol w:w="1167"/>
        <w:gridCol w:w="1091"/>
        <w:gridCol w:w="1095"/>
        <w:gridCol w:w="160"/>
        <w:gridCol w:w="160"/>
        <w:gridCol w:w="160"/>
        <w:gridCol w:w="1038"/>
        <w:gridCol w:w="962"/>
        <w:gridCol w:w="1406"/>
      </w:tblGrid>
      <w:tr>
        <w:trPr/>
        <w:tc>
          <w:tcPr>
            <w:tcW w:w="110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2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 Company</w:t>
            </w:r>
          </w:p>
        </w:tc>
      </w:tr>
      <w:tr>
        <w:trPr/>
        <w:tc>
          <w:tcPr>
            <w:tcW w:w="2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Previous Guidance</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Current Guidance</w:t>
            </w:r>
          </w:p>
        </w:tc>
      </w:tr>
      <w:tr>
        <w:trPr/>
        <w:tc>
          <w:tcPr>
            <w:tcW w:w="2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Reported Revenue</w:t>
            </w:r>
          </w:p>
        </w:tc>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4 - 7%</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5 - 8%</w:t>
            </w:r>
          </w:p>
        </w:tc>
      </w:tr>
      <w:tr>
        <w:trPr/>
        <w:tc>
          <w:tcPr>
            <w:tcW w:w="2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53rd week impact</w:t>
            </w:r>
          </w:p>
        </w:tc>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w:t>
            </w:r>
          </w:p>
        </w:tc>
      </w:tr>
      <w:tr>
        <w:trPr/>
        <w:tc>
          <w:tcPr>
            <w:tcW w:w="2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Currency impact</w:t>
            </w:r>
          </w:p>
        </w:tc>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0 - 1%</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0 - 1%</w:t>
            </w:r>
          </w:p>
        </w:tc>
      </w:tr>
      <w:tr>
        <w:trPr/>
        <w:tc>
          <w:tcPr>
            <w:tcW w:w="29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Organic Revenue</w:t>
            </w:r>
            <w:r>
              <w:rPr>
                <w:rFonts w:ascii="Times New Roman;serif" w:hAnsi="Times New Roman;serif"/>
                <w:b/>
                <w:color w:val="000000"/>
                <w:sz w:val="14"/>
              </w:rPr>
              <w:t>(1)</w:t>
            </w:r>
          </w:p>
        </w:tc>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3 - 6%</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4 - 7%</w:t>
            </w:r>
          </w:p>
        </w:tc>
      </w:tr>
      <w:tr>
        <w:trPr/>
        <w:tc>
          <w:tcPr>
            <w:tcW w:w="2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Adjusted operating margin</w:t>
            </w:r>
          </w:p>
        </w:tc>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50 – 100 bps expansion YoY</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50 – 100 bps expansion YoY</w:t>
            </w:r>
          </w:p>
        </w:tc>
      </w:tr>
      <w:tr>
        <w:trPr/>
        <w:tc>
          <w:tcPr>
            <w:tcW w:w="2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Adjusted earnings per diluted share</w:t>
            </w:r>
          </w:p>
        </w:tc>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Comparable to reported revenue growth</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Comparable to reported revenue growth</w:t>
            </w:r>
          </w:p>
        </w:tc>
      </w:tr>
      <w:tr>
        <w:trPr/>
        <w:tc>
          <w:tcPr>
            <w:tcW w:w="29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Free cash flow conversion</w:t>
            </w:r>
            <w:r>
              <w:rPr>
                <w:rFonts w:ascii="Times New Roman;serif" w:hAnsi="Times New Roman;serif"/>
                <w:b/>
                <w:color w:val="000000"/>
                <w:sz w:val="14"/>
              </w:rPr>
              <w:t>(2)</w:t>
            </w:r>
          </w:p>
        </w:tc>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~80%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~80%</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6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16"/>
        </w:rPr>
        <w:t>Previous guidance includes approximately low-single-digit growth in Apheresis and mid-single digit growth in MedSurg. Current guidance includes low- to mid-single-digit growth in Apheresis and mid-single digit growth in MedSurg. Organic growth guidance also includes nominal historical pre-acquisition revenue of Vivasure to provide a comparable view of period-over-period performance.</w:t>
      </w:r>
    </w:p>
    <w:p>
      <w:pPr>
        <w:pStyle w:val="TextBody"/>
        <w:bidi w:val="0"/>
        <w:spacing w:lineRule="auto" w:line="288" w:before="0" w:after="18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16"/>
        </w:rPr>
        <w:t>Free cash flow conversion is calculated as free cash flow divided by adjusted net income.</w:t>
      </w:r>
    </w:p>
    <w:p>
      <w:pPr>
        <w:pStyle w:val="TextBody"/>
        <w:bidi w:val="0"/>
        <w:spacing w:lineRule="auto" w:line="288" w:before="0" w:after="18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WEBCAST CONFERENCE CALL AND RESULTS ANALYSIS</w:t>
      </w:r>
    </w:p>
    <w:p>
      <w:pPr>
        <w:pStyle w:val="TextBody"/>
        <w:bidi w:val="0"/>
        <w:spacing w:lineRule="auto" w:line="288" w:before="0" w:after="180"/>
        <w:jc w:val="both"/>
        <w:rPr/>
      </w:pPr>
      <w:r>
        <w:rPr>
          <w:rFonts w:ascii="Times New Roman;serif" w:hAnsi="Times New Roman;serif"/>
          <w:b w:val="false"/>
          <w:color w:val="000000"/>
          <w:sz w:val="24"/>
          <w:shd w:fill="FFFFFF" w:val="clear"/>
        </w:rPr>
        <w:t>The Co</w:t>
      </w:r>
      <w:r>
        <w:rPr>
          <w:rFonts w:ascii="Times New Roman;serif" w:hAnsi="Times New Roman;serif"/>
          <w:b w:val="false"/>
          <w:color w:val="000000"/>
          <w:sz w:val="24"/>
        </w:rPr>
        <w:t xml:space="preserve">mpany will host a conference call with investors and analysts to discuss first quarter fiscal 2027 results on Thursday, August 6, 2026 at 8:00 a.m. ET. The call can be accessed via teleconference at </w:t>
      </w:r>
      <w:r>
        <w:rPr>
          <w:rFonts w:ascii="Times New Roman;serif" w:hAnsi="Times New Roman;serif"/>
          <w:b w:val="false"/>
          <w:color w:val="0000FF"/>
          <w:sz w:val="24"/>
          <w:u w:val="single"/>
        </w:rPr>
        <w:t>https://register-conf.media-server.com/register/BI10b970fcb46348a6ab6968b8585a2627</w:t>
      </w:r>
      <w:r>
        <w:rPr>
          <w:rFonts w:ascii="Times New Roman;serif" w:hAnsi="Times New Roman;serif"/>
          <w:b w:val="false"/>
          <w:color w:val="000000"/>
          <w:sz w:val="24"/>
        </w:rPr>
        <w:t>. Once registration is completed, participants will receive a dial-in number along with a personalized PIN to access the call. While not required, it is recommended that participants join 10 minutes prior to the event start.</w:t>
      </w:r>
    </w:p>
    <w:p>
      <w:pPr>
        <w:pStyle w:val="TextBody"/>
        <w:bidi w:val="0"/>
        <w:spacing w:lineRule="auto" w:line="288" w:before="0" w:after="180"/>
        <w:jc w:val="both"/>
        <w:rPr/>
      </w:pPr>
      <w:r>
        <w:rPr>
          <w:rFonts w:ascii="Times New Roman;serif" w:hAnsi="Times New Roman;serif"/>
          <w:b w:val="false"/>
          <w:color w:val="000000"/>
          <w:sz w:val="24"/>
        </w:rPr>
        <w:t xml:space="preserve">Alternatively, a live webcast of the call can be accessed on Haemonetics’ investor relations website at the following direct link: </w:t>
      </w:r>
      <w:r>
        <w:rPr>
          <w:rFonts w:ascii="Times New Roman;serif" w:hAnsi="Times New Roman;serif"/>
          <w:b w:val="false"/>
          <w:color w:val="0000FF"/>
          <w:sz w:val="24"/>
          <w:u w:val="single"/>
        </w:rPr>
        <w:t>https://edge.media-server.com/mmc/p/r8e9tnfy</w:t>
      </w:r>
      <w:r>
        <w:rPr>
          <w:rFonts w:ascii="Times New Roman;serif" w:hAnsi="Times New Roman;serif"/>
          <w:b w:val="false"/>
          <w:color w:val="000000"/>
          <w:sz w:val="24"/>
        </w:rPr>
        <w:t>.</w:t>
      </w:r>
    </w:p>
    <w:p>
      <w:pPr>
        <w:pStyle w:val="TextBody"/>
        <w:bidi w:val="0"/>
        <w:spacing w:lineRule="auto" w:line="288" w:before="0" w:after="180"/>
        <w:jc w:val="both"/>
        <w:rPr/>
      </w:pPr>
      <w:r>
        <w:rPr>
          <w:rFonts w:ascii="Times New Roman;serif" w:hAnsi="Times New Roman;serif"/>
          <w:b w:val="false"/>
          <w:color w:val="000000"/>
          <w:sz w:val="24"/>
        </w:rPr>
        <w:t xml:space="preserve">The Company has also provided a supplemental earnings presentation for its first quarter of fiscal 2027, which is available on its website and can be found at the following direct link: </w:t>
      </w:r>
      <w:r>
        <w:rPr>
          <w:rFonts w:ascii="Times New Roman;serif" w:hAnsi="Times New Roman;serif"/>
          <w:b w:val="false"/>
          <w:color w:val="0000FF"/>
          <w:sz w:val="24"/>
          <w:u w:val="single"/>
        </w:rPr>
        <w:t>https://haemonetics.gcs-web.com/static-files/18fd2149-925e-4f38-95ff-fa1bd50338b7</w:t>
      </w:r>
      <w:r>
        <w:rPr>
          <w:rFonts w:ascii="Times New Roman;serif" w:hAnsi="Times New Roman;serif"/>
          <w:b w:val="false"/>
          <w:color w:val="000000"/>
          <w:sz w:val="24"/>
        </w:rPr>
        <w:t>.</w:t>
      </w:r>
    </w:p>
    <w:p>
      <w:pPr>
        <w:pStyle w:val="TextBody"/>
        <w:bidi w:val="0"/>
        <w:spacing w:before="0" w:after="0"/>
        <w:jc w:val="left"/>
        <w:rPr/>
      </w:pPr>
      <w:r>
        <w:rPr/>
        <w:drawing>
          <wp:inline distT="0" distB="0" distL="0" distR="0">
            <wp:extent cx="2933700" cy="67627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2933700" cy="676275"/>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ABOUT HAEMONETICS</w:t>
      </w:r>
    </w:p>
    <w:p>
      <w:pPr>
        <w:pStyle w:val="TextBody"/>
        <w:bidi w:val="0"/>
        <w:spacing w:lineRule="auto" w:line="288" w:before="0" w:after="180"/>
        <w:jc w:val="both"/>
        <w:rPr/>
      </w:pPr>
      <w:r>
        <w:rPr>
          <w:rFonts w:ascii="Times New Roman;serif" w:hAnsi="Times New Roman;serif"/>
          <w:b w:val="false"/>
          <w:color w:val="000000"/>
          <w:sz w:val="24"/>
        </w:rPr>
        <w:t xml:space="preserve">Haemonetics is a global medical technology company dedicated to improving the quality, effectiveness and efficiency of health care. Our Apheresis business features proprietary technologies designed to enhance safety, yield, donor satisfaction and operational efficiency for plasma and blood collectors around the world. Our MedSurg business offers Blood Management Technologies to help inform treatment decisions and optimize the management of blood products, and Interventional Technologies, including advanced vascular closure systems and sensor-guided technologies, designed to drive procedural effectiveness and elevate the patient experience. To learn more about Haemonetics, visit </w:t>
      </w:r>
      <w:r>
        <w:rPr>
          <w:rFonts w:ascii="Times New Roman;serif" w:hAnsi="Times New Roman;serif"/>
          <w:b w:val="false"/>
          <w:color w:val="0000FF"/>
          <w:sz w:val="24"/>
          <w:u w:val="single"/>
        </w:rPr>
        <w:t>www.haemonetics.com</w:t>
      </w:r>
      <w:r>
        <w:rPr>
          <w:rFonts w:ascii="Times New Roman;serif" w:hAnsi="Times New Roman;serif"/>
          <w:b w:val="false"/>
          <w:color w:val="000000"/>
          <w:sz w:val="24"/>
        </w:rPr>
        <w:t>.</w:t>
      </w:r>
    </w:p>
    <w:p>
      <w:pPr>
        <w:pStyle w:val="TextBody"/>
        <w:bidi w:val="0"/>
        <w:spacing w:lineRule="auto" w:line="288" w:before="0" w:after="18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FORWARD-LOOKING STATEMENTS</w:t>
      </w:r>
    </w:p>
    <w:p>
      <w:pPr>
        <w:pStyle w:val="TextBody"/>
        <w:bidi w:val="0"/>
        <w:spacing w:lineRule="auto" w:line="288" w:before="0" w:after="180"/>
        <w:jc w:val="both"/>
        <w:rPr/>
      </w:pPr>
      <w:r>
        <w:rPr>
          <w:rFonts w:ascii="Times New Roman;serif" w:hAnsi="Times New Roman;serif"/>
          <w:b w:val="false"/>
          <w:color w:val="000000"/>
          <w:sz w:val="24"/>
          <w:shd w:fill="FFFFFF" w:val="clear"/>
        </w:rPr>
        <w:t>Any statements contained in this press release that do not describe historical facts may constitute forward-looking statements. Forward-looking statements in this press release may include, without limitation, statements regarding (i) plans and objectives of management for operations of the Company, including plans or objectives related to th</w:t>
      </w:r>
      <w:r>
        <w:rPr>
          <w:rFonts w:ascii="Times New Roman;serif" w:hAnsi="Times New Roman;serif"/>
          <w:b w:val="false"/>
          <w:color w:val="000000"/>
          <w:sz w:val="24"/>
        </w:rPr>
        <w:t xml:space="preserve">e Company’s strategy for growth; product development, commercialization and anticipated benefits; regulatory approvals; the impact of acquisitions and divestitures; market position and expenditures; and the Company’s market and regional alignment initiative; (ii) estimates or projections of future financial results, financial condition, capital expenditures, capital structure or other financial items, including with respect to the Company’s share repurchase program; and (iii) the assumptions underlying or relating to any statement described in points (i) and (ii) above. </w:t>
      </w:r>
    </w:p>
    <w:p>
      <w:pPr>
        <w:pStyle w:val="TextBody"/>
        <w:bidi w:val="0"/>
        <w:spacing w:lineRule="auto" w:line="288" w:before="0" w:after="180"/>
        <w:jc w:val="both"/>
        <w:rPr/>
      </w:pPr>
      <w:r>
        <w:rPr>
          <w:rFonts w:ascii="Times New Roman;serif" w:hAnsi="Times New Roman;serif"/>
          <w:b w:val="false"/>
          <w:color w:val="000000"/>
          <w:sz w:val="24"/>
        </w:rPr>
        <w:t>Such forward-looking statements are not meant to predict or guarantee actual results, performance, events or circumstances and may not be realized because they are based upon the Company’s current projections, plans, objectives, beliefs, expectations, estimates and assumptions and are subject to a number of risks and uncertainties and other influences. Actual results and the timing of certain events and circumstances may differ materially from those described by the forward-looking statements as a result of these risks and uncertainties. Factors that may influence or contribute to the inaccuracy of the forward-looking statements or cause actual results to differ materially from expected or desired results may include, without limitation, availability and demand for the Company’s products; the Company’s ability to successfully develop and market new products and technologies; the impact of competitive products and pricing; product quality; disruptions caused by cybersecurity events; any failure to realize the anticipated strategic benefits and opportunities from acquisitions and divestitures; pricing pressures resulting from trends toward healthcare cost containment and the effect of industry consolidation; manufacturing, distribution and supply chain disruptions and cost increases; the Company’s ability to implement as planned and realize estimated cost savings from the market and regional alignment</w:t>
      </w:r>
      <w:r>
        <w:rPr>
          <w:color w:val="000000"/>
          <w:shd w:fill="FFFFFF" w:val="clear"/>
        </w:rPr>
        <w:t xml:space="preserve"> </w:t>
      </w:r>
      <w:r>
        <w:rPr>
          <w:rFonts w:ascii="Times New Roman;serif" w:hAnsi="Times New Roman;serif"/>
          <w:b w:val="false"/>
          <w:color w:val="000000"/>
          <w:sz w:val="24"/>
          <w:shd w:fill="FFFFFF" w:val="clear"/>
        </w:rPr>
        <w:t>initiative; the effects of global economic and political conditions, including changing trade and tariff policies and inflationary pressures; regulatory uncertainties, including in the receipt or timing of regulatory approvals, and the impact of changes in global regulatory conditions;</w:t>
      </w:r>
      <w:r>
        <w:rPr>
          <w:color w:val="000000"/>
        </w:rPr>
        <w:t xml:space="preserve"> </w:t>
      </w:r>
      <w:r>
        <w:rPr>
          <w:rFonts w:ascii="Times New Roman;serif" w:hAnsi="Times New Roman;serif"/>
          <w:b w:val="false"/>
          <w:color w:val="000000"/>
          <w:sz w:val="24"/>
          <w:shd w:fill="FFFFFF" w:val="clear"/>
        </w:rPr>
        <w:t>indebtedness incurred by the Company, including the conditional conversion feature of its convertible notes; the Company’s ability to protect its intellectual property; litigation; and the impact of share repurchases on the Company’s stock price and volatility as well as the effect of short-term price fluctuations on the share repurchase program’s effectiveness. These and other factors are identified and described in more detail in the Company’s periodic reports and other filings with the U.S. Securities and Exchange Commission (the “SEC”). The Company does not undertake to update these forward-looking statements.</w:t>
      </w:r>
    </w:p>
    <w:p>
      <w:pPr>
        <w:pStyle w:val="TextBody"/>
        <w:bidi w:val="0"/>
        <w:spacing w:before="0" w:after="0"/>
        <w:jc w:val="left"/>
        <w:rPr/>
      </w:pPr>
      <w:r>
        <w:rPr/>
        <w:drawing>
          <wp:inline distT="0" distB="0" distL="0" distR="0">
            <wp:extent cx="2933700" cy="67627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2933700" cy="676275"/>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MANAGEMENT’S USE OF NON-GAAP MEASURES</w:t>
      </w:r>
    </w:p>
    <w:p>
      <w:pPr>
        <w:pStyle w:val="TextBody"/>
        <w:bidi w:val="0"/>
        <w:spacing w:lineRule="auto" w:line="288" w:before="0" w:after="18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This press release contains financial measures that are considered “non-GAAP” financial measures under applicable SEC rules and regulations. Management uses non-GAAP measures to monitor the financial performance of the business, make informed business decisions, establish budgets and forecast future results. Performance targets for management are also based on certain non-GAAP financial measures. These non-GAAP financial measures should be considered supplemental to, and not a substitute for, the Company’s reported financial results prepared in accordance with U.S. GAAP. In this release, supplemental non-GAAP measures have been provided to assist investors in evaluating the performance of the Company’s core operations and provide a baseline for analyzing trends in the Company’s underlying businesses. We strongly encourage investors to review the Company’s financial statements and publicly-filed reports in their entirety and not rely on any single financial measure.</w:t>
      </w:r>
    </w:p>
    <w:p>
      <w:pPr>
        <w:pStyle w:val="TextBody"/>
        <w:bidi w:val="0"/>
        <w:spacing w:lineRule="auto" w:line="288" w:before="0" w:after="180"/>
        <w:jc w:val="both"/>
        <w:rPr/>
      </w:pPr>
      <w:r>
        <w:rPr>
          <w:rFonts w:ascii="Times New Roman;serif" w:hAnsi="Times New Roman;serif"/>
          <w:b w:val="false"/>
          <w:color w:val="000000"/>
          <w:sz w:val="24"/>
          <w:shd w:fill="FFFFFF" w:val="clear"/>
        </w:rPr>
        <w:t xml:space="preserve">When used in this </w:t>
      </w:r>
      <w:r>
        <w:rPr>
          <w:rFonts w:ascii="Times New Roman;serif" w:hAnsi="Times New Roman;serif"/>
          <w:b w:val="false"/>
          <w:color w:val="000000"/>
          <w:sz w:val="24"/>
        </w:rPr>
        <w:t>release, organic revenue growth excludes the impact of currency fluctuation and the exit of certain liquid solution products. Adjusted gross profit, adjusted operating expenses, adjusted operating income, adjusted interest and other income/expense, adjusted provision for income taxes, adjusted net income and adjusted earnings per diluted share exclude restructuring costs, restructuring related costs, dig</w:t>
      </w:r>
      <w:r>
        <w:rPr>
          <w:rFonts w:ascii="Times New Roman;serif" w:hAnsi="Times New Roman;serif"/>
          <w:b w:val="false"/>
          <w:color w:val="000000"/>
          <w:sz w:val="24"/>
          <w:shd w:fill="FFFFFF" w:val="clear"/>
        </w:rPr>
        <w:t>ital transformation costs, amortization of acquired intangible assets, amortization of fair value inventory step-up, acquisition, integration and divestiture related costs, certain tax settlements, unusual or infrequent and material litigation-related charges, equity method losses, and remeasurement of contingent consideration. Adjusted net income and adjusted earnings per diluted share also exclude the tax impact of these items. The adjustments to provision for income taxes are calculated based on the jurisdictions in which pre-tax adjustments occurred. Free cash flow is defined as cash provided by operating activities less capital expenditures and additions to Haemonetics equipment, net of the proceeds from the sale of property, plant and equipment. Because non-GAAP financial measures are not standardized, it may not be possible to compare these financial measures to similarly titled measures used by other companies.</w:t>
      </w:r>
    </w:p>
    <w:p>
      <w:pPr>
        <w:pStyle w:val="TextBody"/>
        <w:bidi w:val="0"/>
        <w:spacing w:lineRule="auto" w:line="288" w:before="0" w:after="180"/>
        <w:jc w:val="both"/>
        <w:rPr/>
      </w:pPr>
      <w:r>
        <w:rPr>
          <w:rFonts w:ascii="Times New Roman;serif" w:hAnsi="Times New Roman;serif"/>
          <w:b w:val="false"/>
          <w:color w:val="000000"/>
          <w:sz w:val="24"/>
          <w:shd w:fill="FFFFFF" w:val="clear"/>
        </w:rPr>
        <w:t xml:space="preserve">A reconciliation of non-GAAP historical financial measures to their most comparable GAAP measure are included at the end of the financial sections of this press release as well as on the Company’s website at </w:t>
      </w:r>
      <w:r>
        <w:rPr>
          <w:rFonts w:ascii="Times New Roman;serif" w:hAnsi="Times New Roman;serif"/>
          <w:b w:val="false"/>
          <w:color w:val="0000FF"/>
          <w:sz w:val="24"/>
          <w:u w:val="single"/>
          <w:shd w:fill="FFFFFF" w:val="clear"/>
        </w:rPr>
        <w:t>www.haemonetics.com</w:t>
      </w:r>
      <w:r>
        <w:rPr>
          <w:rFonts w:ascii="Times New Roman;serif" w:hAnsi="Times New Roman;serif"/>
          <w:b w:val="false"/>
          <w:color w:val="000000"/>
          <w:sz w:val="24"/>
          <w:shd w:fill="FFFFFF" w:val="clear"/>
        </w:rPr>
        <w:t xml:space="preserve">. The Company does not attempt to provide reconciliations of forward-looking adjusted operating margin guidance, adjusted earnings per diluted share guidance </w:t>
      </w:r>
      <w:r>
        <w:rPr>
          <w:rFonts w:ascii="Times New Roman;serif" w:hAnsi="Times New Roman;serif"/>
          <w:b w:val="false"/>
          <w:color w:val="000000"/>
          <w:sz w:val="24"/>
        </w:rPr>
        <w:t>or free cash flow conversion guidance to the comparable GAAP measures because the combined impact and timing of recognition of certain potential charges or gains, such as restructuring costs, impairment charges and capital expenditures, is inherently uncertain and difficult to predict and is unavailable without unreasonable effor</w:t>
      </w:r>
      <w:r>
        <w:rPr>
          <w:rFonts w:ascii="Times New Roman;serif" w:hAnsi="Times New Roman;serif"/>
          <w:b w:val="false"/>
          <w:color w:val="000000"/>
          <w:sz w:val="24"/>
          <w:shd w:fill="FFFFFF" w:val="clear"/>
        </w:rPr>
        <w:t>ts. In addition, the Company believes such reconciliations would imply a degree of precision and certainty that could be confusing to investors. Such items could have a substantial impact on GAAP measures of the Company’s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2933700" cy="67627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2933700" cy="676275"/>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213"/>
        <w:gridCol w:w="903"/>
        <w:gridCol w:w="822"/>
        <w:gridCol w:w="413"/>
        <w:gridCol w:w="413"/>
        <w:gridCol w:w="413"/>
        <w:gridCol w:w="413"/>
        <w:gridCol w:w="1067"/>
        <w:gridCol w:w="216"/>
        <w:gridCol w:w="526"/>
        <w:gridCol w:w="397"/>
        <w:gridCol w:w="787"/>
        <w:gridCol w:w="109"/>
        <w:gridCol w:w="109"/>
        <w:gridCol w:w="109"/>
        <w:gridCol w:w="276"/>
        <w:gridCol w:w="254"/>
        <w:gridCol w:w="574"/>
        <w:gridCol w:w="109"/>
        <w:gridCol w:w="109"/>
        <w:gridCol w:w="109"/>
        <w:gridCol w:w="277"/>
        <w:gridCol w:w="237"/>
        <w:gridCol w:w="350"/>
      </w:tblGrid>
      <w:tr>
        <w:trPr/>
        <w:tc>
          <w:tcPr>
            <w:tcW w:w="12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5657"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Haemonetics Corporation Financial Summary</w:t>
            </w:r>
          </w:p>
        </w:tc>
        <w:tc>
          <w:tcPr>
            <w:tcW w:w="4548" w:type="dxa"/>
            <w:gridSpan w:val="16"/>
            <w:tcBorders/>
          </w:tcPr>
          <w:p>
            <w:pPr>
              <w:pStyle w:val="TableContents"/>
              <w:bidi w:val="0"/>
              <w:spacing w:before="0" w:after="283"/>
              <w:jc w:val="left"/>
              <w:rPr>
                <w:sz w:val="4"/>
                <w:szCs w:val="4"/>
              </w:rPr>
            </w:pPr>
            <w:r>
              <w:rPr>
                <w:sz w:val="4"/>
                <w:szCs w:val="4"/>
              </w:rPr>
            </w:r>
          </w:p>
        </w:tc>
      </w:tr>
      <w:tr>
        <w:trPr/>
        <w:tc>
          <w:tcPr>
            <w:tcW w:w="5657"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Income (Unaudited)</w:t>
            </w:r>
          </w:p>
        </w:tc>
        <w:tc>
          <w:tcPr>
            <w:tcW w:w="4548" w:type="dxa"/>
            <w:gridSpan w:val="16"/>
            <w:tcBorders/>
          </w:tcPr>
          <w:p>
            <w:pPr>
              <w:pStyle w:val="TableContents"/>
              <w:bidi w:val="0"/>
              <w:spacing w:before="0" w:after="283"/>
              <w:jc w:val="left"/>
              <w:rPr>
                <w:sz w:val="4"/>
                <w:szCs w:val="4"/>
              </w:rPr>
            </w:pPr>
            <w:r>
              <w:rPr>
                <w:sz w:val="4"/>
                <w:szCs w:val="4"/>
              </w:rPr>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1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22" w:type="dxa"/>
            <w:gridSpan w:val="12"/>
            <w:tcBorders/>
          </w:tcPr>
          <w:p>
            <w:pPr>
              <w:pStyle w:val="TableContents"/>
              <w:bidi w:val="0"/>
              <w:spacing w:before="0" w:after="283"/>
              <w:jc w:val="left"/>
              <w:rPr>
                <w:sz w:val="4"/>
                <w:szCs w:val="4"/>
              </w:rPr>
            </w:pPr>
            <w:r>
              <w:rPr>
                <w:sz w:val="4"/>
                <w:szCs w:val="4"/>
              </w:rPr>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6/27/2026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6/28/2025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Inc/(Dec) %</w:t>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and Shares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6"/>
            <w:tcBorders/>
          </w:tcPr>
          <w:p>
            <w:pPr>
              <w:pStyle w:val="TableContents"/>
              <w:bidi w:val="0"/>
              <w:spacing w:before="0" w:after="283"/>
              <w:jc w:val="left"/>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5.6%</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5.8%</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5.5%</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(0.4)%</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7.4%</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(10.4)%</w:t>
            </w:r>
          </w:p>
        </w:tc>
      </w:tr>
      <w:tr>
        <w:trPr/>
        <w:tc>
          <w:tcPr>
            <w:tcW w:w="2938" w:type="dxa"/>
            <w:gridSpan w:val="3"/>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2938" w:type="dxa"/>
            <w:gridSpan w:val="3"/>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2938" w:type="dxa"/>
            <w:gridSpan w:val="3"/>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5.0%</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6.7%</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13.6%</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5.3%</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30.8%</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(3.0)%</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 assuming dilution</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2.9%</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Profit Margins:</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 %</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i/>
                <w:color w:val="000000"/>
                <w:sz w:val="20"/>
              </w:rPr>
              <w:t>%</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(0.3)%</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0.6%</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0.1%</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(0.1)%</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(0.9)%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2933700" cy="6762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2933700" cy="676275"/>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15"/>
        <w:gridCol w:w="491"/>
        <w:gridCol w:w="495"/>
        <w:gridCol w:w="211"/>
        <w:gridCol w:w="841"/>
        <w:gridCol w:w="109"/>
        <w:gridCol w:w="109"/>
        <w:gridCol w:w="109"/>
        <w:gridCol w:w="109"/>
        <w:gridCol w:w="211"/>
        <w:gridCol w:w="841"/>
        <w:gridCol w:w="109"/>
        <w:gridCol w:w="109"/>
        <w:gridCol w:w="109"/>
        <w:gridCol w:w="109"/>
        <w:gridCol w:w="262"/>
        <w:gridCol w:w="211"/>
        <w:gridCol w:w="526"/>
        <w:gridCol w:w="109"/>
        <w:gridCol w:w="109"/>
        <w:gridCol w:w="109"/>
        <w:gridCol w:w="259"/>
        <w:gridCol w:w="212"/>
        <w:gridCol w:w="530"/>
        <w:gridCol w:w="109"/>
        <w:gridCol w:w="109"/>
        <w:gridCol w:w="109"/>
        <w:gridCol w:w="261"/>
        <w:gridCol w:w="204"/>
        <w:gridCol w:w="511"/>
        <w:gridCol w:w="109"/>
        <w:gridCol w:w="109"/>
        <w:gridCol w:w="109"/>
        <w:gridCol w:w="277"/>
        <w:gridCol w:w="202"/>
        <w:gridCol w:w="505"/>
        <w:gridCol w:w="109"/>
        <w:gridCol w:w="109"/>
        <w:gridCol w:w="109"/>
        <w:gridCol w:w="160"/>
      </w:tblGrid>
      <w:tr>
        <w:trPr/>
        <w:tc>
          <w:tcPr>
            <w:tcW w:w="81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Analysis by Business Unit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28" w:type="dxa"/>
            <w:gridSpan w:val="25"/>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6/27/2026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6/28/2025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Strategic Exits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Organic growth</w:t>
            </w:r>
            <w:r>
              <w:rPr>
                <w:rFonts w:ascii="Times New Roman;serif" w:hAnsi="Times New Roman;serif"/>
                <w:b/>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 by business unit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0.1 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8.2 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Apheresis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191,318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181,736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5.3</w:t>
            </w: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0.2</w:t>
            </w: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(0.9)</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6.0</w:t>
            </w: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Interventional Technologies</w:t>
            </w:r>
            <w:r>
              <w:rPr>
                <w:rFonts w:ascii="Times New Roman;serif" w:hAnsi="Times New Roman;serif"/>
                <w:b w:val="false"/>
                <w:color w:val="000000"/>
                <w:sz w:val="13"/>
              </w:rPr>
              <w:t>(4)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(0.3)</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Blood Management Technologies</w:t>
            </w:r>
            <w:r>
              <w:rPr>
                <w:rFonts w:ascii="Times New Roman;serif" w:hAnsi="Times New Roman;serif"/>
                <w:b w:val="false"/>
                <w:color w:val="000000"/>
                <w:sz w:val="13"/>
              </w:rPr>
              <w:t>(5)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0.5 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8.1 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MedSurg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148,062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139,658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6.0</w:t>
            </w: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0.1</w:t>
            </w: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5.9</w:t>
            </w: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339,380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321,394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5.6</w:t>
            </w: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0.2</w:t>
            </w: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(0.5)</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5.9</w:t>
            </w: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Includes the impact of the exit of certain liquid solution products.</w:t>
      </w:r>
    </w:p>
    <w:p>
      <w:pPr>
        <w:pStyle w:val="TextBody"/>
        <w:bidi w:val="0"/>
        <w:spacing w:lineRule="auto" w:line="288" w:before="0" w:after="6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16"/>
        </w:rPr>
        <w:t>Includes nominal historical pre-acquisition revenue of Vivasure.</w:t>
      </w:r>
    </w:p>
    <w:p>
      <w:pPr>
        <w:pStyle w:val="TextBody"/>
        <w:bidi w:val="0"/>
        <w:spacing w:lineRule="auto" w:line="288" w:before="0" w:after="60"/>
        <w:ind w:left="0" w:right="0" w:hanging="360"/>
        <w:jc w:val="both"/>
        <w:rPr/>
      </w:pPr>
      <w:r>
        <w:rPr>
          <w:rFonts w:ascii="Times New Roman;serif" w:hAnsi="Times New Roman;serif"/>
          <w:b w:val="false"/>
          <w:color w:val="000000"/>
          <w:sz w:val="13"/>
        </w:rPr>
        <w:t>(3)    </w:t>
      </w:r>
      <w:r>
        <w:rPr>
          <w:rFonts w:ascii="Times New Roman;serif" w:hAnsi="Times New Roman;serif"/>
          <w:b w:val="false"/>
          <w:color w:val="000000"/>
          <w:sz w:val="16"/>
        </w:rPr>
        <w:t>Other includes blood collection and processing devices and disposables.</w:t>
      </w:r>
    </w:p>
    <w:p>
      <w:pPr>
        <w:pStyle w:val="TextBody"/>
        <w:bidi w:val="0"/>
        <w:spacing w:lineRule="auto" w:line="288" w:before="0" w:after="60"/>
        <w:ind w:left="0" w:right="0" w:hanging="360"/>
        <w:jc w:val="both"/>
        <w:rPr/>
      </w:pPr>
      <w:r>
        <w:rPr>
          <w:rFonts w:ascii="Times New Roman;serif" w:hAnsi="Times New Roman;serif"/>
          <w:b w:val="false"/>
          <w:color w:val="000000"/>
          <w:sz w:val="13"/>
        </w:rPr>
        <w:t>(4)    </w:t>
      </w:r>
      <w:r>
        <w:rPr>
          <w:rFonts w:ascii="Times New Roman;serif" w:hAnsi="Times New Roman;serif"/>
          <w:b w:val="false"/>
          <w:color w:val="000000"/>
          <w:sz w:val="16"/>
        </w:rPr>
        <w:t>Interventional Technologies includes Vascular Closure, Sensor Guided Technologies and Esophageal Protection product lines of the MedSurg business unit.</w:t>
      </w:r>
    </w:p>
    <w:p>
      <w:pPr>
        <w:pStyle w:val="TextBody"/>
        <w:bidi w:val="0"/>
        <w:spacing w:lineRule="auto" w:line="288" w:before="0" w:after="180"/>
        <w:ind w:left="0" w:right="0" w:hanging="360"/>
        <w:jc w:val="both"/>
        <w:rPr/>
      </w:pPr>
      <w:r>
        <w:rPr>
          <w:rFonts w:ascii="Times New Roman;serif" w:hAnsi="Times New Roman;serif"/>
          <w:b w:val="false"/>
          <w:color w:val="000000"/>
          <w:sz w:val="13"/>
        </w:rPr>
        <w:t>(5)    </w:t>
      </w:r>
      <w:r>
        <w:rPr>
          <w:rFonts w:ascii="Times New Roman;serif" w:hAnsi="Times New Roman;serif"/>
          <w:b w:val="false"/>
          <w:color w:val="000000"/>
          <w:sz w:val="16"/>
        </w:rPr>
        <w:t>Blood Management Technologies includes Hemostasis Management, Cell Salvage and Transfusion Management product lines of the MedSurg business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2933700" cy="6762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2933700" cy="676275"/>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7352" w:type="dxa"/>
        <w:jc w:val="center"/>
        <w:tblInd w:w="0" w:type="dxa"/>
        <w:tblLayout w:type="fixed"/>
        <w:tblCellMar>
          <w:top w:w="28" w:type="dxa"/>
          <w:left w:w="28" w:type="dxa"/>
          <w:bottom w:w="28" w:type="dxa"/>
          <w:right w:w="28" w:type="dxa"/>
        </w:tblCellMar>
      </w:tblPr>
      <w:tblGrid>
        <w:gridCol w:w="1176"/>
        <w:gridCol w:w="1035"/>
        <w:gridCol w:w="1044"/>
        <w:gridCol w:w="292"/>
        <w:gridCol w:w="1350"/>
        <w:gridCol w:w="150"/>
        <w:gridCol w:w="150"/>
        <w:gridCol w:w="150"/>
        <w:gridCol w:w="150"/>
        <w:gridCol w:w="292"/>
        <w:gridCol w:w="1350"/>
        <w:gridCol w:w="213"/>
      </w:tblGrid>
      <w:tr>
        <w:trPr/>
        <w:tc>
          <w:tcPr>
            <w:tcW w:w="117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3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245,440 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216,071 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216,855 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306,739 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306,370 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6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810,832 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834,879 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&amp; equipment, net</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303,778 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305,761 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447,655 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656,884 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656,368 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151,262 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2,365,400 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2,395,925 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 &amp; Stockholders' Equity</w:t>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&amp; current maturities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258,279 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277,584 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6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263,235 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282,599 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1,169,202 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1,219,565 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97,441 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796,320 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&amp; stockholders' equity</w:t>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2,365,400 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2,395,925 </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2933700" cy="676275"/>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2933700" cy="676275"/>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51"/>
        <w:gridCol w:w="1845"/>
        <w:gridCol w:w="1852"/>
        <w:gridCol w:w="343"/>
        <w:gridCol w:w="1317"/>
        <w:gridCol w:w="191"/>
        <w:gridCol w:w="191"/>
        <w:gridCol w:w="191"/>
        <w:gridCol w:w="191"/>
        <w:gridCol w:w="343"/>
        <w:gridCol w:w="1317"/>
        <w:gridCol w:w="273"/>
      </w:tblGrid>
      <w:tr>
        <w:trPr/>
        <w:tc>
          <w:tcPr>
            <w:tcW w:w="2151"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5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fair value inventory step-up</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r>
      <w:tr>
        <w:trPr/>
        <w:tc>
          <w:tcPr>
            <w:tcW w:w="5848"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r>
      <w:tr>
        <w:trPr/>
        <w:tc>
          <w:tcPr>
            <w:tcW w:w="5848"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r>
      <w:tr>
        <w:trPr/>
        <w:tc>
          <w:tcPr>
            <w:tcW w:w="5848"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other non-cash operating activities</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Change in accounts receivable, net </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inventories, net</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prepaid income taxes</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other assets and other liabilities</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(17,785)</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accounts payable and accrued expenses</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(47,896)</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52,323 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17,395 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transfers from inventory to property, plant and equipment for Haemonetics equipment</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plant and equipment</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r>
      <w:tr>
        <w:trPr/>
        <w:tc>
          <w:tcPr>
            <w:tcW w:w="5848"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(22,234)</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(33,000)</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net of borrowings</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r>
      <w:tr>
        <w:trPr/>
        <w:tc>
          <w:tcPr>
            <w:tcW w:w="5848"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r>
      <w:tr>
        <w:trPr/>
        <w:tc>
          <w:tcPr>
            <w:tcW w:w="5848"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r>
      <w:tr>
        <w:trPr/>
        <w:tc>
          <w:tcPr>
            <w:tcW w:w="5848"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programs</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to net share settle employee equity awards</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(51,528)</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and cash equivalents</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1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(22,056)</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(13,865)</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the Period</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245,440 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306,763 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223,384</w:t>
            </w:r>
            <w:r>
              <w:rPr>
                <w:color w:val="000000"/>
              </w:rPr>
              <w:t>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292,898</w:t>
            </w:r>
            <w:r>
              <w:rPr>
                <w:color w:val="000000"/>
              </w:rPr>
              <w:t>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Free Cash Flow Reconciliation:</w:t>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52,323 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Haemonetics equipment</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plant and equipment</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Free cash flow</w:t>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39,089</w:t>
            </w:r>
            <w:r>
              <w:rPr>
                <w:color w:val="000000"/>
              </w:rPr>
              <w:t>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2,478</w:t>
            </w:r>
            <w:r>
              <w:rPr>
                <w:color w:val="000000"/>
              </w:rPr>
              <w:t> </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2933700" cy="676275"/>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2933700" cy="676275"/>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15"/>
        <w:gridCol w:w="259"/>
        <w:gridCol w:w="262"/>
        <w:gridCol w:w="286"/>
        <w:gridCol w:w="198"/>
        <w:gridCol w:w="493"/>
        <w:gridCol w:w="110"/>
        <w:gridCol w:w="110"/>
        <w:gridCol w:w="110"/>
        <w:gridCol w:w="304"/>
        <w:gridCol w:w="285"/>
        <w:gridCol w:w="425"/>
        <w:gridCol w:w="110"/>
        <w:gridCol w:w="110"/>
        <w:gridCol w:w="110"/>
        <w:gridCol w:w="311"/>
        <w:gridCol w:w="206"/>
        <w:gridCol w:w="432"/>
        <w:gridCol w:w="110"/>
        <w:gridCol w:w="110"/>
        <w:gridCol w:w="110"/>
        <w:gridCol w:w="370"/>
        <w:gridCol w:w="415"/>
        <w:gridCol w:w="207"/>
        <w:gridCol w:w="110"/>
        <w:gridCol w:w="110"/>
        <w:gridCol w:w="110"/>
        <w:gridCol w:w="431"/>
        <w:gridCol w:w="409"/>
        <w:gridCol w:w="242"/>
        <w:gridCol w:w="110"/>
        <w:gridCol w:w="110"/>
        <w:gridCol w:w="110"/>
        <w:gridCol w:w="242"/>
        <w:gridCol w:w="252"/>
        <w:gridCol w:w="366"/>
        <w:gridCol w:w="110"/>
        <w:gridCol w:w="110"/>
        <w:gridCol w:w="110"/>
        <w:gridCol w:w="213"/>
        <w:gridCol w:w="524"/>
        <w:gridCol w:w="178"/>
      </w:tblGrid>
      <w:tr>
        <w:trPr/>
        <w:tc>
          <w:tcPr>
            <w:tcW w:w="91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Reconciliation of Adjusted Measures for First Quarter of FY27 and FY26 (Unaudited)</w:t>
            </w:r>
          </w:p>
        </w:tc>
      </w:tr>
      <w:tr>
        <w:trPr/>
        <w:tc>
          <w:tcPr>
            <w:tcW w:w="10205" w:type="dxa"/>
            <w:gridSpan w:val="4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expenses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 (loss)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and other expense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Provision (benefit) for income taxes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(loss)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 per diluted share</w:t>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Three Months Ended June 27, 2026:</w:t>
            </w:r>
          </w:p>
        </w:tc>
        <w:tc>
          <w:tcPr>
            <w:tcW w:w="87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Per Share Data)</w:t>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Reported</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202,803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145,345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57,458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(9,884)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14,564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33,010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0.72</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acquired intangible assets</w:t>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Integration and transaction costs</w:t>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costs</w:t>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related costs</w:t>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transformation costs</w:t>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Litigation-related charges</w:t>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losses</w:t>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Discrete tax items</w:t>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204,881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125,622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79,259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(8,884)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18,085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52,290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w:t>
            </w:r>
            <w:r>
              <w:rPr>
                <w:color w:val="000000"/>
              </w:rPr>
              <w:t>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as a percentage of net revenues</w:t>
            </w:r>
          </w:p>
        </w:tc>
        <w:tc>
          <w:tcPr>
            <w:tcW w:w="48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60.4</w:t>
            </w:r>
            <w:r>
              <w:rPr>
                <w:color w:val="000000"/>
              </w:rPr>
              <w:t> </w:t>
            </w:r>
          </w:p>
        </w:tc>
        <w:tc>
          <w:tcPr>
            <w:tcW w:w="49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37.0</w:t>
            </w:r>
            <w:r>
              <w:rPr>
                <w:color w:val="000000"/>
              </w:rPr>
              <w:t> </w:t>
            </w:r>
          </w:p>
        </w:tc>
        <w:tc>
          <w:tcPr>
            <w:tcW w:w="4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23.4</w:t>
            </w:r>
            <w:r>
              <w:rPr>
                <w:color w:val="000000"/>
              </w:rPr>
              <w:t> </w:t>
            </w:r>
          </w:p>
        </w:tc>
        <w:tc>
          <w:tcPr>
            <w:tcW w:w="4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w:t>
            </w:r>
            <w:r>
              <w:rPr>
                <w:color w:val="000000"/>
              </w:rPr>
              <w:t> </w:t>
            </w:r>
          </w:p>
        </w:tc>
        <w:tc>
          <w:tcPr>
            <w:tcW w:w="3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expenses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 (loss)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and other (expense) income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Provision (benefit) for income taxes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(loss)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 per diluted share</w:t>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Three Months Ended June 28, 2025:</w:t>
            </w:r>
          </w:p>
        </w:tc>
        <w:tc>
          <w:tcPr>
            <w:tcW w:w="87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Per Share Data)</w:t>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Reported</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192,244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138,372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53,872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(8,703)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11,138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34,031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0.70</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acquired intangible assets</w:t>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fair value inventory step-up</w:t>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Integration and transaction costs</w:t>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costs</w:t>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related costs</w:t>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transformation costs</w:t>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Litigation-related charges</w:t>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Remeasurement of contingent consideration</w:t>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195,312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117,760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77,552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(6,681)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17,638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53,233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w:t>
            </w:r>
            <w:r>
              <w:rPr>
                <w:color w:val="000000"/>
              </w:rPr>
              <w:t>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as a percentage of net revenues</w:t>
            </w:r>
          </w:p>
        </w:tc>
        <w:tc>
          <w:tcPr>
            <w:tcW w:w="48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60.8</w:t>
            </w:r>
            <w:r>
              <w:rPr>
                <w:color w:val="000000"/>
              </w:rPr>
              <w:t> </w:t>
            </w:r>
          </w:p>
        </w:tc>
        <w:tc>
          <w:tcPr>
            <w:tcW w:w="49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36.6</w:t>
            </w:r>
            <w:r>
              <w:rPr>
                <w:color w:val="000000"/>
              </w:rPr>
              <w:t> </w:t>
            </w:r>
          </w:p>
        </w:tc>
        <w:tc>
          <w:tcPr>
            <w:tcW w:w="4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24.1</w:t>
            </w:r>
            <w:r>
              <w:rPr>
                <w:color w:val="000000"/>
              </w:rPr>
              <w:t> </w:t>
            </w:r>
          </w:p>
        </w:tc>
        <w:tc>
          <w:tcPr>
            <w:tcW w:w="4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16.6</w:t>
            </w:r>
            <w:r>
              <w:rPr>
                <w:color w:val="000000"/>
              </w:rPr>
              <w:t> </w:t>
            </w:r>
          </w:p>
        </w:tc>
        <w:tc>
          <w:tcPr>
            <w:tcW w:w="3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6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296" w:type="dxa"/>
            <w:gridSpan w:val="3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296" w:type="dxa"/>
            <w:gridSpan w:val="3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9" w:type="dxa"/>
            <w:gridSpan w:val="3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9" w:type="dxa"/>
            <w:gridSpan w:val="3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3716</Words>
  <Characters>21694</Characters>
  <CharactersWithSpaces>24837</CharactersWithSpaces>
  <Paragraphs>808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