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7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April 2, 2016</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001-14041</w:t>
      </w:r>
    </w:p>
    <w:p>
      <w:pPr>
        <w:spacing w:after="0" w:line="52"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HAEMONETICS CORPORATION</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6"/>
              </w:rPr>
              <w:t>Massachusetts</w:t>
            </w:r>
          </w:p>
        </w:tc>
        <w:tc>
          <w:tcPr>
            <w:tcW w:w="5900" w:type="dxa"/>
            <w:vAlign w:val="bottom"/>
            <w:gridSpan w:val="2"/>
          </w:tcPr>
          <w:p>
            <w:pPr>
              <w:jc w:val="right"/>
              <w:ind w:right="2264"/>
              <w:spacing w:after="0"/>
              <w:rPr>
                <w:sz w:val="20"/>
                <w:szCs w:val="20"/>
                <w:color w:val="auto"/>
              </w:rPr>
            </w:pPr>
            <w:r>
              <w:rPr>
                <w:rFonts w:ascii="Arial" w:cs="Arial" w:eastAsia="Arial" w:hAnsi="Arial"/>
                <w:sz w:val="18"/>
                <w:szCs w:val="18"/>
                <w:b w:val="1"/>
                <w:bCs w:val="1"/>
                <w:color w:val="auto"/>
              </w:rPr>
              <w:t>04-2882273</w:t>
            </w:r>
          </w:p>
        </w:tc>
      </w:tr>
      <w:tr>
        <w:trPr>
          <w:trHeight w:val="184"/>
        </w:trPr>
        <w:tc>
          <w:tcPr>
            <w:tcW w:w="5460" w:type="dxa"/>
            <w:vAlign w:val="bottom"/>
          </w:tcPr>
          <w:p>
            <w:pPr>
              <w:jc w:val="center"/>
              <w:spacing w:after="0"/>
              <w:rPr>
                <w:sz w:val="20"/>
                <w:szCs w:val="20"/>
                <w:color w:val="auto"/>
              </w:rPr>
            </w:pPr>
            <w:r>
              <w:rPr>
                <w:rFonts w:ascii="Arial" w:cs="Arial" w:eastAsia="Arial" w:hAnsi="Arial"/>
                <w:sz w:val="14"/>
                <w:szCs w:val="14"/>
                <w:i w:val="1"/>
                <w:iCs w:val="1"/>
                <w:color w:val="auto"/>
                <w:w w:val="95"/>
              </w:rPr>
              <w:t>(State or other jurisdiction of</w:t>
            </w:r>
          </w:p>
        </w:tc>
        <w:tc>
          <w:tcPr>
            <w:tcW w:w="340" w:type="dxa"/>
            <w:vAlign w:val="bottom"/>
          </w:tcPr>
          <w:p>
            <w:pPr>
              <w:spacing w:after="0"/>
              <w:rPr>
                <w:sz w:val="15"/>
                <w:szCs w:val="15"/>
                <w:color w:val="auto"/>
              </w:rPr>
            </w:pPr>
          </w:p>
        </w:tc>
        <w:tc>
          <w:tcPr>
            <w:tcW w:w="5560" w:type="dxa"/>
            <w:vAlign w:val="bottom"/>
          </w:tcPr>
          <w:p>
            <w:pPr>
              <w:jc w:val="center"/>
              <w:spacing w:after="0"/>
              <w:rPr>
                <w:sz w:val="20"/>
                <w:szCs w:val="20"/>
                <w:color w:val="auto"/>
              </w:rPr>
            </w:pPr>
            <w:r>
              <w:rPr>
                <w:rFonts w:ascii="Arial" w:cs="Arial" w:eastAsia="Arial" w:hAnsi="Arial"/>
                <w:sz w:val="14"/>
                <w:szCs w:val="14"/>
                <w:i w:val="1"/>
                <w:iCs w:val="1"/>
                <w:color w:val="auto"/>
                <w:w w:val="93"/>
              </w:rPr>
              <w:t>(I.R.S. Employer</w:t>
            </w:r>
          </w:p>
        </w:tc>
      </w:tr>
      <w:tr>
        <w:trPr>
          <w:trHeight w:val="182"/>
        </w:trPr>
        <w:tc>
          <w:tcPr>
            <w:tcW w:w="5460" w:type="dxa"/>
            <w:vAlign w:val="bottom"/>
          </w:tcPr>
          <w:p>
            <w:pPr>
              <w:jc w:val="center"/>
              <w:spacing w:after="0"/>
              <w:rPr>
                <w:sz w:val="20"/>
                <w:szCs w:val="20"/>
                <w:color w:val="auto"/>
              </w:rPr>
            </w:pPr>
            <w:r>
              <w:rPr>
                <w:rFonts w:ascii="Arial" w:cs="Arial" w:eastAsia="Arial" w:hAnsi="Arial"/>
                <w:sz w:val="14"/>
                <w:szCs w:val="14"/>
                <w:i w:val="1"/>
                <w:iCs w:val="1"/>
                <w:color w:val="auto"/>
                <w:w w:val="97"/>
              </w:rPr>
              <w:t>incorporation or organization)</w:t>
            </w:r>
          </w:p>
        </w:tc>
        <w:tc>
          <w:tcPr>
            <w:tcW w:w="340" w:type="dxa"/>
            <w:vAlign w:val="bottom"/>
          </w:tcPr>
          <w:p>
            <w:pPr>
              <w:spacing w:after="0"/>
              <w:rPr>
                <w:sz w:val="15"/>
                <w:szCs w:val="15"/>
                <w:color w:val="auto"/>
              </w:rPr>
            </w:pPr>
          </w:p>
        </w:tc>
        <w:tc>
          <w:tcPr>
            <w:tcW w:w="5560" w:type="dxa"/>
            <w:vAlign w:val="bottom"/>
          </w:tcPr>
          <w:p>
            <w:pPr>
              <w:jc w:val="center"/>
              <w:spacing w:after="0"/>
              <w:rPr>
                <w:sz w:val="20"/>
                <w:szCs w:val="20"/>
                <w:color w:val="auto"/>
              </w:rPr>
            </w:pPr>
            <w:r>
              <w:rPr>
                <w:rFonts w:ascii="Arial" w:cs="Arial" w:eastAsia="Arial" w:hAnsi="Arial"/>
                <w:sz w:val="14"/>
                <w:szCs w:val="14"/>
                <w:i w:val="1"/>
                <w:iCs w:val="1"/>
                <w:color w:val="auto"/>
                <w:w w:val="97"/>
              </w:rPr>
              <w:t>Identification No.)</w:t>
            </w:r>
          </w:p>
        </w:tc>
      </w:tr>
      <w:tr>
        <w:trPr>
          <w:trHeight w:val="358"/>
        </w:trPr>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9"/>
              </w:rPr>
              <w:t>400 Wood Road,</w:t>
            </w:r>
          </w:p>
        </w:tc>
        <w:tc>
          <w:tcPr>
            <w:tcW w:w="34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34"/>
        </w:trPr>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8"/>
              </w:rPr>
              <w:t>Braintree, Massachusetts 02184-9114</w:t>
            </w:r>
          </w:p>
        </w:tc>
        <w:tc>
          <w:tcPr>
            <w:tcW w:w="5900" w:type="dxa"/>
            <w:vAlign w:val="bottom"/>
            <w:gridSpan w:val="2"/>
          </w:tcPr>
          <w:p>
            <w:pPr>
              <w:jc w:val="right"/>
              <w:ind w:right="2144"/>
              <w:spacing w:after="0"/>
              <w:rPr>
                <w:sz w:val="20"/>
                <w:szCs w:val="20"/>
                <w:color w:val="auto"/>
              </w:rPr>
            </w:pPr>
            <w:r>
              <w:rPr>
                <w:rFonts w:ascii="Arial" w:cs="Arial" w:eastAsia="Arial" w:hAnsi="Arial"/>
                <w:sz w:val="18"/>
                <w:szCs w:val="18"/>
                <w:b w:val="1"/>
                <w:bCs w:val="1"/>
                <w:color w:val="auto"/>
              </w:rPr>
              <w:t>(781) 848-7100</w:t>
            </w:r>
          </w:p>
        </w:tc>
      </w:tr>
      <w:tr>
        <w:trPr>
          <w:trHeight w:val="204"/>
        </w:trPr>
        <w:tc>
          <w:tcPr>
            <w:tcW w:w="5460" w:type="dxa"/>
            <w:vAlign w:val="bottom"/>
          </w:tcPr>
          <w:p>
            <w:pPr>
              <w:ind w:left="1640"/>
              <w:spacing w:after="0"/>
              <w:rPr>
                <w:sz w:val="20"/>
                <w:szCs w:val="20"/>
                <w:color w:val="auto"/>
              </w:rPr>
            </w:pPr>
            <w:r>
              <w:rPr>
                <w:rFonts w:ascii="Arial" w:cs="Arial" w:eastAsia="Arial" w:hAnsi="Arial"/>
                <w:sz w:val="14"/>
                <w:szCs w:val="14"/>
                <w:i w:val="1"/>
                <w:iCs w:val="1"/>
                <w:color w:val="auto"/>
              </w:rPr>
              <w:t>(Address of principal executive offices)</w:t>
            </w:r>
          </w:p>
        </w:tc>
        <w:tc>
          <w:tcPr>
            <w:tcW w:w="340" w:type="dxa"/>
            <w:vAlign w:val="bottom"/>
          </w:tcPr>
          <w:p>
            <w:pPr>
              <w:spacing w:after="0"/>
              <w:rPr>
                <w:sz w:val="17"/>
                <w:szCs w:val="17"/>
                <w:color w:val="auto"/>
              </w:rPr>
            </w:pPr>
          </w:p>
        </w:tc>
        <w:tc>
          <w:tcPr>
            <w:tcW w:w="5560" w:type="dxa"/>
            <w:vAlign w:val="bottom"/>
          </w:tcPr>
          <w:p>
            <w:pPr>
              <w:jc w:val="center"/>
              <w:spacing w:after="0"/>
              <w:rPr>
                <w:sz w:val="20"/>
                <w:szCs w:val="20"/>
                <w:color w:val="auto"/>
              </w:rPr>
            </w:pPr>
            <w:r>
              <w:rPr>
                <w:rFonts w:ascii="Arial" w:cs="Arial" w:eastAsia="Arial" w:hAnsi="Arial"/>
                <w:sz w:val="14"/>
                <w:szCs w:val="14"/>
                <w:i w:val="1"/>
                <w:iCs w:val="1"/>
                <w:color w:val="auto"/>
                <w:w w:val="92"/>
              </w:rPr>
              <w:t>(Registrant’s telephone number)</w:t>
            </w:r>
          </w:p>
        </w:tc>
      </w:tr>
      <w:tr>
        <w:trPr>
          <w:trHeight w:val="309"/>
        </w:trPr>
        <w:tc>
          <w:tcPr>
            <w:tcW w:w="11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99"/>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(Title of Each Class)</w:t>
            </w:r>
          </w:p>
        </w:tc>
        <w:tc>
          <w:tcPr>
            <w:tcW w:w="340" w:type="dxa"/>
            <w:vAlign w:val="bottom"/>
          </w:tcPr>
          <w:p>
            <w:pPr>
              <w:spacing w:after="0"/>
              <w:rPr>
                <w:sz w:val="24"/>
                <w:szCs w:val="24"/>
                <w:color w:val="auto"/>
              </w:rPr>
            </w:pPr>
          </w:p>
        </w:tc>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243"/>
        </w:trPr>
        <w:tc>
          <w:tcPr>
            <w:tcW w:w="5460" w:type="dxa"/>
            <w:vAlign w:val="bottom"/>
          </w:tcPr>
          <w:p>
            <w:pPr>
              <w:jc w:val="center"/>
              <w:spacing w:after="0"/>
              <w:rPr>
                <w:sz w:val="20"/>
                <w:szCs w:val="20"/>
                <w:color w:val="auto"/>
              </w:rPr>
            </w:pPr>
            <w:r>
              <w:rPr>
                <w:rFonts w:ascii="Arial" w:cs="Arial" w:eastAsia="Arial" w:hAnsi="Arial"/>
                <w:sz w:val="18"/>
                <w:szCs w:val="18"/>
                <w:color w:val="auto"/>
                <w:w w:val="89"/>
              </w:rPr>
              <w:t>Common stock, $.01 par value per share</w:t>
            </w:r>
          </w:p>
        </w:tc>
        <w:tc>
          <w:tcPr>
            <w:tcW w:w="340" w:type="dxa"/>
            <w:vAlign w:val="bottom"/>
          </w:tcPr>
          <w:p>
            <w:pPr>
              <w:spacing w:after="0"/>
              <w:rPr>
                <w:sz w:val="21"/>
                <w:szCs w:val="21"/>
                <w:color w:val="auto"/>
              </w:rPr>
            </w:pPr>
          </w:p>
        </w:tc>
        <w:tc>
          <w:tcPr>
            <w:tcW w:w="55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9"/>
        </w:trPr>
        <w:tc>
          <w:tcPr>
            <w:tcW w:w="11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r>
      <w:tr>
        <w:trPr>
          <w:trHeight w:val="234"/>
        </w:trPr>
        <w:tc>
          <w:tcPr>
            <w:tcW w:w="5460" w:type="dxa"/>
            <w:vAlign w:val="bottom"/>
          </w:tcPr>
          <w:p>
            <w:pPr>
              <w:spacing w:after="0"/>
              <w:rPr>
                <w:sz w:val="20"/>
                <w:szCs w:val="20"/>
                <w:color w:val="auto"/>
              </w:rPr>
            </w:pPr>
          </w:p>
        </w:tc>
        <w:tc>
          <w:tcPr>
            <w:tcW w:w="5900" w:type="dxa"/>
            <w:vAlign w:val="bottom"/>
            <w:gridSpan w:val="2"/>
          </w:tcPr>
          <w:p>
            <w:pPr>
              <w:jc w:val="center"/>
              <w:ind w:right="5304"/>
              <w:spacing w:after="0"/>
              <w:rPr>
                <w:sz w:val="20"/>
                <w:szCs w:val="20"/>
                <w:color w:val="auto"/>
              </w:rPr>
            </w:pPr>
            <w:r>
              <w:rPr>
                <w:rFonts w:ascii="Arial" w:cs="Arial" w:eastAsia="Arial" w:hAnsi="Arial"/>
                <w:sz w:val="18"/>
                <w:szCs w:val="18"/>
                <w:b w:val="1"/>
                <w:bCs w:val="1"/>
                <w:color w:val="auto"/>
                <w:w w:val="88"/>
              </w:rPr>
              <w:t>None</w:t>
            </w:r>
          </w:p>
        </w:tc>
      </w:tr>
    </w:tbl>
    <w:p>
      <w:pPr>
        <w:ind w:left="340" w:right="980"/>
        <w:spacing w:after="0" w:line="253" w:lineRule="exact"/>
        <w:rPr>
          <w:sz w:val="20"/>
          <w:szCs w:val="20"/>
          <w:color w:val="auto"/>
        </w:rPr>
      </w:pPr>
      <w:r>
        <w:rPr>
          <w:rFonts w:ascii="Arial" w:cs="Arial" w:eastAsia="Arial" w:hAnsi="Arial"/>
          <w:sz w:val="16"/>
          <w:szCs w:val="16"/>
          <w:color w:val="auto"/>
        </w:rPr>
        <w:t xml:space="preserve">Indicate by check mark whether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 Indicate by check mark whether the registrant is not required to file reports pursuant to Section 13 or 15(d) of the Act. Yes o No </w:t>
      </w:r>
      <w:r>
        <w:rPr>
          <w:rFonts w:ascii="MS PGothic" w:cs="MS PGothic" w:eastAsia="MS PGothic" w:hAnsi="MS PGothic"/>
          <w:sz w:val="16"/>
          <w:szCs w:val="16"/>
          <w:color w:val="auto"/>
        </w:rPr>
        <w:t>☑</w:t>
      </w:r>
    </w:p>
    <w:p>
      <w:pPr>
        <w:jc w:val="both"/>
        <w:ind w:right="2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3" w:lineRule="exact"/>
        <w:rPr>
          <w:sz w:val="24"/>
          <w:szCs w:val="24"/>
          <w:color w:val="auto"/>
        </w:rPr>
      </w:pPr>
    </w:p>
    <w:p>
      <w:pPr>
        <w:ind w:right="16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3" w:lineRule="exact"/>
        <w:rPr>
          <w:sz w:val="24"/>
          <w:szCs w:val="24"/>
          <w:color w:val="auto"/>
        </w:rPr>
      </w:pPr>
    </w:p>
    <w:p>
      <w:pPr>
        <w:jc w:val="both"/>
        <w:ind w:firstLine="324"/>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 w:lineRule="exact"/>
        <w:rPr>
          <w:sz w:val="24"/>
          <w:szCs w:val="24"/>
          <w:color w:val="auto"/>
        </w:rPr>
      </w:pPr>
    </w:p>
    <w:p>
      <w:pPr>
        <w:jc w:val="both"/>
        <w:ind w:right="20" w:firstLine="324"/>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0" w:lineRule="exact"/>
        <w:rPr>
          <w:sz w:val="24"/>
          <w:szCs w:val="24"/>
          <w:color w:val="auto"/>
        </w:rPr>
      </w:pPr>
    </w:p>
    <w:p>
      <w:pPr>
        <w:ind w:left="2780" w:right="460" w:hanging="4603"/>
        <w:spacing w:after="0" w:line="238" w:lineRule="exact"/>
        <w:tabs>
          <w:tab w:leader="none" w:pos="276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 o Non-accelerated filer o Smaller reporting company o (Do not check if a smaller reporting company)</w:t>
      </w:r>
    </w:p>
    <w:p>
      <w:pPr>
        <w:spacing w:after="0" w:line="44" w:lineRule="exact"/>
        <w:rPr>
          <w:sz w:val="24"/>
          <w:szCs w:val="24"/>
          <w:color w:val="auto"/>
        </w:rPr>
      </w:pPr>
    </w:p>
    <w:p>
      <w:pPr>
        <w:ind w:left="340"/>
        <w:spacing w:after="0" w:line="196" w:lineRule="exact"/>
        <w:tabs>
          <w:tab w:leader="none" w:pos="92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8" w:lineRule="exact"/>
        <w:rPr>
          <w:sz w:val="24"/>
          <w:szCs w:val="24"/>
          <w:color w:val="auto"/>
        </w:rPr>
      </w:pPr>
    </w:p>
    <w:p>
      <w:pPr>
        <w:ind w:right="180" w:firstLine="324"/>
        <w:spacing w:after="0" w:line="256"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(assuming for these purposes that all executive officers and directors are “affiliates” of the registrant) as of September 26, 2015, the last business day of the registrant’s most recently completed second fiscal quarter was $1,738,830,869 (based on the closing sale price of the registrant’s common stock on that date as reported on the New York Stock Exchange).</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$0.01 par value common stock outstanding as of May 20, 2016 was 51,042,696.</w:t>
      </w:r>
    </w:p>
    <w:p>
      <w:pPr>
        <w:spacing w:after="0" w:line="32"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Documents Incorporated By Reference</w:t>
      </w:r>
    </w:p>
    <w:p>
      <w:pPr>
        <w:spacing w:after="0" w:line="40"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Portions of the definitive proxy statement for our Annual Meeting of Shareholders to be held on July 21, 2016 are incorporated by reference in Part III of this report.</w:t>
      </w:r>
    </w:p>
    <w:p>
      <w:pPr>
        <w:sectPr>
          <w:pgSz w:w="11900" w:h="16838" w:orient="portrait"/>
          <w:cols w:equalWidth="0" w:num="1">
            <w:col w:w="11360"/>
          </w:cols>
          <w:pgMar w:left="240" w:top="468"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80" w:type="dxa"/>
            <w:vAlign w:val="bottom"/>
            <w:gridSpan w:val="8"/>
          </w:tcPr>
          <w:p>
            <w:pPr>
              <w:ind w:left="24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04"/>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Page</w:t>
            </w:r>
          </w:p>
        </w:tc>
      </w:tr>
      <w:tr>
        <w:trPr>
          <w:trHeight w:val="192"/>
        </w:trPr>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Number</w:t>
            </w: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Item 1.</w:t>
            </w:r>
          </w:p>
        </w:tc>
        <w:tc>
          <w:tcPr>
            <w:tcW w:w="9420" w:type="dxa"/>
            <w:vAlign w:val="bottom"/>
            <w:gridSpan w:val="19"/>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800" w:type="dxa"/>
            <w:vAlign w:val="bottom"/>
            <w:gridSpan w:val="4"/>
          </w:tcPr>
          <w:p>
            <w:pPr>
              <w:jc w:val="right"/>
              <w:ind w:righ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420" w:type="dxa"/>
            <w:vAlign w:val="bottom"/>
            <w:gridSpan w:val="19"/>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13">
              <w:r>
                <w:rPr>
                  <w:rFonts w:ascii="Arial" w:cs="Arial" w:eastAsia="Arial" w:hAnsi="Arial"/>
                  <w:sz w:val="18"/>
                  <w:szCs w:val="18"/>
                  <w:color w:val="0000EE"/>
                </w:rPr>
                <w:t>11</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1B.</w:t>
            </w:r>
          </w:p>
        </w:tc>
        <w:tc>
          <w:tcPr>
            <w:tcW w:w="9420" w:type="dxa"/>
            <w:vAlign w:val="bottom"/>
            <w:gridSpan w:val="1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Unresolved Staff Comments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20">
              <w:r>
                <w:rPr>
                  <w:rFonts w:ascii="Arial" w:cs="Arial" w:eastAsia="Arial" w:hAnsi="Arial"/>
                  <w:sz w:val="18"/>
                  <w:szCs w:val="18"/>
                  <w:color w:val="0000EE"/>
                </w:rPr>
                <w:t>18</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Properties</w:t>
              </w:r>
            </w:hyperlink>
          </w:p>
        </w:tc>
        <w:tc>
          <w:tcPr>
            <w:tcW w:w="1300" w:type="dxa"/>
            <w:vAlign w:val="bottom"/>
            <w:gridSpan w:val="6"/>
          </w:tcPr>
          <w:p>
            <w:pPr>
              <w:spacing w:after="0"/>
              <w:rPr>
                <w:sz w:val="21"/>
                <w:szCs w:val="21"/>
                <w:color w:val="auto"/>
              </w:rPr>
            </w:pPr>
          </w:p>
        </w:tc>
        <w:tc>
          <w:tcPr>
            <w:tcW w:w="7380" w:type="dxa"/>
            <w:vAlign w:val="bottom"/>
            <w:gridSpan w:val="11"/>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20">
              <w:r>
                <w:rPr>
                  <w:rFonts w:ascii="Arial" w:cs="Arial" w:eastAsia="Arial" w:hAnsi="Arial"/>
                  <w:sz w:val="17"/>
                  <w:szCs w:val="17"/>
                  <w:color w:val="0000EE"/>
                  <w:w w:val="73"/>
                </w:rPr>
                <w:t>18</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1320" w:type="dxa"/>
            <w:vAlign w:val="bottom"/>
            <w:gridSpan w:val="4"/>
          </w:tcPr>
          <w:p>
            <w:pPr>
              <w:spacing w:after="0"/>
              <w:rPr>
                <w:rFonts w:ascii="Arial" w:cs="Arial" w:eastAsia="Arial" w:hAnsi="Arial"/>
                <w:sz w:val="18"/>
                <w:szCs w:val="18"/>
                <w:color w:val="0000EE"/>
                <w:w w:val="85"/>
              </w:rPr>
            </w:pPr>
            <w:hyperlink w:anchor="page20">
              <w:r>
                <w:rPr>
                  <w:rFonts w:ascii="Arial" w:cs="Arial" w:eastAsia="Arial" w:hAnsi="Arial"/>
                  <w:sz w:val="18"/>
                  <w:szCs w:val="18"/>
                  <w:color w:val="0000EE"/>
                  <w:w w:val="85"/>
                </w:rPr>
                <w:t>Legal Proceedings</w:t>
              </w:r>
            </w:hyperlink>
          </w:p>
        </w:tc>
        <w:tc>
          <w:tcPr>
            <w:tcW w:w="8100" w:type="dxa"/>
            <w:vAlign w:val="bottom"/>
            <w:gridSpan w:val="15"/>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20">
              <w:r>
                <w:rPr>
                  <w:rFonts w:ascii="Arial" w:cs="Arial" w:eastAsia="Arial" w:hAnsi="Arial"/>
                  <w:sz w:val="17"/>
                  <w:szCs w:val="17"/>
                  <w:color w:val="0000EE"/>
                  <w:w w:val="73"/>
                </w:rPr>
                <w:t>18</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6"/>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Mine Safety Disclosures</w:t>
              </w:r>
            </w:hyperlink>
          </w:p>
        </w:tc>
        <w:tc>
          <w:tcPr>
            <w:tcW w:w="7640" w:type="dxa"/>
            <w:vAlign w:val="bottom"/>
            <w:gridSpan w:val="13"/>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21">
              <w:r>
                <w:rPr>
                  <w:rFonts w:ascii="Arial" w:cs="Arial" w:eastAsia="Arial" w:hAnsi="Arial"/>
                  <w:sz w:val="17"/>
                  <w:szCs w:val="17"/>
                  <w:color w:val="0000EE"/>
                  <w:w w:val="73"/>
                </w:rPr>
                <w:t>19</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4A.</w:t>
            </w:r>
          </w:p>
        </w:tc>
        <w:tc>
          <w:tcPr>
            <w:tcW w:w="1320" w:type="dxa"/>
            <w:vAlign w:val="bottom"/>
            <w:gridSpan w:val="4"/>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Executive Officers</w:t>
              </w:r>
            </w:hyperlink>
          </w:p>
        </w:tc>
        <w:tc>
          <w:tcPr>
            <w:tcW w:w="460" w:type="dxa"/>
            <w:vAlign w:val="bottom"/>
            <w:gridSpan w:val="2"/>
          </w:tcPr>
          <w:p>
            <w:pPr>
              <w:spacing w:after="0"/>
              <w:rPr>
                <w:sz w:val="21"/>
                <w:szCs w:val="21"/>
                <w:color w:val="auto"/>
              </w:rPr>
            </w:pPr>
          </w:p>
        </w:tc>
        <w:tc>
          <w:tcPr>
            <w:tcW w:w="7640" w:type="dxa"/>
            <w:vAlign w:val="bottom"/>
            <w:gridSpan w:val="13"/>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21">
              <w:r>
                <w:rPr>
                  <w:rFonts w:ascii="Arial" w:cs="Arial" w:eastAsia="Arial" w:hAnsi="Arial"/>
                  <w:sz w:val="17"/>
                  <w:szCs w:val="17"/>
                  <w:color w:val="0000EE"/>
                  <w:w w:val="73"/>
                </w:rPr>
                <w:t>19</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Market for the Registrant’s Common Equity, Related Stockholder Matters, and Issuer Purchases of Equity Securities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838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Selected Consolidated Financial Data</w:t>
              </w:r>
            </w:hyperlink>
          </w:p>
        </w:tc>
        <w:tc>
          <w:tcPr>
            <w:tcW w:w="10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26">
              <w:r>
                <w:rPr>
                  <w:rFonts w:ascii="Arial" w:cs="Arial" w:eastAsia="Arial" w:hAnsi="Arial"/>
                  <w:sz w:val="17"/>
                  <w:szCs w:val="17"/>
                  <w:color w:val="0000EE"/>
                  <w:w w:val="73"/>
                </w:rPr>
                <w:t>24</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7.</w:t>
            </w:r>
          </w:p>
        </w:tc>
        <w:tc>
          <w:tcPr>
            <w:tcW w:w="942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7A.</w:t>
            </w:r>
          </w:p>
        </w:tc>
        <w:tc>
          <w:tcPr>
            <w:tcW w:w="4320" w:type="dxa"/>
            <w:vAlign w:val="bottom"/>
            <w:gridSpan w:val="12"/>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1"/>
                <w:szCs w:val="21"/>
                <w:color w:val="auto"/>
              </w:rPr>
            </w:pPr>
          </w:p>
        </w:tc>
        <w:tc>
          <w:tcPr>
            <w:tcW w:w="2960" w:type="dxa"/>
            <w:vAlign w:val="bottom"/>
            <w:gridSpan w:val="4"/>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47">
              <w:r>
                <w:rPr>
                  <w:rFonts w:ascii="Arial" w:cs="Arial" w:eastAsia="Arial" w:hAnsi="Arial"/>
                  <w:sz w:val="17"/>
                  <w:szCs w:val="17"/>
                  <w:color w:val="0000EE"/>
                  <w:w w:val="73"/>
                </w:rPr>
                <w:t>45</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gridSpan w:val="11"/>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Financial Statements and Supplementary Data</w:t>
              </w:r>
            </w:hyperlink>
          </w:p>
        </w:tc>
        <w:tc>
          <w:tcPr>
            <w:tcW w:w="980" w:type="dxa"/>
            <w:vAlign w:val="bottom"/>
          </w:tcPr>
          <w:p>
            <w:pPr>
              <w:spacing w:after="0"/>
              <w:rPr>
                <w:sz w:val="21"/>
                <w:szCs w:val="21"/>
                <w:color w:val="auto"/>
              </w:rPr>
            </w:pPr>
          </w:p>
        </w:tc>
        <w:tc>
          <w:tcPr>
            <w:tcW w:w="5100" w:type="dxa"/>
            <w:vAlign w:val="bottom"/>
            <w:gridSpan w:val="7"/>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50">
              <w:r>
                <w:rPr>
                  <w:rFonts w:ascii="Arial" w:cs="Arial" w:eastAsia="Arial" w:hAnsi="Arial"/>
                  <w:sz w:val="17"/>
                  <w:szCs w:val="17"/>
                  <w:color w:val="0000EE"/>
                  <w:w w:val="73"/>
                </w:rPr>
                <w:t>48</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w:t>
            </w:r>
          </w:p>
        </w:tc>
        <w:tc>
          <w:tcPr>
            <w:tcW w:w="9420" w:type="dxa"/>
            <w:vAlign w:val="bottom"/>
            <w:gridSpan w:val="19"/>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Changes in and Disagreements with Accountants on Accounting and Financial Disclosure</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95">
              <w:r>
                <w:rPr>
                  <w:rFonts w:ascii="Arial" w:cs="Arial" w:eastAsia="Arial" w:hAnsi="Arial"/>
                  <w:sz w:val="18"/>
                  <w:szCs w:val="18"/>
                  <w:color w:val="0000EE"/>
                </w:rPr>
                <w:t>93</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52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16"/>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Control and Procedures</w:t>
              </w:r>
            </w:hyperlink>
          </w:p>
        </w:tc>
        <w:tc>
          <w:tcPr>
            <w:tcW w:w="2940" w:type="dxa"/>
            <w:vAlign w:val="bottom"/>
            <w:gridSpan w:val="3"/>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95">
              <w:r>
                <w:rPr>
                  <w:rFonts w:ascii="Arial" w:cs="Arial" w:eastAsia="Arial" w:hAnsi="Arial"/>
                  <w:sz w:val="17"/>
                  <w:szCs w:val="17"/>
                  <w:color w:val="0000EE"/>
                  <w:w w:val="73"/>
                </w:rPr>
                <w:t>93</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9B.</w:t>
            </w:r>
          </w:p>
        </w:tc>
        <w:tc>
          <w:tcPr>
            <w:tcW w:w="1320" w:type="dxa"/>
            <w:vAlign w:val="bottom"/>
            <w:gridSpan w:val="4"/>
          </w:tcPr>
          <w:p>
            <w:pPr>
              <w:spacing w:after="0"/>
              <w:rPr>
                <w:rFonts w:ascii="Arial" w:cs="Arial" w:eastAsia="Arial" w:hAnsi="Arial"/>
                <w:sz w:val="18"/>
                <w:szCs w:val="18"/>
                <w:color w:val="0000EE"/>
                <w:w w:val="91"/>
              </w:rPr>
            </w:pPr>
            <w:hyperlink w:anchor="page98">
              <w:r>
                <w:rPr>
                  <w:rFonts w:ascii="Arial" w:cs="Arial" w:eastAsia="Arial" w:hAnsi="Arial"/>
                  <w:sz w:val="18"/>
                  <w:szCs w:val="18"/>
                  <w:color w:val="0000EE"/>
                  <w:w w:val="91"/>
                </w:rPr>
                <w:t>Other Information</w:t>
              </w:r>
            </w:hyperlink>
          </w:p>
        </w:tc>
        <w:tc>
          <w:tcPr>
            <w:tcW w:w="380" w:type="dxa"/>
            <w:vAlign w:val="bottom"/>
          </w:tcPr>
          <w:p>
            <w:pPr>
              <w:spacing w:after="0"/>
              <w:rPr>
                <w:sz w:val="21"/>
                <w:szCs w:val="21"/>
                <w:color w:val="auto"/>
              </w:rPr>
            </w:pPr>
          </w:p>
        </w:tc>
        <w:tc>
          <w:tcPr>
            <w:tcW w:w="7720" w:type="dxa"/>
            <w:vAlign w:val="bottom"/>
            <w:gridSpan w:val="14"/>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98">
              <w:r>
                <w:rPr>
                  <w:rFonts w:ascii="Arial" w:cs="Arial" w:eastAsia="Arial" w:hAnsi="Arial"/>
                  <w:sz w:val="17"/>
                  <w:szCs w:val="17"/>
                  <w:color w:val="0000EE"/>
                  <w:w w:val="73"/>
                </w:rPr>
                <w:t>96</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10.</w:t>
            </w:r>
          </w:p>
        </w:tc>
        <w:tc>
          <w:tcPr>
            <w:tcW w:w="9420" w:type="dxa"/>
            <w:vAlign w:val="bottom"/>
            <w:gridSpan w:val="19"/>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Directors and Executive Officers of the Registrant and Corporate Governance</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98">
              <w:r>
                <w:rPr>
                  <w:rFonts w:ascii="Arial" w:cs="Arial" w:eastAsia="Arial" w:hAnsi="Arial"/>
                  <w:sz w:val="18"/>
                  <w:szCs w:val="18"/>
                  <w:color w:val="0000EE"/>
                </w:rPr>
                <w:t>96</w:t>
              </w:r>
            </w:hyperlink>
          </w:p>
        </w:tc>
      </w:tr>
      <w:tr>
        <w:trPr>
          <w:trHeight w:val="20"/>
        </w:trPr>
        <w:tc>
          <w:tcPr>
            <w:tcW w:w="114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52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11.</w:t>
            </w:r>
          </w:p>
        </w:tc>
        <w:tc>
          <w:tcPr>
            <w:tcW w:w="5600" w:type="dxa"/>
            <w:vAlign w:val="bottom"/>
            <w:gridSpan w:val="14"/>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Executive Compensation</w:t>
              </w:r>
            </w:hyperlink>
          </w:p>
        </w:tc>
        <w:tc>
          <w:tcPr>
            <w:tcW w:w="3820" w:type="dxa"/>
            <w:vAlign w:val="bottom"/>
            <w:gridSpan w:val="5"/>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98">
              <w:r>
                <w:rPr>
                  <w:rFonts w:ascii="Arial" w:cs="Arial" w:eastAsia="Arial" w:hAnsi="Arial"/>
                  <w:sz w:val="17"/>
                  <w:szCs w:val="17"/>
                  <w:color w:val="0000EE"/>
                  <w:w w:val="73"/>
                </w:rPr>
                <w:t>96</w:t>
              </w:r>
            </w:hyperlink>
          </w:p>
        </w:tc>
      </w:tr>
      <w:tr>
        <w:trPr>
          <w:trHeight w:val="20"/>
        </w:trPr>
        <w:tc>
          <w:tcPr>
            <w:tcW w:w="114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gridSpan w:val="17"/>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Security Ownership of Certain Beneficial Owners and Management and Related Stockholder Matters</w:t>
              </w:r>
            </w:hyperlink>
          </w:p>
        </w:tc>
        <w:tc>
          <w:tcPr>
            <w:tcW w:w="212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98">
              <w:r>
                <w:rPr>
                  <w:rFonts w:ascii="Arial" w:cs="Arial" w:eastAsia="Arial" w:hAnsi="Arial"/>
                  <w:sz w:val="17"/>
                  <w:szCs w:val="17"/>
                  <w:color w:val="0000EE"/>
                  <w:w w:val="73"/>
                </w:rPr>
                <w:t>96</w:t>
              </w:r>
            </w:hyperlink>
          </w:p>
        </w:tc>
      </w:tr>
      <w:tr>
        <w:trPr>
          <w:trHeight w:val="20"/>
        </w:trPr>
        <w:tc>
          <w:tcPr>
            <w:tcW w:w="1140" w:type="dxa"/>
            <w:vAlign w:val="bottom"/>
          </w:tcPr>
          <w:p>
            <w:pPr>
              <w:spacing w:after="0" w:line="20" w:lineRule="exact"/>
              <w:rPr>
                <w:sz w:val="1"/>
                <w:szCs w:val="1"/>
                <w:color w:val="auto"/>
              </w:rPr>
            </w:pPr>
          </w:p>
        </w:tc>
        <w:tc>
          <w:tcPr>
            <w:tcW w:w="2880" w:type="dxa"/>
            <w:vAlign w:val="bottom"/>
            <w:gridSpan w:val="10"/>
            <w:shd w:val="clear" w:color="auto" w:fill="0000EE"/>
          </w:tcPr>
          <w:p>
            <w:pPr>
              <w:spacing w:after="0" w:line="20" w:lineRule="exact"/>
              <w:rPr>
                <w:sz w:val="1"/>
                <w:szCs w:val="1"/>
                <w:color w:val="auto"/>
              </w:rPr>
            </w:pPr>
          </w:p>
        </w:tc>
        <w:tc>
          <w:tcPr>
            <w:tcW w:w="2520" w:type="dxa"/>
            <w:vAlign w:val="bottom"/>
            <w:tcBorders>
              <w:left w:val="single" w:sz="8" w:color="0000EE"/>
            </w:tcBorders>
            <w:gridSpan w:val="3"/>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13.</w:t>
            </w:r>
          </w:p>
        </w:tc>
        <w:tc>
          <w:tcPr>
            <w:tcW w:w="7300" w:type="dxa"/>
            <w:vAlign w:val="bottom"/>
            <w:gridSpan w:val="17"/>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Certain Relationships and Related Transactions and Director Independence</w:t>
              </w:r>
            </w:hyperlink>
          </w:p>
        </w:tc>
        <w:tc>
          <w:tcPr>
            <w:tcW w:w="212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98">
              <w:r>
                <w:rPr>
                  <w:rFonts w:ascii="Arial" w:cs="Arial" w:eastAsia="Arial" w:hAnsi="Arial"/>
                  <w:sz w:val="17"/>
                  <w:szCs w:val="17"/>
                  <w:color w:val="0000EE"/>
                  <w:w w:val="73"/>
                </w:rPr>
                <w:t>96</w:t>
              </w:r>
            </w:hyperlink>
          </w:p>
        </w:tc>
      </w:tr>
      <w:tr>
        <w:trPr>
          <w:trHeight w:val="20"/>
        </w:trPr>
        <w:tc>
          <w:tcPr>
            <w:tcW w:w="1140" w:type="dxa"/>
            <w:vAlign w:val="bottom"/>
          </w:tcPr>
          <w:p>
            <w:pPr>
              <w:spacing w:after="0" w:line="20" w:lineRule="exact"/>
              <w:rPr>
                <w:sz w:val="1"/>
                <w:szCs w:val="1"/>
                <w:color w:val="auto"/>
              </w:rPr>
            </w:pPr>
          </w:p>
        </w:tc>
        <w:tc>
          <w:tcPr>
            <w:tcW w:w="2880" w:type="dxa"/>
            <w:vAlign w:val="bottom"/>
            <w:gridSpan w:val="10"/>
            <w:shd w:val="clear" w:color="auto" w:fill="0000EE"/>
          </w:tcPr>
          <w:p>
            <w:pPr>
              <w:spacing w:after="0" w:line="20" w:lineRule="exact"/>
              <w:rPr>
                <w:sz w:val="1"/>
                <w:szCs w:val="1"/>
                <w:color w:val="auto"/>
              </w:rPr>
            </w:pPr>
          </w:p>
        </w:tc>
        <w:tc>
          <w:tcPr>
            <w:tcW w:w="2520" w:type="dxa"/>
            <w:vAlign w:val="bottom"/>
            <w:tcBorders>
              <w:left w:val="single" w:sz="8" w:color="0000EE"/>
            </w:tcBorders>
            <w:gridSpan w:val="3"/>
            <w:shd w:val="clear" w:color="auto" w:fill="0000EE"/>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14.</w:t>
            </w:r>
          </w:p>
        </w:tc>
        <w:tc>
          <w:tcPr>
            <w:tcW w:w="2880" w:type="dxa"/>
            <w:vAlign w:val="bottom"/>
            <w:gridSpan w:val="10"/>
          </w:tcPr>
          <w:p>
            <w:pPr>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Principal Accounting Fees and Services</w:t>
              </w:r>
            </w:hyperlink>
          </w:p>
        </w:tc>
        <w:tc>
          <w:tcPr>
            <w:tcW w:w="2520" w:type="dxa"/>
            <w:vAlign w:val="bottom"/>
            <w:gridSpan w:val="3"/>
          </w:tcPr>
          <w:p>
            <w:pPr>
              <w:spacing w:after="0"/>
              <w:rPr>
                <w:sz w:val="21"/>
                <w:szCs w:val="21"/>
                <w:color w:val="auto"/>
              </w:rPr>
            </w:pPr>
          </w:p>
        </w:tc>
        <w:tc>
          <w:tcPr>
            <w:tcW w:w="4020" w:type="dxa"/>
            <w:vAlign w:val="bottom"/>
            <w:gridSpan w:val="6"/>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98">
              <w:r>
                <w:rPr>
                  <w:rFonts w:ascii="Arial" w:cs="Arial" w:eastAsia="Arial" w:hAnsi="Arial"/>
                  <w:sz w:val="17"/>
                  <w:szCs w:val="17"/>
                  <w:color w:val="0000EE"/>
                  <w:w w:val="73"/>
                </w:rPr>
                <w:t>96</w:t>
              </w:r>
            </w:hyperlink>
          </w:p>
        </w:tc>
      </w:tr>
      <w:tr>
        <w:trPr>
          <w:trHeight w:val="20"/>
        </w:trPr>
        <w:tc>
          <w:tcPr>
            <w:tcW w:w="1140" w:type="dxa"/>
            <w:vAlign w:val="bottom"/>
          </w:tcPr>
          <w:p>
            <w:pPr>
              <w:spacing w:after="0" w:line="20" w:lineRule="exact"/>
              <w:rPr>
                <w:sz w:val="1"/>
                <w:szCs w:val="1"/>
                <w:color w:val="auto"/>
              </w:rPr>
            </w:pPr>
          </w:p>
        </w:tc>
        <w:tc>
          <w:tcPr>
            <w:tcW w:w="2880" w:type="dxa"/>
            <w:vAlign w:val="bottom"/>
            <w:gridSpan w:val="10"/>
            <w:shd w:val="clear" w:color="auto" w:fill="0000EE"/>
          </w:tcPr>
          <w:p>
            <w:pPr>
              <w:spacing w:after="0" w:line="20" w:lineRule="exact"/>
              <w:rPr>
                <w:sz w:val="1"/>
                <w:szCs w:val="1"/>
                <w:color w:val="auto"/>
              </w:rPr>
            </w:pPr>
          </w:p>
        </w:tc>
        <w:tc>
          <w:tcPr>
            <w:tcW w:w="6540" w:type="dxa"/>
            <w:vAlign w:val="bottom"/>
            <w:gridSpan w:val="9"/>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15.</w:t>
            </w:r>
          </w:p>
        </w:tc>
        <w:tc>
          <w:tcPr>
            <w:tcW w:w="9420" w:type="dxa"/>
            <w:vAlign w:val="bottom"/>
            <w:gridSpan w:val="19"/>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Exhibits, Financial Statement Schedules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99">
              <w:r>
                <w:rPr>
                  <w:rFonts w:ascii="Arial" w:cs="Arial" w:eastAsia="Arial" w:hAnsi="Arial"/>
                  <w:sz w:val="18"/>
                  <w:szCs w:val="18"/>
                  <w:color w:val="0000EE"/>
                </w:rPr>
                <w:t>97</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360"/>
          </w:cols>
          <w:pgMar w:left="280" w:top="688"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Company Overview</w:t>
      </w:r>
    </w:p>
    <w:p>
      <w:pPr>
        <w:spacing w:after="0" w:line="34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Haemonetics is a global healthcare company dedicated to providing innovative products to customers involved in the processing, handling and analysis of blood. We offer a comprehensive portfolio of integrated devices and information management tools with the goal of helping improve clinical outcomes and reduce costs for blood and plasma collectors, hospitals, and patients around the world. When used in this report, the terms “we,” “us,” “our” and “the Company” mean Haemonetics.</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Haemonetics was founded in 1971 as a medical device company — a pioneer and market leader in developing and manufacturing automated blood component collection devices and surgical blood salvage devices. In May 1991, we completed an initial public offering and to this day remain an independent company.</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Blood and its components (plasma, platelets, and red cells) have many vital - and frequently life-saving - clinical applications. Plasma is used for patients with major blood loss and is manufactured into pharmaceuticals to treat a variety of illnesses and hereditary disorders such as hemophilia. Red cells treat trauma patients or patients undergoing surgery with high blood loss, such as open heart surgery or organ transplant. Platelets treat cancer patients undergoing chemotherapy. Blood is essential to a modern healthcare system.</w:t>
      </w:r>
    </w:p>
    <w:p>
      <w:pPr>
        <w:spacing w:after="0" w:line="18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Haemonetics develops and markets a wide range of devices and solutions to serve our customers. We provide plasma collection systems and software which enable plasma fractionators to make life saving pharmaceuticals. We provide analytical devices for measuring hemostasis which enable healthcare providers to better manage their patients’ bleeding risk. Haemonetics makes blood processing systems and software which make blood donation more efficient and track life giving blood components. Finally, Haemonetics supplies systems and software which facilitate blood transfusions and cell processing.</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and Products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Lines</w:t>
      </w:r>
    </w:p>
    <w:p>
      <w:pPr>
        <w:spacing w:after="0" w:line="18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recently undertook a global strategic review of our business portfolio to identify which end markets and product franchises have the strongest growth opportunities. As a result of that review, we organized our current products into four franchises for purposes of evaluating their growth potential: Plasma, Hemostasis Management, Donor and Cell Processing. In that review, “Plasma” included plasma collection devices and disposables, plasma donor management software and anticoagulant and saline sold to plasma customers. “Hemostasis Management” included devices and methodologies for measuring coagulation characteristics of blood, such as our TEG® Hemostasis Analyzer. “Donor” included blood collection and processing devices and disposables for red cells, platelets and whole blood as well as related donor management software. “Cell Processing” included surgical blood salvage systems, specialized blood cell processing systems, disposables and blood transfusion management software.</w:t>
      </w:r>
    </w:p>
    <w:p>
      <w:pPr>
        <w:spacing w:after="0" w:line="178"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In connection with this strategic review, we concluded that Plasma and Hemostasis Management have the greatest growth potential, while Cell Processing innovation offers an opportunity to increase market share and expand into new segments. Donor is competing in challenging markets which require us to manage the business differently, including reducing costs and the scope of the current product line. In recognition of these conclusions, we have begun to implement an operating model that will streamline the management structure and rationalize our cost structure, with an aim to bring about sustainable productivity improvement across the organization. Overall, we expect implementation of our new direction will require multiple changes and will extend beyond fiscal 2017.</w:t>
      </w:r>
    </w:p>
    <w:p>
      <w:pPr>
        <w:spacing w:after="0" w:line="193"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 xml:space="preserve">To provide continuity while we are implementing these changes to our business approach, we are reporting our results consistent with how management viewed the business in fiscal 2016 and prior periods. In those periods, we viewed our company as serving three customer groups: manufacturers of plasma derived pharmaceuticals, blood collectors, and hospitals. In fiscal 2016 and previous periods included within this Annual Report on Form 10-K, we have reported revenues for multiple product lines under four global product categories: </w:t>
      </w:r>
      <w:r>
        <w:rPr>
          <w:rFonts w:ascii="Arial" w:cs="Arial" w:eastAsia="Arial" w:hAnsi="Arial"/>
          <w:sz w:val="16"/>
          <w:szCs w:val="16"/>
          <w:b w:val="1"/>
          <w:bCs w:val="1"/>
          <w:color w:val="auto"/>
        </w:rPr>
        <w:t>Plasma</w:t>
      </w:r>
      <w:r>
        <w:rPr>
          <w:rFonts w:ascii="Arial" w:cs="Arial" w:eastAsia="Arial" w:hAnsi="Arial"/>
          <w:sz w:val="16"/>
          <w:szCs w:val="16"/>
          <w:color w:val="auto"/>
        </w:rPr>
        <w:t xml:space="preserve">, </w:t>
      </w:r>
      <w:r>
        <w:rPr>
          <w:rFonts w:ascii="Arial" w:cs="Arial" w:eastAsia="Arial" w:hAnsi="Arial"/>
          <w:sz w:val="16"/>
          <w:szCs w:val="16"/>
          <w:b w:val="1"/>
          <w:bCs w:val="1"/>
          <w:color w:val="auto"/>
        </w:rPr>
        <w:t>Blood Center</w:t>
      </w:r>
      <w:r>
        <w:rPr>
          <w:rFonts w:ascii="Arial" w:cs="Arial" w:eastAsia="Arial" w:hAnsi="Arial"/>
          <w:sz w:val="16"/>
          <w:szCs w:val="16"/>
          <w:color w:val="auto"/>
        </w:rPr>
        <w:t xml:space="preserve">, </w:t>
      </w:r>
      <w:r>
        <w:rPr>
          <w:rFonts w:ascii="Arial" w:cs="Arial" w:eastAsia="Arial" w:hAnsi="Arial"/>
          <w:sz w:val="16"/>
          <w:szCs w:val="16"/>
          <w:b w:val="1"/>
          <w:bCs w:val="1"/>
          <w:color w:val="auto"/>
        </w:rPr>
        <w:t>Hospital</w:t>
      </w:r>
      <w:r>
        <w:rPr>
          <w:rFonts w:ascii="Arial" w:cs="Arial" w:eastAsia="Arial" w:hAnsi="Arial"/>
          <w:sz w:val="16"/>
          <w:szCs w:val="16"/>
          <w:color w:val="auto"/>
        </w:rPr>
        <w:t xml:space="preserve">, and </w:t>
      </w:r>
      <w:r>
        <w:rPr>
          <w:rFonts w:ascii="Arial" w:cs="Arial" w:eastAsia="Arial" w:hAnsi="Arial"/>
          <w:sz w:val="16"/>
          <w:szCs w:val="16"/>
          <w:b w:val="1"/>
          <w:bCs w:val="1"/>
          <w:color w:val="auto"/>
        </w:rPr>
        <w:t>Software Solutions</w:t>
      </w:r>
      <w:r>
        <w:rPr>
          <w:rFonts w:ascii="Arial" w:cs="Arial" w:eastAsia="Arial" w:hAnsi="Arial"/>
          <w:sz w:val="16"/>
          <w:szCs w:val="16"/>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0"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In these results, “Plasma” includes plasma collection devices and disposables. “Blood Center” includes blood collection and processing devices and disposables. “Hospital” includes surgical blood salvage and blood demand diagnostic devices and disposables. “Software Solutions” includes information technology platforms and consulting services provided to all three markets. Although we address our customers' needs through multiple product lines, we manage our business as five operating segments based primarily on geography: (a) North America Plasma, (b) Americas Blood Center and Hospital, (c) Europe, Middle East and Africa (collectively "EMEA"), (d) Asia Pacific and (e) Japan. The North America Plasma reporting unit is a separate operating segment with dedicated segment management due the size and scale of the plasma business.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For financial reporting purposes, we aggregate our five operating segments into four reportable segments which include:</w:t>
      </w:r>
    </w:p>
    <w:p>
      <w:pPr>
        <w:spacing w:after="0" w:line="131"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Japan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North America Plasma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Other</w:t>
      </w:r>
    </w:p>
    <w:p>
      <w:pPr>
        <w:spacing w:after="0" w:line="11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have aggregated the following two operating segments into the All Other reportable segment based upon their similar operational and economic characteristics, including similarity of operating margin:</w:t>
      </w:r>
    </w:p>
    <w:p>
      <w:pPr>
        <w:spacing w:after="0" w:line="7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Americas Blood Center and Hospital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Asia - Pacific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assets by segment are set forth below:</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4"/>
                <w:szCs w:val="14"/>
                <w:color w:val="auto"/>
              </w:rPr>
            </w:pPr>
          </w:p>
        </w:tc>
        <w:tc>
          <w:tcPr>
            <w:tcW w:w="1220" w:type="dxa"/>
            <w:vAlign w:val="bottom"/>
          </w:tcPr>
          <w:p>
            <w:pPr>
              <w:jc w:val="right"/>
              <w:ind w:right="375"/>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Japan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129,551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146,765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159,227</w:t>
            </w: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EMEA</w:t>
            </w:r>
          </w:p>
        </w:tc>
        <w:tc>
          <w:tcPr>
            <w:tcW w:w="30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249,504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305,540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329,316</w:t>
            </w: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North America Plasma</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453,212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467,249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421,706</w:t>
            </w: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All Other</w:t>
            </w:r>
          </w:p>
        </w:tc>
        <w:tc>
          <w:tcPr>
            <w:tcW w:w="30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486,861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565,863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603,929</w:t>
            </w:r>
          </w:p>
        </w:tc>
      </w:tr>
      <w:tr>
        <w:trPr>
          <w:trHeight w:val="27"/>
        </w:trPr>
        <w:tc>
          <w:tcPr>
            <w:tcW w:w="6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1,319,128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1,485,417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1,514,178</w:t>
            </w:r>
          </w:p>
        </w:tc>
      </w:tr>
      <w:tr>
        <w:trPr>
          <w:trHeight w:val="20"/>
        </w:trPr>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The financial information required for segments is included herein in Note 14,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to our consolidated financial statements contained in Item 8 of this Annual Report on Form 10-K.</w:t>
      </w:r>
    </w:p>
    <w:p>
      <w:pPr>
        <w:spacing w:after="0" w:line="16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Plasma</w:t>
      </w:r>
    </w:p>
    <w:p>
      <w:pPr>
        <w:spacing w:after="0" w:line="134" w:lineRule="exact"/>
        <w:rPr>
          <w:rFonts w:ascii="Arial" w:cs="Arial" w:eastAsia="Arial" w:hAnsi="Arial"/>
          <w:sz w:val="18"/>
          <w:szCs w:val="18"/>
          <w:b w:val="1"/>
          <w:bCs w:val="1"/>
          <w:color w:val="auto"/>
        </w:rPr>
      </w:pPr>
    </w:p>
    <w:p>
      <w:pPr>
        <w:ind w:left="660" w:right="220"/>
        <w:spacing w:after="0" w:line="276"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 xml:space="preserve">The Plasma Collection Market for Fractionation </w:t>
      </w:r>
      <w:r>
        <w:rPr>
          <w:rFonts w:ascii="Arial" w:cs="Arial" w:eastAsia="Arial" w:hAnsi="Arial"/>
          <w:sz w:val="17"/>
          <w:szCs w:val="17"/>
          <w:color w:val="auto"/>
        </w:rPr>
        <w:t>— Human plasma is collected and processed by bio-pharmaceutical companies into therapeutic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diagnostic products that aid in the treatment of immune diseases and coagulation disorders. While plasma is also used to aid patients with extreme blood loss, such as trauma victims, bio-pharmaceutical companies solely focus on plasma's pharmaceutical uses. Automated plasma collection technology allows for the safe and efficient collection of plasma. We manufacture and market automated plasma collection devices and respective disposables, but do not make plasma-derived pharmaceuticals.</w:t>
      </w:r>
    </w:p>
    <w:p>
      <w:pPr>
        <w:spacing w:after="0" w:line="77" w:lineRule="exact"/>
        <w:rPr>
          <w:rFonts w:ascii="Arial" w:cs="Arial" w:eastAsia="Arial" w:hAnsi="Arial"/>
          <w:sz w:val="18"/>
          <w:szCs w:val="18"/>
          <w:b w:val="1"/>
          <w:bCs w:val="1"/>
          <w:color w:val="auto"/>
        </w:rPr>
      </w:pPr>
    </w:p>
    <w:p>
      <w:pPr>
        <w:jc w:val="both"/>
        <w:ind w:left="6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Many bio-pharmaceutical companies are vertically integrated in all components of their business and thus are now collecting and fractionating the plasma required to manufacture pharmaceuticals. This vertical integration paved the way for highly efficient plasma supply chain management and the plasma industry leverages information technology to manage operations from the point of plasma donation to fractionation to the production of the final product.</w:t>
      </w:r>
    </w:p>
    <w:p>
      <w:pPr>
        <w:spacing w:after="0" w:line="200" w:lineRule="exact"/>
        <w:rPr>
          <w:rFonts w:ascii="Arial" w:cs="Arial" w:eastAsia="Arial" w:hAnsi="Arial"/>
          <w:sz w:val="18"/>
          <w:szCs w:val="18"/>
          <w:b w:val="1"/>
          <w:bCs w:val="1"/>
          <w:color w:val="auto"/>
        </w:rPr>
      </w:pPr>
    </w:p>
    <w:p>
      <w:pPr>
        <w:ind w:left="660" w:right="4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Haemonetics' Plasma Products </w:t>
      </w:r>
      <w:r>
        <w:rPr>
          <w:rFonts w:ascii="Arial" w:cs="Arial" w:eastAsia="Arial" w:hAnsi="Arial"/>
          <w:sz w:val="18"/>
          <w:szCs w:val="18"/>
          <w:color w:val="auto"/>
        </w:rPr>
        <w:t>— Our portfolio of products and services is designed to support multiple facets of plasma collector operations.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long-standing commitment to understanding our customers' collection and fractionation processes. As a result, we deliver product quality and reliability; design equipment that is durable, dependable, and easy to use; comprehensive training and support, and strong business continuity practices.</w:t>
      </w:r>
    </w:p>
    <w:p>
      <w:pPr>
        <w:spacing w:after="0" w:line="92" w:lineRule="exact"/>
        <w:rPr>
          <w:rFonts w:ascii="Arial" w:cs="Arial" w:eastAsia="Arial" w:hAnsi="Arial"/>
          <w:sz w:val="18"/>
          <w:szCs w:val="18"/>
          <w:b w:val="1"/>
          <w:bCs w:val="1"/>
          <w:color w:val="auto"/>
        </w:rPr>
      </w:pPr>
    </w:p>
    <w:p>
      <w:pPr>
        <w:ind w:left="660" w:right="60"/>
        <w:spacing w:after="0" w:line="272" w:lineRule="auto"/>
        <w:rPr>
          <w:rFonts w:ascii="Arial" w:cs="Arial" w:eastAsia="Arial" w:hAnsi="Arial"/>
          <w:sz w:val="18"/>
          <w:szCs w:val="18"/>
          <w:b w:val="1"/>
          <w:bCs w:val="1"/>
          <w:color w:val="auto"/>
        </w:rPr>
      </w:pPr>
      <w:r>
        <w:rPr>
          <w:rFonts w:ascii="Arial" w:cs="Arial" w:eastAsia="Arial" w:hAnsi="Arial"/>
          <w:sz w:val="16"/>
          <w:szCs w:val="16"/>
          <w:color w:val="auto"/>
        </w:rPr>
        <w:t>Historically, plasma for fractionation was collected manually, which was time-consuming, labor-intensive, produced relatively poor yields, and posed risk to donors. Today, the vast majority of plasma collections worldwide are performed using automated collection technology because it is safer and more cost-effective. With our PCS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automated plasma collection technology, more plasma can be collected during any one donation event because the other blood components are returned to the donor through the sterile disposable sets used for the plasma donation procedure.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30" w:right="25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left="660" w:right="40"/>
        <w:spacing w:after="0" w:line="239" w:lineRule="auto"/>
        <w:rPr>
          <w:sz w:val="20"/>
          <w:szCs w:val="20"/>
          <w:color w:val="auto"/>
        </w:rPr>
      </w:pPr>
      <w:r>
        <w:rPr>
          <w:rFonts w:ascii="Arial" w:cs="Arial" w:eastAsia="Arial" w:hAnsi="Arial"/>
          <w:sz w:val="18"/>
          <w:szCs w:val="18"/>
          <w:color w:val="auto"/>
        </w:rPr>
        <w:t>We offer “one stop shopping” to our plasma collection customers, enabling them to source from us the full range of products necessary for plasma collection and storage, including PCS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plasma collection equipment and disposables, plasma collection containers, and intravenous solutions such as saline. We also offer a robust portfolio of integrated information technology platforms for plasma customers to manage their donors, operations, and supply chain. Our products automate the donor interview and qualification process; streamline the workflow process in the plasma center; provide the controls necessary to evaluate donor suitability; determine the ability to release units collected; and manage unit distribution. With our software solutions, plasma collectors can manage processes across the plasma supply chain, react quickly to business changes, and identify opportunities to reduce costs.</w:t>
      </w:r>
    </w:p>
    <w:p>
      <w:pPr>
        <w:spacing w:after="0" w:line="1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Our plasma disposables product line represented 38.4%, 35.1%, and 31.1% of our total revenue in fiscal 2016, 2015 and 2014, respectively.</w:t>
      </w:r>
    </w:p>
    <w:p>
      <w:pPr>
        <w:spacing w:after="0" w:line="23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Blood Center</w:t>
      </w:r>
    </w:p>
    <w:p>
      <w:pPr>
        <w:spacing w:after="0" w:line="242" w:lineRule="exact"/>
        <w:rPr>
          <w:rFonts w:ascii="Arial" w:cs="Arial" w:eastAsia="Arial" w:hAnsi="Arial"/>
          <w:sz w:val="18"/>
          <w:szCs w:val="18"/>
          <w:b w:val="1"/>
          <w:bCs w:val="1"/>
          <w:color w:val="auto"/>
        </w:rPr>
      </w:pPr>
    </w:p>
    <w:p>
      <w:pPr>
        <w:ind w:left="660" w:right="420"/>
        <w:spacing w:after="0" w:line="312"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 xml:space="preserve">The Blood Collection Market for Transfusion </w:t>
      </w:r>
      <w:r>
        <w:rPr>
          <w:rFonts w:ascii="Arial" w:cs="Arial" w:eastAsia="Arial" w:hAnsi="Arial"/>
          <w:sz w:val="16"/>
          <w:szCs w:val="16"/>
          <w:color w:val="auto"/>
        </w:rPr>
        <w:t>— There are millions of blood donations throughout the world every year that produce blood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for transfusion to surgical, trauma, or chronically ill patients. Patients typically receive only the blood components necessary to treat a particular clinical condition: for example, red cells to surgical patients, platelets to cancer patients, and plasma to trauma victims.</w:t>
      </w:r>
    </w:p>
    <w:p>
      <w:pPr>
        <w:spacing w:after="0" w:line="52"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Platelet therapy is frequently used to alleviate the effects of chemotherapy and help patients with bleeding disorders. Red cells are often transfused to patients to replace blood lost during surgery. Red cells are also transfused to patients with blood disorders, such as sickle cell anemia or aplastic anemia. Plasma, in addition to its role in creating life-saving pharmaceuticals, is frequently transfused to trauma victims and to replace blood volume lost during surgery.</w:t>
      </w:r>
    </w:p>
    <w:p>
      <w:pPr>
        <w:spacing w:after="0" w:line="186" w:lineRule="exact"/>
        <w:rPr>
          <w:rFonts w:ascii="Arial" w:cs="Arial" w:eastAsia="Arial" w:hAnsi="Arial"/>
          <w:sz w:val="18"/>
          <w:szCs w:val="18"/>
          <w:b w:val="1"/>
          <w:bCs w:val="1"/>
          <w:color w:val="auto"/>
        </w:rPr>
      </w:pPr>
    </w:p>
    <w:p>
      <w:pPr>
        <w:ind w:left="660" w:right="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demand for blood components varies across the world. While overall we expect total demand to remain stable, demand in individual markets can vary greatly. Highly populated emerging market countries are seeing demand growth as they expand healthcare coverage. As greater numbers of people gain access to more advanced medical treatment, demand for blood components, plasma-derived drugs, and surgical procedures increases. In more mature markets, the development of less invasive, lower blood loss procedures and better blood management has offset the demand increases from aging populations. This is particularly true in the United States, where we saw collections decline by approximately 10% in fiscal 2015 and 7% in fiscal 2016. We expect further declines in fiscal 2017.</w:t>
      </w:r>
    </w:p>
    <w:p>
      <w:pPr>
        <w:spacing w:after="0" w:line="178" w:lineRule="exact"/>
        <w:rPr>
          <w:rFonts w:ascii="Arial" w:cs="Arial" w:eastAsia="Arial" w:hAnsi="Arial"/>
          <w:sz w:val="18"/>
          <w:szCs w:val="18"/>
          <w:b w:val="1"/>
          <w:bCs w:val="1"/>
          <w:color w:val="auto"/>
        </w:rPr>
      </w:pPr>
    </w:p>
    <w:p>
      <w:pPr>
        <w:ind w:left="66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Most donations worldwide are manual whole blood donations. In this process, whole blood is collected from the donor and then transported to a laboratory where it is separated into its components: red cells, platelets and/or plasma.</w:t>
      </w:r>
    </w:p>
    <w:p>
      <w:pPr>
        <w:spacing w:after="0" w:line="75" w:lineRule="exact"/>
        <w:rPr>
          <w:rFonts w:ascii="Arial" w:cs="Arial" w:eastAsia="Arial" w:hAnsi="Arial"/>
          <w:sz w:val="18"/>
          <w:szCs w:val="18"/>
          <w:b w:val="1"/>
          <w:bCs w:val="1"/>
          <w:color w:val="auto"/>
        </w:rPr>
      </w:pPr>
    </w:p>
    <w:p>
      <w:pPr>
        <w:ind w:left="660" w:right="1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addition to manual collections, there is a significant market for automated component blood collections. In this procedure, the blood separation process is automated and occurs in “real-time” while a person is donating blood. In this separation method, only the specific blood component targeted is collected, and the remaining components are returned to the blood donor. Automated blood component collection allows significantly more of the targeted blood component to be collected during a donation event, especially red cells where our automated system supports collection of two units from eligible donors.</w:t>
      </w:r>
    </w:p>
    <w:p>
      <w:pPr>
        <w:spacing w:after="0" w:line="201" w:lineRule="exact"/>
        <w:rPr>
          <w:rFonts w:ascii="Arial" w:cs="Arial" w:eastAsia="Arial" w:hAnsi="Arial"/>
          <w:sz w:val="18"/>
          <w:szCs w:val="18"/>
          <w:b w:val="1"/>
          <w:bCs w:val="1"/>
          <w:color w:val="auto"/>
        </w:rPr>
      </w:pPr>
    </w:p>
    <w:p>
      <w:pPr>
        <w:ind w:left="660" w:right="320"/>
        <w:spacing w:after="0" w:line="27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Haemonetics’ Blood Center Products </w:t>
      </w:r>
      <w:r>
        <w:rPr>
          <w:rFonts w:ascii="Arial" w:cs="Arial" w:eastAsia="Arial" w:hAnsi="Arial"/>
          <w:sz w:val="18"/>
          <w:szCs w:val="18"/>
          <w:color w:val="auto"/>
        </w:rPr>
        <w:t>— Today, Haemonetics offers automated blood component and manual whole blood collection systems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blood collection centers to collect blood products efficiently and cost effectively.</w:t>
      </w:r>
    </w:p>
    <w:p>
      <w:pPr>
        <w:spacing w:after="0" w:line="75" w:lineRule="exact"/>
        <w:rPr>
          <w:rFonts w:ascii="Arial" w:cs="Arial" w:eastAsia="Arial" w:hAnsi="Arial"/>
          <w:sz w:val="18"/>
          <w:szCs w:val="18"/>
          <w:b w:val="1"/>
          <w:bCs w:val="1"/>
          <w:color w:val="auto"/>
        </w:rPr>
      </w:pPr>
    </w:p>
    <w:p>
      <w:pPr>
        <w:ind w:left="660"/>
        <w:spacing w:after="0" w:line="217" w:lineRule="auto"/>
        <w:rPr>
          <w:rFonts w:ascii="Arial" w:cs="Arial" w:eastAsia="Arial" w:hAnsi="Arial"/>
          <w:sz w:val="18"/>
          <w:szCs w:val="18"/>
          <w:b w:val="1"/>
          <w:bCs w:val="1"/>
          <w:color w:val="auto"/>
        </w:rPr>
      </w:pPr>
      <w:r>
        <w:rPr>
          <w:rFonts w:ascii="Arial" w:cs="Arial" w:eastAsia="Arial" w:hAnsi="Arial"/>
          <w:sz w:val="17"/>
          <w:szCs w:val="17"/>
          <w:color w:val="auto"/>
        </w:rPr>
        <w:t>We market the MCS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(Multicomponent Collection System) brand apheresis equipment which is designed to collect specific blood components integrated from the donor. Utilizing the MCS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automated platelet collection protocols, blood centers collect one or more therapeutic “doses” of platelets during a single donation. The MCS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two-unit protocol or double red cell collection device helps blood collectors optimize the collection of red cells by automating the blood separation function, eliminating the need for laboratory processing, and enabling the collection of two units of red cells from a single donor thus maximizing the amount of red cells collected per eligible donor and helping to mitigate red cell shortages in countries where this problem exists. Blood collectors can also use the MCS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system to collect one unit of red cells and a "jumbo" (double) unit of plasma, or one unit of red cells and one unit of platelets from a single donor. The MCS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plasma protocol, which provides the possibility of collecting 600-800ml of plasma for either transfusion to patients or for use by the pharmaceutical industry, completes the comprehensive portfolio of different blood component collection options on this device.</w:t>
      </w:r>
    </w:p>
    <w:p>
      <w:pPr>
        <w:spacing w:after="0" w:line="111"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Haemonetics also offers a portfolio of products for manual whole blood collection and processing. Haemonetics' portfolio of disposable whole blood collection and component storage sets offer flexibility in collecting a unit of whole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30" w:right="25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blood and the subsequent production and storage of the red blood cell, platelet, and/or plasma products, including options for in-line or dockable filters for leukoreduction of any blood component.</w:t>
      </w:r>
    </w:p>
    <w:p>
      <w:pPr>
        <w:spacing w:after="0" w:line="76" w:lineRule="exact"/>
        <w:rPr>
          <w:sz w:val="20"/>
          <w:szCs w:val="20"/>
          <w:color w:val="auto"/>
        </w:rPr>
      </w:pPr>
    </w:p>
    <w:p>
      <w:pPr>
        <w:ind w:left="660" w:right="60"/>
        <w:spacing w:after="0" w:line="237" w:lineRule="auto"/>
        <w:rPr>
          <w:sz w:val="20"/>
          <w:szCs w:val="20"/>
          <w:color w:val="auto"/>
        </w:rPr>
      </w:pPr>
      <w:r>
        <w:rPr>
          <w:rFonts w:ascii="Arial" w:cs="Arial" w:eastAsia="Arial" w:hAnsi="Arial"/>
          <w:sz w:val="18"/>
          <w:szCs w:val="18"/>
          <w:color w:val="auto"/>
        </w:rPr>
        <w:t>With the ACP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(Automated Cell Processor) brand, Haemonetics offers a solution to automate the washing and freezing of red cell components. The automated red cell washing procedure removes plasma proteins within the red cell units to provide a safer product for transfusion to frequently transfused patients, neonates, or patients with a history of transfusion reactions. The automated glycerolization and deglycerolization steps are required to prepare red cells for frozen storage. Freezing the red cell units can expand the shelf life of these products up to 10 years. Customers utilize this technology to implement strategic red cell inventories for catastrophe cases, storage of rare blood types, or enhanced inventory management.</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blood center disposables product line represented 34.2%, 37.3%, and 41.5% of our total revenue in fiscal 2016, 2015 and 2014, respectively.</w:t>
      </w:r>
    </w:p>
    <w:p>
      <w:pPr>
        <w:spacing w:after="0" w:line="25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Hospital</w:t>
      </w:r>
    </w:p>
    <w:p>
      <w:pPr>
        <w:spacing w:after="0" w:line="134" w:lineRule="exact"/>
        <w:rPr>
          <w:rFonts w:ascii="Arial" w:cs="Arial" w:eastAsia="Arial" w:hAnsi="Arial"/>
          <w:sz w:val="18"/>
          <w:szCs w:val="18"/>
          <w:b w:val="1"/>
          <w:bCs w:val="1"/>
          <w:color w:val="auto"/>
        </w:rPr>
      </w:pPr>
    </w:p>
    <w:p>
      <w:pPr>
        <w:ind w:left="660"/>
        <w:spacing w:after="0" w:line="25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The Transfusion Market for Hospitals </w:t>
      </w:r>
      <w:r>
        <w:rPr>
          <w:rFonts w:ascii="Arial" w:cs="Arial" w:eastAsia="Arial" w:hAnsi="Arial"/>
          <w:sz w:val="18"/>
          <w:szCs w:val="18"/>
          <w:color w:val="auto"/>
        </w:rPr>
        <w:t>— Loss of blood is common in many surgical procedures, including open heart, trauma, transplant, vascular,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orthopedic procedures, and the need for transfusion of oxygen-carrying red cells to make up for lost blood volume is routine. Patients commonly receive donor blood, referred to as “allogeneic blood,” which carries various risks including risk of transfusion with the wrong blood type; risk of transfusion reactions including death, but more commonly chills, fevers or other side effects that can prolong a patient’s recovery; and risk of transfusion of blood with a blood-borne disease or infectious agent.</w:t>
      </w:r>
    </w:p>
    <w:p>
      <w:pPr>
        <w:spacing w:after="0" w:line="93" w:lineRule="exact"/>
        <w:rPr>
          <w:rFonts w:ascii="Arial" w:cs="Arial" w:eastAsia="Arial" w:hAnsi="Arial"/>
          <w:sz w:val="18"/>
          <w:szCs w:val="18"/>
          <w:b w:val="1"/>
          <w:bCs w:val="1"/>
          <w:color w:val="auto"/>
        </w:rPr>
      </w:pPr>
    </w:p>
    <w:p>
      <w:pPr>
        <w:ind w:left="66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An alternative to allogeneic blood is surgical cell salvage, also known as autotransfusion, which reduces or eliminates a patient’s need for blood donated from others and ensures that the patient receives the freshest and safest blood possible — his or her own. Surgical cell salvage involves the collection of a patient’s own blood during and after surgery, for reinfusion of red cells to that patient. Blood is suctioned from the surgical site or collected from a wound or chest drain, processed and washed through a centrifuge-based system that yields concentrated red cells available for transfusion back to the patient. This process occurs in a sterile, closed-circuit, single-use consumable set that is fitted into an electromechanical device. We market our surgical blood salvage products to surgical specialists, primarily cardiovascular, orthopedic, and trauma surgeons, and to surgical suite service providers.</w:t>
      </w:r>
    </w:p>
    <w:p>
      <w:pPr>
        <w:spacing w:after="0" w:line="94" w:lineRule="exact"/>
        <w:rPr>
          <w:rFonts w:ascii="Arial" w:cs="Arial" w:eastAsia="Arial" w:hAnsi="Arial"/>
          <w:sz w:val="18"/>
          <w:szCs w:val="18"/>
          <w:b w:val="1"/>
          <w:bCs w:val="1"/>
          <w:color w:val="auto"/>
        </w:rPr>
      </w:pPr>
    </w:p>
    <w:p>
      <w:pPr>
        <w:ind w:left="660" w:right="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Blood loss also has profound implications for a patient’s hemostasis or ability to effectively produce clots without causing thrombosis. Hemostasis management plays a role in various medical procedures including: liver transplant, cardiovascular procedures, trauma and percutaneous coronary intervention (PCI). By understanding a patient’s clotting ability, clinicians can better plan for the patient’s care, deciding in advance whether to start or discontinue use of certain drugs or, determine the likelihood of the patient's need for a transfusion and which blood components will be most effective in stopping bleeding. Such planning supports better care, which can lead to lower hospital costs through a reduction in unnecessary donor blood transfusions, reduced adverse transfusion reactions, and shorter intensive care unit and hospital stays. We market our hemostasis analyzers to hospitals and laboratories as an alternative to less comprehensive blood tests.</w:t>
      </w:r>
    </w:p>
    <w:p>
      <w:pPr>
        <w:spacing w:after="0" w:line="191"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Haemonetics’ Hospital Products </w:t>
      </w:r>
      <w:r>
        <w:rPr>
          <w:rFonts w:ascii="Arial" w:cs="Arial" w:eastAsia="Arial" w:hAnsi="Arial"/>
          <w:sz w:val="18"/>
          <w:szCs w:val="18"/>
          <w:color w:val="auto"/>
        </w:rPr>
        <w:t>— Haemonetics offers a range of blood management solutions that improve a hospital's systems for acquiring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blood, storing it in the hospital, and dispensing it efficiently and correctly. Over the last few years, hospitals have become increasingly aware of their need to control costs and improve patient safety by managing blood more effectively. Our products and integrated solution platforms help hospitals optimize performance of blood acquisition, storage, and distribution.</w:t>
      </w:r>
    </w:p>
    <w:p>
      <w:pPr>
        <w:spacing w:after="0" w:line="186" w:lineRule="exact"/>
        <w:rPr>
          <w:rFonts w:ascii="Arial" w:cs="Arial" w:eastAsia="Arial" w:hAnsi="Arial"/>
          <w:sz w:val="18"/>
          <w:szCs w:val="18"/>
          <w:b w:val="1"/>
          <w:bCs w:val="1"/>
          <w:color w:val="auto"/>
        </w:rPr>
      </w:pPr>
    </w:p>
    <w:p>
      <w:pPr>
        <w:ind w:left="66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The TEG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Thrombelastograph Hemostasis Analyzer system is a blood diagnostic instrument that measures a patient's hemostasis, the ability to form and maintain blood clots. Haemonetics acquired Haemoscope Corporation and the TEG 5000 technology in 2007 and now exclusively licenses the TEG 6s technology in the hospital and labs market from Cora Healthcare, Inc., a company established by the founders of Haemoscope. We have launched the TEG 6s in certain markets in Europe and Asia. During fiscal 2016, the TEG 6s received final 510(k) clearance from the FDA in North America, our largest market for TEG, for the indications of cardiovascular surgery and cardiology procedures allowing us to launch the product in those markets.</w:t>
      </w:r>
    </w:p>
    <w:p>
      <w:pPr>
        <w:spacing w:after="0" w:line="112" w:lineRule="exact"/>
        <w:rPr>
          <w:rFonts w:ascii="Arial" w:cs="Arial" w:eastAsia="Arial" w:hAnsi="Arial"/>
          <w:sz w:val="18"/>
          <w:szCs w:val="18"/>
          <w:b w:val="1"/>
          <w:bCs w:val="1"/>
          <w:color w:val="auto"/>
        </w:rPr>
      </w:pPr>
    </w:p>
    <w:p>
      <w:pPr>
        <w:ind w:left="660" w:right="60"/>
        <w:spacing w:after="0" w:line="212" w:lineRule="auto"/>
        <w:rPr>
          <w:rFonts w:ascii="Arial" w:cs="Arial" w:eastAsia="Arial" w:hAnsi="Arial"/>
          <w:sz w:val="18"/>
          <w:szCs w:val="18"/>
          <w:b w:val="1"/>
          <w:bCs w:val="1"/>
          <w:color w:val="auto"/>
        </w:rPr>
      </w:pPr>
      <w:r>
        <w:rPr>
          <w:rFonts w:ascii="Arial" w:cs="Arial" w:eastAsia="Arial" w:hAnsi="Arial"/>
          <w:sz w:val="17"/>
          <w:szCs w:val="17"/>
          <w:color w:val="auto"/>
        </w:rPr>
        <w:t>The Cell Saver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system is a surgical blood salvage system targeted to procedures that involve rapid, high-volume blood loss, such as cardiovascular surgeries. It has become the standard of care for high blood-loss surgeries. In fiscal 2012, we launched the Cell Saver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Elite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system, which is our most advanced autotransfusion option to minimize allogeneic blood use for surgeries with medium to high blood loss.</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30" w:right="27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left="660" w:right="40"/>
        <w:spacing w:after="0" w:line="226" w:lineRule="auto"/>
        <w:rPr>
          <w:sz w:val="20"/>
          <w:szCs w:val="20"/>
          <w:color w:val="auto"/>
        </w:rPr>
      </w:pPr>
      <w:r>
        <w:rPr>
          <w:rFonts w:ascii="Arial" w:cs="Arial" w:eastAsia="Arial" w:hAnsi="Arial"/>
          <w:sz w:val="18"/>
          <w:szCs w:val="18"/>
          <w:color w:val="auto"/>
        </w:rPr>
        <w:t>The OrthoPAT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surgical blood salvage system is targeted to orthopedic procedures, such as hip and knee replacements, which involve slower, lower volume blood loss that often occurs well after surgery. The system is designed to remain with the patient following surgery, to recover blood and produce a washed red cell product for autotransfusion.</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hospital disposables product line represented 13.7%, 13.7%, and 13.3% of our total revenue in fiscal 2016, 2015 and 2014, respectively.</w:t>
      </w:r>
    </w:p>
    <w:p>
      <w:pPr>
        <w:spacing w:after="0" w:line="24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u w:val="single" w:color="auto"/>
          <w:color w:val="auto"/>
        </w:rPr>
        <w:t>Software Solutions</w:t>
      </w:r>
    </w:p>
    <w:p>
      <w:pPr>
        <w:spacing w:after="0" w:line="134" w:lineRule="exact"/>
        <w:rPr>
          <w:rFonts w:ascii="Arial" w:cs="Arial" w:eastAsia="Arial" w:hAnsi="Arial"/>
          <w:sz w:val="18"/>
          <w:szCs w:val="18"/>
          <w:b w:val="1"/>
          <w:bCs w:val="1"/>
          <w:i w:val="1"/>
          <w:iCs w:val="1"/>
          <w:color w:val="auto"/>
        </w:rPr>
      </w:pPr>
    </w:p>
    <w:p>
      <w:pPr>
        <w:ind w:left="660" w:right="24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Haemonetics' Software Products and Services </w:t>
      </w:r>
      <w:r>
        <w:rPr>
          <w:rFonts w:ascii="Arial" w:cs="Arial" w:eastAsia="Arial" w:hAnsi="Arial"/>
          <w:sz w:val="18"/>
          <w:szCs w:val="18"/>
          <w:color w:val="auto"/>
        </w:rPr>
        <w:t>— We have a suite of integrated software solutions for improving efficiencies and helping ensure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donor and patient safety. This includes solutions for blood drive planning, donor recruitment and retention, blood collection, component manufacturing and distribution, transfusion management, and remote blood allocation. For our plasma customers, we also provide information technology platforms for managing donors and information associated with the collection of plasma products and their processing within fractionation facilities.</w:t>
      </w:r>
    </w:p>
    <w:p>
      <w:pPr>
        <w:spacing w:after="0" w:line="93" w:lineRule="exact"/>
        <w:rPr>
          <w:rFonts w:ascii="Arial" w:cs="Arial" w:eastAsia="Arial" w:hAnsi="Arial"/>
          <w:sz w:val="18"/>
          <w:szCs w:val="18"/>
          <w:b w:val="1"/>
          <w:bCs w:val="1"/>
          <w:i w:val="1"/>
          <w:iCs w:val="1"/>
          <w:color w:val="auto"/>
        </w:rPr>
      </w:pPr>
    </w:p>
    <w:p>
      <w:pPr>
        <w:ind w:left="660"/>
        <w:spacing w:after="0" w:line="219" w:lineRule="auto"/>
        <w:rPr>
          <w:rFonts w:ascii="Arial" w:cs="Arial" w:eastAsia="Arial" w:hAnsi="Arial"/>
          <w:sz w:val="18"/>
          <w:szCs w:val="18"/>
          <w:b w:val="1"/>
          <w:bCs w:val="1"/>
          <w:i w:val="1"/>
          <w:iCs w:val="1"/>
          <w:color w:val="auto"/>
        </w:rPr>
      </w:pPr>
      <w:r>
        <w:rPr>
          <w:rFonts w:ascii="Arial" w:cs="Arial" w:eastAsia="Arial" w:hAnsi="Arial"/>
          <w:sz w:val="18"/>
          <w:szCs w:val="18"/>
          <w:color w:val="auto"/>
        </w:rPr>
        <w:t>For our Hospital customers, our software products help hospitals track and safely deliver stored blood products. SafeTrace Tx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our software solution that helps manage blood product inventory, perform patient cross-matching, and manage transfusions. In addition, our BloodTrack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suite of solutions manages tracking and control of blood products from the hospital blood center through to transfusion to the patient. “Smart” refrigerators located in or near operating suites, emergency rooms, and other parts of the hospital dispense blood units with secure control and automated traceability for efficient documentation.</w:t>
      </w:r>
    </w:p>
    <w:p>
      <w:pPr>
        <w:spacing w:after="0" w:line="110" w:lineRule="exact"/>
        <w:rPr>
          <w:rFonts w:ascii="Arial" w:cs="Arial" w:eastAsia="Arial" w:hAnsi="Arial"/>
          <w:sz w:val="18"/>
          <w:szCs w:val="18"/>
          <w:b w:val="1"/>
          <w:bCs w:val="1"/>
          <w:i w:val="1"/>
          <w:iCs w:val="1"/>
          <w:color w:val="auto"/>
        </w:rPr>
      </w:pPr>
    </w:p>
    <w:p>
      <w:pPr>
        <w:ind w:left="660" w:right="18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For Blood Center customers, our software solutions span blood center operations and automate and track operations from the recruitment of the blood donor to the disposition of the blood product. Combined, our solutions help blood collectors improve the safety, regulatory compliance, and efficiency of blood collection and supply.</w:t>
      </w:r>
    </w:p>
    <w:p>
      <w:pPr>
        <w:spacing w:after="0" w:line="86"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Our software solutions product line represented 8.0%, 7.9%, and 7.5% of our total revenue in fiscal 2016, 2015 and 2014, respectively.</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Marketing/Sales/Distribution</w:t>
      </w:r>
    </w:p>
    <w:p>
      <w:pPr>
        <w:spacing w:after="0" w:line="13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market and sell our products to bio-pharmaceutical companies, blood collection groups and independent blood centers, hospitals and hospital service providers, group purchasing organizations and national health organizations through our own direct sales force (including full-time sales representatives and clinical specialists) as well as independent distributors. Sales representatives target the primary decision-makers within each of those organizations.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United States</w:t>
      </w:r>
    </w:p>
    <w:p>
      <w:pPr>
        <w:spacing w:after="0" w:line="13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In fiscal 2016, 2015 and 2014 57.1%, 54.4%, and 53.4%, respectively, of consolidated net revenues were generated in the U.S., where we primarily use a direct sales force to sell our products. See Note 14, </w:t>
      </w:r>
      <w:r>
        <w:rPr>
          <w:rFonts w:ascii="Arial" w:cs="Arial" w:eastAsia="Arial" w:hAnsi="Arial"/>
          <w:sz w:val="18"/>
          <w:szCs w:val="18"/>
          <w:i w:val="1"/>
          <w:iCs w:val="1"/>
          <w:color w:val="auto"/>
        </w:rPr>
        <w:t>Segment Information</w:t>
      </w:r>
      <w:r>
        <w:rPr>
          <w:rFonts w:ascii="Arial" w:cs="Arial" w:eastAsia="Arial" w:hAnsi="Arial"/>
          <w:sz w:val="18"/>
          <w:szCs w:val="18"/>
          <w:color w:val="auto"/>
        </w:rPr>
        <w:t>, to our consolidated financial statements contained in Item 8 for additional information.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Outside the United States</w:t>
      </w:r>
    </w:p>
    <w:p>
      <w:pPr>
        <w:spacing w:after="0" w:line="13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 xml:space="preserve">In fiscal 2016, 2015 and 2014 42.9%, 45.6%, and 46.6%, respectively, of consolidated net revenues were generated through sales to non-U.S. customers. Outside the United States, we use a combination of direct sales force and distributors. See Note 14, </w:t>
      </w:r>
      <w:r>
        <w:rPr>
          <w:rFonts w:ascii="Arial" w:cs="Arial" w:eastAsia="Arial" w:hAnsi="Arial"/>
          <w:sz w:val="18"/>
          <w:szCs w:val="18"/>
          <w:i w:val="1"/>
          <w:iCs w:val="1"/>
          <w:color w:val="auto"/>
        </w:rPr>
        <w:t>Segment Information</w:t>
      </w:r>
      <w:r>
        <w:rPr>
          <w:rFonts w:ascii="Arial" w:cs="Arial" w:eastAsia="Arial" w:hAnsi="Arial"/>
          <w:sz w:val="18"/>
          <w:szCs w:val="18"/>
          <w:color w:val="auto"/>
        </w:rPr>
        <w:t>, to our consolidated financial statement contained in Item 8 for additional information.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research and development centers in the United States and Switzerland ensure that protocol variations are incorporated to closely match local customer requirements. In addition, Haemonetics maintains software development operations in Canada and France.</w:t>
      </w:r>
    </w:p>
    <w:p>
      <w:pPr>
        <w:spacing w:after="0" w:line="7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Customer collaborations are also an important part of our technical strength and competitive advantage. These collaborations with customers and transfusion experts provide us with ideas for new products and applications, enhanced protocols, and potential test sites as well as objective evaluations and expert opinions regarding technical and performance issues.</w:t>
      </w:r>
    </w:p>
    <w:p>
      <w:pPr>
        <w:spacing w:after="0" w:line="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development of blood component separation products and extracorporeal blood typing and screening systems has required us to maintain technical expertise in various engineering disciplines, including mechanical, electrical, software, and biomedical engineering and material science. Innovations resulting from these various engineering efforts enable us to develop systems that are faster, smaller, and more user-friendly, or that incorporate additional features important to our customer base.</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30" w:right="29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Research and development expense was $45.0 million in fiscal 2016, $54.2 million in fiscal 2015 and $54.2 million in fiscal 2014, representing approximately 5.0% - 6.0% of our net sales each year.</w:t>
      </w:r>
    </w:p>
    <w:p>
      <w:pPr>
        <w:spacing w:after="0" w:line="170" w:lineRule="exact"/>
        <w:rPr>
          <w:sz w:val="20"/>
          <w:szCs w:val="20"/>
          <w:color w:val="auto"/>
        </w:rPr>
      </w:pPr>
    </w:p>
    <w:p>
      <w:pPr>
        <w:ind w:right="560"/>
        <w:spacing w:after="0" w:line="216" w:lineRule="auto"/>
        <w:rPr>
          <w:sz w:val="20"/>
          <w:szCs w:val="20"/>
          <w:color w:val="auto"/>
        </w:rPr>
      </w:pPr>
      <w:r>
        <w:rPr>
          <w:rFonts w:ascii="Arial" w:cs="Arial" w:eastAsia="Arial" w:hAnsi="Arial"/>
          <w:sz w:val="18"/>
          <w:szCs w:val="18"/>
          <w:color w:val="auto"/>
        </w:rPr>
        <w:t>In fiscal 2016, research and development resources were allocated to supporting next generation plasma collection and software systems, a new TEG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Thrombelastograph Hemostasis Analyzer, and several other enhancements to our legacy product portfolios.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principal manufacturing operations are located in the United States, Mexico, and Malaysia.</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In fiscal 2016, we completed our Value Creation and Capture (“VCC”) opportunities initiative. This initiative included (i) discontinuation of manufacturing activities at our Ascoli-Piceno, Italy and Braintree, Massachusetts facilities, (ii) expansion of our current facility in Tijuana, Mexico, (iii) transfer of all equipment production to our contract manufacturer, Sanmina Corporation, and (iv) consolidation of the manufacturing of product formerly produced in the U.S. and Italy to our new manufacturing facility in Penang, Malaysia. We continue to manufacture in Bothwell, Scotland. Refer to </w:t>
      </w:r>
      <w:r>
        <w:rPr>
          <w:rFonts w:ascii="Arial" w:cs="Arial" w:eastAsia="Arial" w:hAnsi="Arial"/>
          <w:sz w:val="17"/>
          <w:szCs w:val="17"/>
          <w:i w:val="1"/>
          <w:iCs w:val="1"/>
          <w:color w:val="auto"/>
        </w:rPr>
        <w:t>Liquidity and Capital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Resources </w:t>
      </w:r>
      <w:r>
        <w:rPr>
          <w:rFonts w:ascii="Arial" w:cs="Arial" w:eastAsia="Arial" w:hAnsi="Arial"/>
          <w:sz w:val="17"/>
          <w:szCs w:val="17"/>
          <w:color w:val="auto"/>
        </w:rPr>
        <w:t>within our Management's Discussion and Analysis of Financial Condition and Results of Operations contained in Item 7 of this Annual Report on</w:t>
      </w:r>
      <w:r>
        <w:rPr>
          <w:rFonts w:ascii="Arial" w:cs="Arial" w:eastAsia="Arial" w:hAnsi="Arial"/>
          <w:sz w:val="17"/>
          <w:szCs w:val="17"/>
          <w:i w:val="1"/>
          <w:iCs w:val="1"/>
          <w:color w:val="auto"/>
        </w:rPr>
        <w:t xml:space="preserve"> </w:t>
      </w:r>
      <w:r>
        <w:rPr>
          <w:rFonts w:ascii="Arial" w:cs="Arial" w:eastAsia="Arial" w:hAnsi="Arial"/>
          <w:sz w:val="17"/>
          <w:szCs w:val="17"/>
          <w:color w:val="auto"/>
        </w:rPr>
        <w:t>Form 10-K for further discussion of the costs of these activities.</w:t>
      </w:r>
    </w:p>
    <w:p>
      <w:pPr>
        <w:spacing w:after="0" w:line="178"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As part of our global strategic review, we continue to evaluate our manufacturing operations. Accordingly, we may make further changes to our manufacturing footprint based on future business conditions.</w:t>
      </w:r>
    </w:p>
    <w:p>
      <w:pPr>
        <w:spacing w:after="0" w:line="7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general, our production activities occur in controlled settings or “clean room” environments. Each step of the manufacturing and assembly process is quality checked, qualified, and validated. Critical process steps and materials are documented to ensure that every unit is produced consistently and meets performance requirements. Our equipment and disposable manufacturing sites are certified to the ISO 13485 standard and to the Medical Device Directive allowing placement of the CE mark of conformity.</w:t>
      </w:r>
    </w:p>
    <w:p>
      <w:pPr>
        <w:spacing w:after="0" w:line="9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Plastics are the principal component of our disposable products. Contracts with our suppliers help mitigate some of the short-term effects of price volatility in this market. However, increases in the price of petroleum derivatives could result in corresponding increases in our costs to procure plastic raw materials.</w:t>
      </w:r>
    </w:p>
    <w:p>
      <w:pPr>
        <w:spacing w:after="0" w:line="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Contractors manufacture some component sets and equipment according to our specifications. We maintain important relationships with two Japanese manufacturers that produce finished disposables in Singapore, Japan, and Thailand. We have also engaged Sanmina Corporation to be the sole manufacturer of certain equipment. Certain parts and components are purchased from sole source vendors. We believe that if necessary, alternative sources of supply are available in most cases, and could be secured within a relatively short period of time. Nevertheless, an interruption in supply could temporarily interfere with production schedules and affect our operations.</w:t>
      </w:r>
    </w:p>
    <w:p>
      <w:pPr>
        <w:spacing w:after="0" w:line="9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equipment is designed in-house and assembled by us or our contracted manufacturers from components that are manufactured to our specifications. The completed instruments are programmed, calibrated, and tested to ensure compliance with our engineering and quality assurance specifications. Inspection checks are conducted throughout the manufacturing process to verify proper assembly and functionality. When mechanical and electronic components are sourced from outside vendors, those vendors must meet detailed qualification and process control requirements.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consider our intellectual property rights to be important to our business. We rely on patent, trademark, copyright, and trade secret laws, as well as provisions in our agreements with third parties, to protect our intellectual property rights. We hold patents in the United States and many international jurisdictions on some of our machines, processes, disposables and related technologies. These patents cover certain elements of our systems, including protocols employed in our equipment and certain aspects of our processing chambers and disposables. Our patents may cover current products, products in markets we plan to enter, or products in markets we plan to license, or the patents may be defensive in that they are directed to technologies not currently embodied in our current products. We may also license patent rights from third parties that cover technologies that we plan to use in our business. To maintain our competitive position, we rely on the technical expertise and know-how of our personnel and on our patent rights. We pursue an active and formal program of invention disclosure and patent application in both the United States and foreign jurisdictions. We own various trademarks that have been registered in the United States and certain other countries.</w:t>
      </w:r>
    </w:p>
    <w:p>
      <w:pPr>
        <w:spacing w:after="0" w:line="10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policy is to obtain patent and trademark rights in the U.S. and foreign countries where such rights are available and we believe it is commercially advantageous to do so. However, the standards for international protection of intellectual property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30" w:right="2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vary widely. We cannot assure that pending patent and trademark applications will result in issued patents and registered trademarks, that patents issued to or licensed by us will not be challenged or circumvented by competitors, or that our patents will not be determined invalid.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remain competitive, we must continue to develop and acquire new cost-effective products, information technology platforms, and business services. We believe that our ability to maintain a competitive advantage will continue to depend on a combination of factors. Some factors are largely within our control such as: (i) maintenance of a positive reputation among our customers, (ii) development of new products which meet our customer's needs, (iii) obtaining regulatory approvals for our products in key markets, (iv) obtaining patents which protect our innovations, (v) development and protection of proprietary know-how in important technological areas, (vi) product quality, safety and cost effectiveness and (vii) continual and rigorous documentation of clinical performance. Other factors are outside of our control. We could see changes in regulatory standards or clinical practice which favor a competitor's technology or reduce revenues in key areas of our business.</w:t>
      </w:r>
    </w:p>
    <w:p>
      <w:pPr>
        <w:spacing w:after="0" w:line="270" w:lineRule="exact"/>
        <w:rPr>
          <w:sz w:val="20"/>
          <w:szCs w:val="20"/>
          <w:color w:val="auto"/>
        </w:rPr>
      </w:pPr>
    </w:p>
    <w:p>
      <w:pPr>
        <w:ind w:right="600"/>
        <w:spacing w:after="0" w:line="312" w:lineRule="auto"/>
        <w:rPr>
          <w:sz w:val="20"/>
          <w:szCs w:val="20"/>
          <w:color w:val="auto"/>
        </w:rPr>
      </w:pPr>
      <w:r>
        <w:rPr>
          <w:rFonts w:ascii="Arial" w:cs="Arial" w:eastAsia="Arial" w:hAnsi="Arial"/>
          <w:sz w:val="16"/>
          <w:szCs w:val="16"/>
          <w:color w:val="auto"/>
        </w:rPr>
        <w:t>In addition, we face competition from several large, global companies with product offerings similar to ours, such as Terumo BCT, LivaNova Plc and Fresenius SE &amp; Co. KGaA. Terumo and Fresenius, in particular, have significantly greater financial and other resources than we do and are strong competitors in a number of our businesses. The following provides an overview of the key competitors in each of our four global product enterprises.</w:t>
      </w:r>
    </w:p>
    <w:p>
      <w:pPr>
        <w:spacing w:after="0" w:line="10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Plasma</w:t>
      </w:r>
    </w:p>
    <w:p>
      <w:pPr>
        <w:spacing w:after="0" w:line="184" w:lineRule="exact"/>
        <w:rPr>
          <w:rFonts w:ascii="Arial" w:cs="Arial" w:eastAsia="Arial" w:hAnsi="Arial"/>
          <w:sz w:val="18"/>
          <w:szCs w:val="18"/>
          <w:i w:val="1"/>
          <w:iCs w:val="1"/>
          <w:color w:val="auto"/>
        </w:rPr>
      </w:pPr>
    </w:p>
    <w:p>
      <w:pPr>
        <w:ind w:left="660"/>
        <w:spacing w:after="0" w:line="297" w:lineRule="auto"/>
        <w:rPr>
          <w:rFonts w:ascii="Arial" w:cs="Arial" w:eastAsia="Arial" w:hAnsi="Arial"/>
          <w:sz w:val="18"/>
          <w:szCs w:val="18"/>
          <w:i w:val="1"/>
          <w:iCs w:val="1"/>
          <w:color w:val="auto"/>
        </w:rPr>
      </w:pPr>
      <w:r>
        <w:rPr>
          <w:rFonts w:ascii="Arial" w:cs="Arial" w:eastAsia="Arial" w:hAnsi="Arial"/>
          <w:sz w:val="16"/>
          <w:szCs w:val="16"/>
          <w:color w:val="auto"/>
        </w:rPr>
        <w:t>In the automated plasma collection market, we principally compete with the Kabi division of Fresenius, which acquired Fenwal, Inc. in November 2012, on the basis of quality, reliability, ease of use, services and technical features of the collection systems, and on the long-term cost-effectiveness of equipment and disposables. In China, the market is populated by local producers of a product that is intended to be similar to ours. Recently, those competitors have expanded to markets beyond China, into European and South American countries. In the field of Plasma related software, MAK Systems is the primary commercial competitor along with applications developed internally by our customers.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Blood Center</w:t>
      </w:r>
    </w:p>
    <w:p>
      <w:pPr>
        <w:spacing w:after="0" w:line="184" w:lineRule="exact"/>
        <w:rPr>
          <w:rFonts w:ascii="Arial" w:cs="Arial" w:eastAsia="Arial" w:hAnsi="Arial"/>
          <w:sz w:val="18"/>
          <w:szCs w:val="18"/>
          <w:i w:val="1"/>
          <w:iCs w:val="1"/>
          <w:color w:val="auto"/>
        </w:rPr>
      </w:pPr>
    </w:p>
    <w:p>
      <w:pPr>
        <w:ind w:left="660" w:right="54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We have several competitors in the Blood Center product lines, some of which compete across all blood components and others that are more specialized.</w:t>
      </w:r>
    </w:p>
    <w:p>
      <w:pPr>
        <w:spacing w:after="0" w:line="129" w:lineRule="exact"/>
        <w:rPr>
          <w:rFonts w:ascii="Arial" w:cs="Arial" w:eastAsia="Arial" w:hAnsi="Arial"/>
          <w:sz w:val="18"/>
          <w:szCs w:val="18"/>
          <w:i w:val="1"/>
          <w:iCs w:val="1"/>
          <w:color w:val="auto"/>
        </w:rPr>
      </w:pPr>
    </w:p>
    <w:p>
      <w:pPr>
        <w:ind w:left="660" w:right="40"/>
        <w:spacing w:after="0" w:line="255" w:lineRule="auto"/>
        <w:rPr>
          <w:rFonts w:ascii="Arial" w:cs="Arial" w:eastAsia="Arial" w:hAnsi="Arial"/>
          <w:sz w:val="18"/>
          <w:szCs w:val="18"/>
          <w:i w:val="1"/>
          <w:iCs w:val="1"/>
          <w:color w:val="auto"/>
        </w:rPr>
      </w:pPr>
      <w:r>
        <w:rPr>
          <w:rFonts w:ascii="Arial" w:cs="Arial" w:eastAsia="Arial" w:hAnsi="Arial"/>
          <w:sz w:val="18"/>
          <w:szCs w:val="18"/>
          <w:color w:val="auto"/>
        </w:rPr>
        <w:t>Terumo BCT, and Fresenius are our major competitors in platelet collection. In platelet collections, there are two areas of competition - automated collection and pooled random donor. In the automated collection area, competition is based on continual performance improvement, as measured by the time and efficiency of platelet collection and the quality of the platelets collected. Each of these companies has taken a different technological approach in designing their systems for automated platelet collection. In addition to automated platelet collection offerings, we now also compete in the pooled random donor platelet segment from whole blood collections from which pooled platelets are derived with the Acrodose product or buffy coat pooling sets.</w:t>
      </w:r>
    </w:p>
    <w:p>
      <w:pPr>
        <w:spacing w:after="0" w:line="152" w:lineRule="exact"/>
        <w:rPr>
          <w:rFonts w:ascii="Arial" w:cs="Arial" w:eastAsia="Arial" w:hAnsi="Arial"/>
          <w:sz w:val="18"/>
          <w:szCs w:val="18"/>
          <w:i w:val="1"/>
          <w:iCs w:val="1"/>
          <w:color w:val="auto"/>
        </w:rPr>
      </w:pPr>
    </w:p>
    <w:p>
      <w:pPr>
        <w:jc w:val="both"/>
        <w:ind w:left="660" w:right="16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Terumo BCT and Fresenius are also competitors in the automated red cell collection market. However, it is important to note that most double red cell collection is done in the U.S. and less than 10% of the red cells collected in the U.S. annually are collected via automation. Therefore, we also compete with the traditional method of collecting red cells from the manual collection of whole blood. We compete on the basis of total cost, type-specific collection, process control, product quality, and inventory management.</w:t>
      </w:r>
    </w:p>
    <w:p>
      <w:pPr>
        <w:spacing w:after="0" w:line="186" w:lineRule="exact"/>
        <w:rPr>
          <w:rFonts w:ascii="Arial" w:cs="Arial" w:eastAsia="Arial" w:hAnsi="Arial"/>
          <w:sz w:val="18"/>
          <w:szCs w:val="18"/>
          <w:i w:val="1"/>
          <w:iCs w:val="1"/>
          <w:color w:val="auto"/>
        </w:rPr>
      </w:pPr>
    </w:p>
    <w:p>
      <w:pPr>
        <w:ind w:left="660" w:right="720"/>
        <w:spacing w:after="0" w:line="308" w:lineRule="auto"/>
        <w:rPr>
          <w:rFonts w:ascii="Arial" w:cs="Arial" w:eastAsia="Arial" w:hAnsi="Arial"/>
          <w:sz w:val="18"/>
          <w:szCs w:val="18"/>
          <w:i w:val="1"/>
          <w:iCs w:val="1"/>
          <w:color w:val="auto"/>
        </w:rPr>
      </w:pPr>
      <w:r>
        <w:rPr>
          <w:rFonts w:ascii="Arial" w:cs="Arial" w:eastAsia="Arial" w:hAnsi="Arial"/>
          <w:sz w:val="17"/>
          <w:szCs w:val="17"/>
          <w:color w:val="auto"/>
        </w:rPr>
        <w:t>Our whole blood business faces intense competition on the basis of quality and price. In North America, Europe and Asia-Pacific our main competitors are Fresenius, MacoPharma and Terumo BCT. We do not have significant whole blood revenues in Japan today.</w:t>
      </w:r>
    </w:p>
    <w:p>
      <w:pPr>
        <w:spacing w:after="0" w:line="146"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color w:val="auto"/>
        </w:rPr>
        <w:t>In Donor software, Sunquest Information Systems is a competitor along with systems developed internally by our customers.</w:t>
      </w:r>
    </w:p>
    <w:p>
      <w:pPr>
        <w:spacing w:after="0" w:line="225" w:lineRule="exact"/>
        <w:rPr>
          <w:rFonts w:ascii="Arial" w:cs="Arial" w:eastAsia="Arial" w:hAnsi="Arial"/>
          <w:sz w:val="18"/>
          <w:szCs w:val="18"/>
          <w:i w:val="1"/>
          <w:iCs w:val="1"/>
          <w:color w:val="auto"/>
        </w:rPr>
      </w:pPr>
    </w:p>
    <w:p>
      <w:pPr>
        <w:ind w:left="660"/>
        <w:spacing w:after="0" w:line="232" w:lineRule="auto"/>
        <w:rPr>
          <w:rFonts w:ascii="Arial" w:cs="Arial" w:eastAsia="Arial" w:hAnsi="Arial"/>
          <w:sz w:val="18"/>
          <w:szCs w:val="18"/>
          <w:i w:val="1"/>
          <w:iCs w:val="1"/>
          <w:color w:val="auto"/>
        </w:rPr>
      </w:pPr>
      <w:r>
        <w:rPr>
          <w:rFonts w:ascii="Arial" w:cs="Arial" w:eastAsia="Arial" w:hAnsi="Arial"/>
          <w:sz w:val="18"/>
          <w:szCs w:val="18"/>
          <w:color w:val="auto"/>
        </w:rPr>
        <w:t>The competition for processing cells for storage is based on the level of automation, labor-intensiveness, and system type (open versus closed). Open systems may be weaker in good manufacturing process compliance. Moreover, blood processed through open systems has a 24-hour shelf life. With the ACP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(automated cell processor) brand, Haemonetics offers a closed system cell processor which gives blood processed through it, a 14-day shelf life. We compete with Terumo BCT's open systems in this market.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30" w:right="27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Hospital</w:t>
      </w:r>
    </w:p>
    <w:p>
      <w:pPr>
        <w:spacing w:after="0" w:line="225" w:lineRule="exact"/>
        <w:rPr>
          <w:rFonts w:ascii="Arial" w:cs="Arial" w:eastAsia="Arial" w:hAnsi="Arial"/>
          <w:sz w:val="18"/>
          <w:szCs w:val="18"/>
          <w:i w:val="1"/>
          <w:iCs w:val="1"/>
          <w:color w:val="auto"/>
        </w:rPr>
      </w:pPr>
    </w:p>
    <w:p>
      <w:pPr>
        <w:ind w:left="660" w:right="14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The TEG Thrombelastograph Hemostasis Analyzer is used primarily in surgical applications. ROTEM is a direct competitor in Europe and in the United States. Other competitive technologies include standard coagulation tests and platelet function testing. The TEG analyzer competes with other laboratory tests based on its ability to provide a complete picture of a patient's hemostasis at a single point in time, and the ability to measure the clinically relevant platelet function for an individual patient.</w:t>
      </w:r>
    </w:p>
    <w:p>
      <w:pPr>
        <w:spacing w:after="0" w:line="186" w:lineRule="exact"/>
        <w:rPr>
          <w:rFonts w:ascii="Arial" w:cs="Arial" w:eastAsia="Arial" w:hAnsi="Arial"/>
          <w:sz w:val="18"/>
          <w:szCs w:val="18"/>
          <w:i w:val="1"/>
          <w:iCs w:val="1"/>
          <w:color w:val="auto"/>
        </w:rPr>
      </w:pPr>
    </w:p>
    <w:p>
      <w:pPr>
        <w:ind w:left="660" w:right="36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In the intraoperative surgical blood salvage market, competition is based on reliability, ease of use, service, support, and price. For high-volume platforms, each manufacturer's technology is similar, and our Cell Saver technology competes principally with LivaNova Plc, Medtronic, and Fresenius.</w:t>
      </w:r>
    </w:p>
    <w:p>
      <w:pPr>
        <w:spacing w:after="0" w:line="140" w:lineRule="exact"/>
        <w:rPr>
          <w:rFonts w:ascii="Arial" w:cs="Arial" w:eastAsia="Arial" w:hAnsi="Arial"/>
          <w:sz w:val="18"/>
          <w:szCs w:val="18"/>
          <w:i w:val="1"/>
          <w:iCs w:val="1"/>
          <w:color w:val="auto"/>
        </w:rPr>
      </w:pPr>
    </w:p>
    <w:p>
      <w:pPr>
        <w:ind w:left="66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In the perioperative surgical blood salvage market, our OrthoPAT system competes primarily against (i) non-automated processing systems whose end product is an unwashed red blood cell unit for transfusion to the patient, (ii) transfusions of donated blood and (iii) coagulation therapies such as tranexamic acid.</w:t>
      </w:r>
    </w:p>
    <w:p>
      <w:pPr>
        <w:spacing w:after="0" w:line="140" w:lineRule="exact"/>
        <w:rPr>
          <w:rFonts w:ascii="Arial" w:cs="Arial" w:eastAsia="Arial" w:hAnsi="Arial"/>
          <w:sz w:val="18"/>
          <w:szCs w:val="18"/>
          <w:i w:val="1"/>
          <w:iCs w:val="1"/>
          <w:color w:val="auto"/>
        </w:rPr>
      </w:pPr>
    </w:p>
    <w:p>
      <w:pPr>
        <w:ind w:left="660" w:hanging="328"/>
        <w:spacing w:after="0"/>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Software Solution</w:t>
      </w:r>
    </w:p>
    <w:p>
      <w:pPr>
        <w:spacing w:after="0" w:line="225" w:lineRule="exact"/>
        <w:rPr>
          <w:sz w:val="20"/>
          <w:szCs w:val="20"/>
          <w:color w:val="auto"/>
        </w:rPr>
      </w:pPr>
    </w:p>
    <w:p>
      <w:pPr>
        <w:jc w:val="both"/>
        <w:ind w:left="660" w:right="280"/>
        <w:spacing w:after="0" w:line="264" w:lineRule="auto"/>
        <w:rPr>
          <w:sz w:val="20"/>
          <w:szCs w:val="20"/>
          <w:color w:val="auto"/>
        </w:rPr>
      </w:pPr>
      <w:r>
        <w:rPr>
          <w:rFonts w:ascii="Arial" w:cs="Arial" w:eastAsia="Arial" w:hAnsi="Arial"/>
          <w:sz w:val="18"/>
          <w:szCs w:val="18"/>
          <w:color w:val="auto"/>
        </w:rPr>
        <w:t>In the software market, we compete with MAK Systems, Mediware, Sunquest Information Systems and applications developed internally by our customers. These companies provide software to blood and plasma collectors and to hospitals for managing donors, collections, and blood units. None of these companies competes with Haemonetics' non-software products.</w:t>
      </w:r>
    </w:p>
    <w:p>
      <w:pPr>
        <w:spacing w:after="0" w:line="14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technical staff is highly skilled, but certain competitors have substantially greater financial resources and larger technical staffing at their disposal. There can be no assurance that competitors will not direct substantial efforts and resources toward the development and marketing of products competitive with those of Haemonetics.</w:t>
      </w:r>
    </w:p>
    <w:p>
      <w:pPr>
        <w:spacing w:after="0" w:line="3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Customers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customers that accounted for greater than 10% of our net revenues in fiscal 2016, fiscal 2015, or fiscal 2014.</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Medical Device Regulation</w:t>
      </w:r>
    </w:p>
    <w:p>
      <w:pPr>
        <w:spacing w:after="0" w:line="13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products we manufacture and market are subject to regulation by the Center of Biologics Evaluation and Research (“CBER”), Center for Devices and Radiological Health (“CDRH”) and the Center for Drug Evaluation and Research ("CDER") of the United States Food and Drug Administration (“FDA”), and other non-United States regulatory bodies.</w:t>
      </w:r>
    </w:p>
    <w:p>
      <w:pPr>
        <w:spacing w:after="0" w:line="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All medical devices introduced to the United States market since 1976 are required by the FDA, as a condition of marketing, to secure either a 510(k) pre-market notification clearance or an approved premarket approval application (“PMA”). In the United States, software used to automate blood center operations and blood collections and to track those components through the system are considered by the FDA to be medical devices, subject to 510(k) pre-market notification. Intravenous solutions (blood anticoagulants and solutions for storage of red blood cells) marketed by us for use with our manual collection and automated systems requires us to obtain an approved New Drug Application (“NDA”) or Abbreviated New Drug Application (“ANDA”) from CBER or CDER. A 510(k) pre-market clearance indicates the FDA’s agreement with an applicant’s determination that the product for which clearance is sought is substantially equivalent to another legally marketed medical device. The process of obtaining a 510(k) clearance may involve the submission of clinical data and supporting information. The process of obtaining an NDA approval for solutions is likely to take much longer than 510(k) clearances because the FDA review process is more complicated.</w:t>
      </w:r>
    </w:p>
    <w:p>
      <w:pPr>
        <w:spacing w:after="0" w:line="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FDA’s Quality System regulations sets forth standards for our product design and manufacturing processes, requires the maintenance of certain records and provides for inspections of our facilities. There are also certain requirements of state, local and foreign governments that must be complied with in the manufacturing and marketing of our products. We maintain customer complaint files, record all lot numbers of disposable products, and conduct periodic audits to assure compliance with all regulations. We place special emphasis on customer training and advise all customers that device operation should be undertaken only by qualified personnel.</w:t>
      </w:r>
    </w:p>
    <w:p>
      <w:pPr>
        <w:spacing w:after="0" w:line="9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FDA can ban certain medical devices; detain or seize adulterated or misbranded medical devices; order repair, replacement or refund of these devices; and require notification of health professionals and others with regard to medical devices that present unreasonable risks of substantial harm to the public health. The FDA may also enjoin and restrain certain violations of</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130" w:right="29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Food, Drug and Cosmetic Act and the Safe Medical Devices Act pertaining to medical devices, or initiate action for criminal prosecution of such violations.</w:t>
      </w:r>
    </w:p>
    <w:p>
      <w:pPr>
        <w:spacing w:after="0" w:line="7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are also subject to regulation in the countries outside the United States in which we market our products. The member states of the European Union (EU) have adopted the European Medical Device Directive, which creates a single set of medical device regulations for all EU member countries. These regulations require companies that wish to manufacture and distribute medical devices in EU member countries to obtain CE Marking for their products. Outside of the EU, many of the regulations applicable to our products are similar to those of the FDA. However, the national health or social security organizations of certain countries require our products to be registered by those countries before they can be marketed in those countries.</w:t>
      </w:r>
    </w:p>
    <w:p>
      <w:pPr>
        <w:spacing w:after="0" w:line="6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have complied with these regulations and have obtained such registrations where we market our products. Federal, state and foreign regulations regarding the manufacture and sale of products such as ours are subject to change. We cannot predict what impact, if any, such changes might have on our business.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Conflict Minerals</w:t>
      </w:r>
    </w:p>
    <w:p>
      <w:pPr>
        <w:spacing w:after="0" w:line="1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Dodd-Frank Wall Street Reform and Consumer Protection Act imposes disclosure requirements regarding the use of "Conflict Minerals" mined from the Democratic Republic of Congo and adjoining countries in products, whether or not these products are manufactured by third parties. The conflict minerals include tin, tantalum, tungsten and gold, and their derivatives. These requirements could affect the pricing, sourcing and availability of minerals used in the manufacture of our products. There will be additional costs associated with complying with the disclosure requirements, such as costs related to determining the source of any conflict minerals used in our products. Our supply chain is complex and we may be unable to verify the origins for all metals used in our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Regulation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subject to various environmental, health and general safety laws, directives and regulations both in the U.S. and abroad. Our operations, like those of other medical device companies, involve the use of substances regulated under environmental laws, primarily in manufacturing and sterilization processes. We believe that sound environmental, health and safety performance contributes to our competitive strength while benefiting our customers, shareholders and employees.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3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Failure to comply with international, federal and local environmental protection laws or regulations could have an adverse impact on our business or could require material capital expenditures. We continue to monitor changes in U.S. and international environmental regulations that may present a significant risk to the business, including laws or regulations relating to the manufacture or sale of products using plastics.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Employees</w:t>
      </w:r>
    </w:p>
    <w:p>
      <w:pPr>
        <w:spacing w:after="0" w:line="131"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As of April 2, 2016, we employed the full-time equivalent of 3,225 persons assigned to the following functional areas: manufacturing, 1,845; sales and marketing, 688; general and administrative, 258; research and development, 186; and quality control and field service, 248.</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Availability of Reports and Other Information</w:t>
      </w:r>
    </w:p>
    <w:p>
      <w:pPr>
        <w:spacing w:after="0" w:line="1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All of our corporate governance materials, including the Principles of Corporate Governance, the Business Conduct Policy and the charters of the Audit, Compensation, and Nominating and Governance Committees are published on the Investor Relations section of our website at </w:t>
      </w:r>
      <w:r>
        <w:rPr>
          <w:rFonts w:ascii="Arial" w:cs="Arial" w:eastAsia="Arial" w:hAnsi="Arial"/>
          <w:sz w:val="18"/>
          <w:szCs w:val="18"/>
          <w:u w:val="single" w:color="auto"/>
          <w:color w:val="003399"/>
        </w:rPr>
        <w:t>http://phx.corporate-ir.net/phoenix.zhtml?c=72118&amp;p=irol-IRHome</w:t>
      </w:r>
      <w:r>
        <w:rPr>
          <w:rFonts w:ascii="Arial" w:cs="Arial" w:eastAsia="Arial" w:hAnsi="Arial"/>
          <w:sz w:val="18"/>
          <w:szCs w:val="18"/>
          <w:color w:val="000000"/>
        </w:rPr>
        <w:t>. On this web site the public can also access, free of charge, our annual, quarterly and current reports and other</w:t>
      </w:r>
      <w:r>
        <w:rPr>
          <w:rFonts w:ascii="Arial" w:cs="Arial" w:eastAsia="Arial" w:hAnsi="Arial"/>
          <w:sz w:val="18"/>
          <w:szCs w:val="18"/>
          <w:color w:val="003399"/>
        </w:rPr>
        <w:t xml:space="preserve"> </w:t>
      </w:r>
      <w:r>
        <w:rPr>
          <w:rFonts w:ascii="Arial" w:cs="Arial" w:eastAsia="Arial" w:hAnsi="Arial"/>
          <w:sz w:val="18"/>
          <w:szCs w:val="18"/>
          <w:color w:val="000000"/>
        </w:rPr>
        <w:t>documents filed or furnished to the Securities and Exchange Commission, or SEC, as soon as reasonably practicable after we electronically file such material with, or furnish it to, the SEC.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7"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predict every new factor that may emerge, forward-looking statements should not be relied upon as a prediction of our actual future financial condition or results.</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These forward-looking statements, like any forward-looking statements, involve risks and uncertainties that could cause actual results to differ materially from those projected or anticipated, including: the effects of disruption from the manufacturing transformation making it more difficult to maintain relationships with employees and timely deliver high quality products, changes in executive management, changes in operations as a result of our global strategic review, asset revaluations to reflect current business conditions, technological advances in the medical field and standards for transfusion medicine and our ability to successfully implement products that incorporate such advances and standards, demand for whole blood and blood components, product quality, market acceptance, regulatory uncertainties, including the receipt or timing of regulatory approvals, the effect of economic and political conditions, the impact of competitive products and pricing, blood product reimbursement policies and practices, foreign currency exchange rates, changes in customers’ ordering patterns including single-source tenders, the effect of industry consolidation as seen in the plasma and blood center markets, the effect of communicable diseases and the effect of uncertainties in markets outside the U.S. (including Europe and Asia) in which we operate and other risks detailed under Item 1A. Risk Factors included in this report. The foregoing list should not be construed as exhaustive.</w:t>
      </w:r>
    </w:p>
    <w:p>
      <w:pPr>
        <w:spacing w:after="0" w:line="200" w:lineRule="exact"/>
        <w:rPr>
          <w:sz w:val="20"/>
          <w:szCs w:val="20"/>
          <w:color w:val="auto"/>
        </w:rPr>
      </w:pP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240" w:top="130" w:right="37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to the other information contained in this Annual Report and the exhibits hereto, the following risk factors should be considered carefully in evaluating our business. Our business, financial condition, cash flows or results of operations could be materially adversely affected by any of these risks. This section contains forward-looking statements. You should refer to the explanation of the qualifications and limitations on forward-looking statements at the end of Item 1 and Item 7 of this Annual Report.</w:t>
      </w:r>
    </w:p>
    <w:p>
      <w:pPr>
        <w:spacing w:after="0" w:line="92"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We recently completed a global strategic review of our business. If our new strategic direction does not yield the expected results or we fail to implement the necessary changes to our operations, we could see material adverse effects on our business, financial condition or results of operations.</w:t>
      </w:r>
    </w:p>
    <w:p>
      <w:pPr>
        <w:spacing w:after="0" w:line="6"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 xml:space="preserve">We recently undertook a global strategic review of our business portfolio to identify which end markets and product franchises have the strongest growth opportunities. As a result of that review, we organized our current products into four franchises for purposes of evaluating their growth potential: </w:t>
      </w:r>
      <w:r>
        <w:rPr>
          <w:rFonts w:ascii="Arial" w:cs="Arial" w:eastAsia="Arial" w:hAnsi="Arial"/>
          <w:sz w:val="16"/>
          <w:szCs w:val="16"/>
          <w:b w:val="1"/>
          <w:bCs w:val="1"/>
          <w:color w:val="auto"/>
        </w:rPr>
        <w:t>Plasma</w:t>
      </w:r>
      <w:r>
        <w:rPr>
          <w:rFonts w:ascii="Arial" w:cs="Arial" w:eastAsia="Arial" w:hAnsi="Arial"/>
          <w:sz w:val="16"/>
          <w:szCs w:val="16"/>
          <w:color w:val="auto"/>
        </w:rPr>
        <w:t xml:space="preserve">, </w:t>
      </w:r>
      <w:r>
        <w:rPr>
          <w:rFonts w:ascii="Arial" w:cs="Arial" w:eastAsia="Arial" w:hAnsi="Arial"/>
          <w:sz w:val="16"/>
          <w:szCs w:val="16"/>
          <w:b w:val="1"/>
          <w:bCs w:val="1"/>
          <w:color w:val="auto"/>
        </w:rPr>
        <w:t>Hemostasis Management</w:t>
      </w:r>
      <w:r>
        <w:rPr>
          <w:rFonts w:ascii="Arial" w:cs="Arial" w:eastAsia="Arial" w:hAnsi="Arial"/>
          <w:sz w:val="16"/>
          <w:szCs w:val="16"/>
          <w:color w:val="auto"/>
        </w:rPr>
        <w:t>,</w:t>
      </w:r>
      <w:r>
        <w:rPr>
          <w:rFonts w:ascii="Arial" w:cs="Arial" w:eastAsia="Arial" w:hAnsi="Arial"/>
          <w:sz w:val="16"/>
          <w:szCs w:val="16"/>
          <w:b w:val="1"/>
          <w:bCs w:val="1"/>
          <w:color w:val="auto"/>
        </w:rPr>
        <w:t xml:space="preserve"> Donor </w:t>
      </w:r>
      <w:r>
        <w:rPr>
          <w:rFonts w:ascii="Arial" w:cs="Arial" w:eastAsia="Arial" w:hAnsi="Arial"/>
          <w:sz w:val="16"/>
          <w:szCs w:val="16"/>
          <w:color w:val="auto"/>
        </w:rPr>
        <w:t>and</w:t>
      </w:r>
      <w:r>
        <w:rPr>
          <w:rFonts w:ascii="Arial" w:cs="Arial" w:eastAsia="Arial" w:hAnsi="Arial"/>
          <w:sz w:val="16"/>
          <w:szCs w:val="16"/>
          <w:b w:val="1"/>
          <w:bCs w:val="1"/>
          <w:color w:val="auto"/>
        </w:rPr>
        <w:t xml:space="preserve"> Cell Processing. </w:t>
      </w:r>
      <w:r>
        <w:rPr>
          <w:rFonts w:ascii="Arial" w:cs="Arial" w:eastAsia="Arial" w:hAnsi="Arial"/>
          <w:sz w:val="16"/>
          <w:szCs w:val="16"/>
          <w:color w:val="auto"/>
        </w:rPr>
        <w:t>We concluded that Plasma and Hemostasis Management have the greatest growth potential, while</w:t>
      </w:r>
      <w:r>
        <w:rPr>
          <w:rFonts w:ascii="Arial" w:cs="Arial" w:eastAsia="Arial" w:hAnsi="Arial"/>
          <w:sz w:val="16"/>
          <w:szCs w:val="16"/>
          <w:b w:val="1"/>
          <w:bCs w:val="1"/>
          <w:color w:val="auto"/>
        </w:rPr>
        <w:t xml:space="preserve"> </w:t>
      </w:r>
      <w:r>
        <w:rPr>
          <w:rFonts w:ascii="Arial" w:cs="Arial" w:eastAsia="Arial" w:hAnsi="Arial"/>
          <w:sz w:val="16"/>
          <w:szCs w:val="16"/>
          <w:color w:val="auto"/>
        </w:rPr>
        <w:t>Cell Processing innovation offers an opportunity to increase market share and expand into new segments. We believe Donor is competing in challenging markets which require us to manage the business differently, including reducing costs and the scope of the current product line.</w:t>
      </w:r>
    </w:p>
    <w:p>
      <w:pPr>
        <w:spacing w:after="0" w:line="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If we have not correctly identified the franchises with greatest growth potential, we will not allocate our resources appropriately which will have a material adverse effect on our business, financial condition or results of operations. Further, if we are unable to reduce costs and complexity in our Donor franchise, we will obtain lower than expected cash flows to fund our future growth and capital needs. This could have a material adverse effect on our liquidity and results of operations.</w:t>
      </w:r>
    </w:p>
    <w:p>
      <w:pPr>
        <w:spacing w:after="0" w:line="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expand our product lines through internal research &amp; development and acquisitions, our business may be materially and adversely affected.</w:t>
      </w:r>
    </w:p>
    <w:p>
      <w:pPr>
        <w:spacing w:after="0" w:line="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Continued growth of our business depends on our maintaining a pipeline of profitable new products and successful improvements to our existing products. This requires accurate market analysis and carefully targeted application of intellectual and financial resources toward technological innovation or acquisition of new products. The creation and adoption of technological advances is only one step. We must also efficiently develop the technology into a product which confers a competitive advantage, represents a cost effective solution or provides improved patient care. Finally, as a part of the regulatory process of obtaining marketing clearance for new products, we conduct and participate in numerous clinical trials, the results of which may be unfavorable, or perceived as unfavorable by the market, and could have a material adverse effect on our business, financial condition or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risks of missteps and set backs are an inherent part of the innovation and development processes in the medical device industry.</w:t>
      </w:r>
    </w:p>
    <w:p>
      <w:pPr>
        <w:spacing w:after="0" w:line="13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grow our business through business relationships and acquisitions, our business may be materially and adversely affected.</w:t>
      </w:r>
    </w:p>
    <w:p>
      <w:pPr>
        <w:spacing w:after="0" w:line="76"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Promising partnerships and acquisitions may not be completed for reasons such as competition among prospective partners or buyers, our inability to reach satisfactory terms, or the need for regulatory approvals. Any acquisition that we complete may be dilutive to earnings and require the investment of significant resources. The economic environment may constrain our ability to access the capital needed for acquisitions and other capital investments.</w:t>
      </w:r>
    </w:p>
    <w:p>
      <w:pPr>
        <w:spacing w:after="0" w:line="52" w:lineRule="exact"/>
        <w:rPr>
          <w:sz w:val="20"/>
          <w:szCs w:val="20"/>
          <w:color w:val="auto"/>
        </w:rPr>
      </w:pPr>
    </w:p>
    <w:p>
      <w:pPr>
        <w:ind w:right="580"/>
        <w:spacing w:after="0" w:line="381" w:lineRule="auto"/>
        <w:rPr>
          <w:sz w:val="20"/>
          <w:szCs w:val="20"/>
          <w:color w:val="auto"/>
        </w:rPr>
      </w:pPr>
      <w:r>
        <w:rPr>
          <w:rFonts w:ascii="Arial" w:cs="Arial" w:eastAsia="Arial" w:hAnsi="Arial"/>
          <w:sz w:val="15"/>
          <w:szCs w:val="15"/>
          <w:b w:val="1"/>
          <w:bCs w:val="1"/>
          <w:i w:val="1"/>
          <w:iCs w:val="1"/>
          <w:color w:val="auto"/>
        </w:rPr>
        <w:t>A significant portion of our revenue derives from the sale of blood collection supplies. Declines in the number of blood collection procedures have adversely impacted our business and future declines may have an adverse effect on our business, financial condition and results of operations.</w:t>
      </w:r>
    </w:p>
    <w:p>
      <w:pPr>
        <w:spacing w:after="0" w:line="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Sales to blood collectors represented 39.7% of our consolidated disposables revenues in fiscal 2016. In certain markets, changes in medical protocols and the development of less invasive, lower blood loss procedures has reduced the number of transfusions of red blood cells, which has in turn led to a decline in the number of blood collection procedures. This is particularly true in the United States where we saw collections decline by approximately 10% and 7% in fiscal 2015 and 2016, respectively. We expect this trend to continue further in fiscal 2017.</w:t>
      </w:r>
    </w:p>
    <w:p>
      <w:pPr>
        <w:spacing w:after="0" w:line="9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response to this trend, certain large U.S. blood center collection groups pursued single source vendors for whole blood collection products which required significant reductions in average selling prices in order to retain or increase our share of their business. During fiscal 2014, we entered into a multi-year agreement to supply the HemeXcel Purchasing Alliance, LLC with certain whole blood collection components during the calendar years 2014-2016. The agreement included a reduction in average selling prices which was implemented at the end of first quarter of fiscal 2015. In March 2014, the American Red Cross selected another exclusive supplier to provide certain whole blood products. This reduced annualized revenues by approximately $25.0 million beginning in the second quarter of fiscal 2015.</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30" w:right="2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the first half of fiscal 2016, the American Red Cross and two group purchasing organizations representing other U.S. blood collectors ("Blood Center GPOs") pursued arrangements for apheresis red cell collections. These negotiations have concluded and will negatively affect red cell revenues and gross margins, a negative impact of approximately $12 million is expected on fiscal 2017 operating income.</w:t>
      </w:r>
    </w:p>
    <w:p>
      <w:pPr>
        <w:spacing w:after="0" w:line="8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Consolidation of the healthcare providers and blood collectors has increased demand for price concessions and caused the exclusion of suppliers from significant market segments, which could have an adverse effect on our business, financial condition and results of operations.</w:t>
      </w:r>
    </w:p>
    <w:p>
      <w:pPr>
        <w:spacing w:after="0" w:line="2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Political, economic and policy influences are causing the healthcare and blood collection industries to make substantial structural and financial changes that will continue affecting our results of operations. Government and private sector initiatives limiting the growth of healthcare costs and causing healthcare delivery structure reforms, including the reduction in blood use reduced payments for care. These trends have placed greater pricing pressure on suppliers, decreased average selling prices and increased the number of sole source relationships. This pressure impacts our Hospital and Blood Center businesses.</w:t>
      </w:r>
    </w:p>
    <w:p>
      <w:pPr>
        <w:spacing w:after="0" w:line="6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expansion among hospitals in the United States of group purchasing organizations, integrated delivery networks and large single accounts directly puts price pressure on our Hospital business. It also puts price pressure on our United States Blood Center customers who are also facing reduced demand for red cells. Our Blood Center customers have responded to this pressure by creating their own group purchasing organizations and resorting to single source tenders to create incentives for suppliers, including us, to significantly reduce prices.</w:t>
      </w:r>
    </w:p>
    <w:p>
      <w:pPr>
        <w:spacing w:after="0" w:line="92"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We expect that market demand, government regulation, third-party reimbursement policies, government contracting requirements and societal pressures will continue to change the worldwide healthcare industry, resulting in further business consolidations and alliances among our customers and competitors. This may exert further downward pressure on the prices of our products and adversely impact our business, financial condition or results of operations.</w:t>
      </w:r>
    </w:p>
    <w:p>
      <w:pPr>
        <w:spacing w:after="0" w:line="14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Quality problems with our processes, goods, and services could harm our reputation for producing high-quality products and erode our competitive advantage, sales, and market share.</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Quality is extremely important to us and our customers due to the serious and costly consequences of product failure. Our quality certifications are critical to the marketing success of our products and services. If we fail to meet these standards or fail to adapt to evolving standards, our reputation could be damaged, we could lose customers, and our revenue and results of operations could decline.</w:t>
      </w:r>
    </w:p>
    <w:p>
      <w:pPr>
        <w:spacing w:after="0" w:line="87"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As approximately half of our revenue comes from outside the United States, we are subject to currency fluctuation, geopolitical risk, economic volatility, anti-corruption laws, export and import restrictions, local regulatory authorities and the laws and medical practices in foreign jurisdictions.</w:t>
      </w:r>
    </w:p>
    <w:p>
      <w:pPr>
        <w:spacing w:after="0" w:line="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do business in over 100 countries and have distributors in approximately 90 countries. This exposes us to currency fluctuation, geopolitical risk, economic volatility, anti-corruption laws, export and import restrictions, local regulatory authorities and the laws and medical practices in foreign jurisdictions.</w:t>
      </w:r>
    </w:p>
    <w:p>
      <w:pPr>
        <w:spacing w:after="0" w:line="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there are sanctions or restrictions on the flow of capital which prevent product importation or receipt of payments in Russia or China, our business could be adversely affected.</w:t>
      </w:r>
    </w:p>
    <w:p>
      <w:pPr>
        <w:spacing w:after="0" w:line="7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international operations are governed by the U.S. Foreign Corrupt Practices Act (FCPA) and other similar anti-corruption laws in other countries. Generally, these laws prohibit companies and their business partners or other intermediaries from making improper payments to foreign governments and government officials in order to obtain or retain business. Global enforcement of such anti-corruption laws has increased in recent years, including aggressive investigations and enforcement proceedings. While we have an active compliance program and various other safeguards to discourage impermissible practices, we have distributors in 90 countries, several of which are considered high risk for corruption. As a result, our global operations carry some risk of unauthorized impermissible activity on the part of one of our distributors, employees, agents or consultants. Any alleged or actual violation could subject us to government scrutiny, severe criminal or civil fines, or sanctions on our ability to export product outside the U.S., which could adversely affect our reputation and financial condition.</w:t>
      </w:r>
    </w:p>
    <w:p>
      <w:pPr>
        <w:spacing w:after="0" w:line="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Export of U.S. technology or goods manufactured in the United States to some jurisdictions requires special U.S. export authorization or local market controls that may be influenced by factors, including political dynamics, outside our control.</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Finally, any other significant changes in the competitive, legal, regulatory, reimbursement or economic environments of the jurisdictions in which we conduct our international business could have a material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the continued services of skilled personnel.</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constantly monitor the dynamics of the economy, the healthcare industry and the markets in which we compete; and we continue to assess our key personnel that we believe are essential to our long-term success. Over the last year, we have transitioned to a new Chief Executive Officer, are in the process of hiring a new Chief Financial Officer and have hired new personnel in a number of key executive positions. We have also effected significant organizational and strategic changes in connection therewith. If we fail to effectively manage our ongoing organizational and strategic changes, including the timely identification of a new Chief Financial Officer, our financial condition, results of operations, and reputation, as well as our ability to successfully attract, motivate and retain key employees, could be harmed.</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Our success also depends upon our ability to attract and retain other qualified managerial and technical personnel. Competition for such personnel is intense.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may not be able to attract and retain personnel necessary for the development of our business.</w:t>
      </w:r>
    </w:p>
    <w:p>
      <w:pPr>
        <w:spacing w:after="0" w:line="11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are unable to meet our debt obligations or experience a disruption in our cash flows, it could have an adverse effect on our financial condition, results of operations, ability to complete our share repurchase program or cost of borrowing.</w:t>
      </w:r>
    </w:p>
    <w:p>
      <w:pPr>
        <w:spacing w:after="0" w:line="7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$408.1 million of debt outstanding at April 2, 2016. The obligations to pay interest and repay the borrowed amounts may restrict our ability to adjust to adverse economic conditions, our ability to fund working capital, capital expenditures, acquisition or other general corporate requirements. The interest rate on the loan is variable and subject to change based on market forces. Fluctuations in interest rates could adversely affect our profitability and cash flows.</w:t>
      </w:r>
    </w:p>
    <w:p>
      <w:pPr>
        <w:spacing w:after="0" w:line="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as a global corporation we have significant cash reserves held in foreign countries. These balances may not be immediately available to repay our debt.</w:t>
      </w:r>
    </w:p>
    <w:p>
      <w:pPr>
        <w:spacing w:after="0" w:line="76"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Our credit facilities contain financial covenants that require us to maintain specified financial ratios and make interest and principal payments. If we are unable to satisfy these covenants, we may be required to obtain waivers from our lenders and no assurance can be made that our lenders would grant such waivers on favorable terms, or at all, and we could be required to repay any borrowed amounts on short notice.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capital that we may require in the future may not be available to us, or only available to us on unfavorable terms.</w:t>
      </w:r>
    </w:p>
    <w:p>
      <w:pPr>
        <w:spacing w:after="0" w:line="13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Our future capital requirements will depend on many factors, including operating requirements, current and future acquisitions and the need to refinance existing debt. Our ability to issue additional debt or enter into other financing arrangements on acceptable terms could be adversely affected by our debt levels, unfavorable changes in economic conditions generally or uncertainties that affect the capital markets. Higher borrowing costs or the inability to access capital markets could adversely affect our ability to support future growth and operating requirements and, as a result, our business, financial condition and results of operations could be adversely affected. As of April 2, 2016, we had $408.1 million of debt obligations due prior to July 1, 2019. Refer to </w:t>
      </w:r>
      <w:r>
        <w:rPr>
          <w:rFonts w:ascii="Arial" w:cs="Arial" w:eastAsia="Arial" w:hAnsi="Arial"/>
          <w:sz w:val="17"/>
          <w:szCs w:val="17"/>
          <w:i w:val="1"/>
          <w:iCs w:val="1"/>
          <w:color w:val="auto"/>
        </w:rPr>
        <w:t>Liquidity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Capital Resources </w:t>
      </w:r>
      <w:r>
        <w:rPr>
          <w:rFonts w:ascii="Arial" w:cs="Arial" w:eastAsia="Arial" w:hAnsi="Arial"/>
          <w:sz w:val="17"/>
          <w:szCs w:val="17"/>
          <w:color w:val="auto"/>
        </w:rPr>
        <w:t>within our Management's Discussion and Analysis of Financial Condition and Results of Operations contained in Item 7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Annual Report on Form 10-K for further discussion on debt obligations.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recorded goodwill and other asset impairment charges during the current fiscal year and may record additional charges in future periods.</w:t>
      </w:r>
    </w:p>
    <w:p>
      <w:pPr>
        <w:spacing w:after="0" w:line="15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evaluate goodwill for impairment at least annually, or on an interim basis between annual tests when events or circumstances indicate that it is more likely than not that the fair value of a reporting unit is less than its carrying value. During the third quarter of fiscal 2016, we concluded that indicators of potential goodwill impairment were present for the EMEA and Americas Blood Center and Hospital reporting units, therefore requiring an interim test for goodwill impairment. We recorded a preliminary impairment charge of $66.3 million in the EMEA reporting unit during the third quarter of fiscal 2016. During the fourth quarter of fiscal 2016, we completed our goodwill impairment test and concluded that no adjustment to the $66.3 million impairment loss initially recorded was required. The impairment charge recorded in the third quarter of fiscal 2016 represented the entire goodwill balance allocated to EMEA. This charge does not impact our liquidity, cash flows from operations, future operations, or compliance with debt covenants. Although the analysis indicated only the EMEA reporting unit was impaired, we will continue to monitor the Americas Blood Center and Hospital, which has an excess fair value over carrying value of approximately 25.8% and has allocated goodwill of $175.9 million, as this operating unit is most at risk in future periods if our estimated future cash flows differ from our actual operating results.</w:t>
      </w:r>
    </w:p>
    <w:p>
      <w:pPr>
        <w:spacing w:after="0" w:line="83"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Additionally, during the third quarter of fiscal 2016 we recorded an impairment charge of $18.7 million to write down the carrying value of the SOLX intangible assets after we updated our assessment of the market potential for the SOLX technology and concluded that it was no longer commercially reasonable to bring this technology to market.</w:t>
      </w:r>
    </w:p>
    <w:p>
      <w:pPr>
        <w:spacing w:after="0" w:line="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Finally, during the fourth quarter of fiscal 2016, we completed our global strategic review which resulted in the identification of certain long-lived assets, including property, plant and equipment and intangible assets that were at risk of being impaired due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 changes in the strategic direction of the Company. During the fourth quarter of fiscal 2016, we performed impairment tests for each of the identified assets and based on revised expectations, we recorded asset impairment charges of $16.2 million.</w:t>
      </w:r>
    </w:p>
    <w:p>
      <w:pPr>
        <w:spacing w:after="0" w:line="7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Goodwill impairment charges or other asset impairment charges could materially adversely impact our results of operations in the period in which they are recorded. We will continue to monitor our intangible assets for potential impairments in future periods. Refer to </w:t>
      </w:r>
      <w:r>
        <w:rPr>
          <w:rFonts w:ascii="Arial" w:cs="Arial" w:eastAsia="Arial" w:hAnsi="Arial"/>
          <w:sz w:val="18"/>
          <w:szCs w:val="18"/>
          <w:i w:val="1"/>
          <w:iCs w:val="1"/>
          <w:color w:val="auto"/>
        </w:rPr>
        <w:t>Critical Accounting Policies</w:t>
      </w:r>
      <w:r>
        <w:rPr>
          <w:rFonts w:ascii="Arial" w:cs="Arial" w:eastAsia="Arial" w:hAnsi="Arial"/>
          <w:sz w:val="18"/>
          <w:szCs w:val="18"/>
          <w:color w:val="auto"/>
        </w:rPr>
        <w:t xml:space="preserve"> within our Management's Discussion and Analysis of Financial Condition and Results of Operations contained in Item 7 of this Annual Report on Form 10-K for a discussion of key assumptions used in our testing.</w:t>
      </w:r>
    </w:p>
    <w:p>
      <w:pPr>
        <w:spacing w:after="0" w:line="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As a medical device manufacturer we are subject to a number of laws and regulations. Non-compliance with those laws or regulations could adversely affect our financial condition and results of operations.</w:t>
      </w:r>
    </w:p>
    <w:p>
      <w:pPr>
        <w:spacing w:after="0" w:line="7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manufacture, distribution and marketing of our products are subject to regulation by the FDA and other non-United States regulatory bodies. We must obtain specific regulatory clearance prior to selling any new product or service, a process which is costly and time consuming. If we are unable to obtain the necessary regulatory clearance we will be unable to introduce new enhanced product. Our operations are also subject to continuous review and monitoring by the FDA and other regulatory authorities. Failure to substantially comply with applicable regulations could subject our products to recall or seizure by government authorities, or an order to suspend manufacturing activities. If our products were determined to have design or manufacturing flaws, this could result in their recall or seizure. Either of these situations could also result in the imposition of fines.</w:t>
      </w:r>
    </w:p>
    <w:p>
      <w:pPr>
        <w:spacing w:after="0" w:line="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Many of our competitors have significantly greater financial means and resources, which may allow them to more rapidly develop new technologies and more quickly address changes in customer requirements.</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ability to remain competitive depends on a combination of factors. Certain factors are within our control such as reputation, regulatory approvals, patents, unpatented proprietary know-how in several technological areas, product quality, safety, cost effectiveness and continued rigorous documentation of clinical performance. Other factors are outside of our control such as regulatory standards, medical standards, reimbursement policies and practices, and the practice of medicine.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a significant customer could adversely affect our business.</w:t>
      </w:r>
    </w:p>
    <w:p>
      <w:pPr>
        <w:spacing w:after="0" w:line="13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fiscal 2016, although no one customer represented more than 10% of our revenues, our ten largest customers accounted for 36.0% of our revenue. If any of our largest customers materially reduce their purchases from us or terminate their relationship with us for any reason, we could experience an adverse effect on our results of operations or financial condition.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continue to realize the benefits from our Value Creation and Capture initiatives.</w:t>
      </w:r>
    </w:p>
    <w:p>
      <w:pPr>
        <w:spacing w:after="0" w:line="13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fiscal 2016, we completed our multi-year Value Creation and Capture initiatives. These initiatives have reduced manufacturing costs and improved supply chain efficiency. However, there are no assurances the cost savings or supply chain efficiencies will continue as our business evolves. In addition, the activities involved the relocation of several product lines to new manufacturing facilities. As these transitions are completed, we may yet experience challenges with the new manufacturing locations, additional costs, or unacceptable quality. These may lead to additional working capital, warranty or inventory costs.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 interruption in our ability to manufacture our products or an inability to obtain key components or raw materials may adversely affect our business.</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key products are manufactured at single locations, with limited alternate facilities. If an event occurs that results in damage to one or more of our facilities, we may be unable to manufacture the relevant products at previous levels or at all. In addition, for reasons of quality assurance or cost effectiveness, we purchase certain finished goods, components and raw materials from sole suppliers, notably JMS Co. Ltd., Kawasumi Laboratories and Sanmina Corporation. Due to the stringent regulations and requirements of the FDA and other similar non-U.S. regulatory agencies regarding the manufacture of our products, we may not be able to quickly establish additional or replacement sources for certain components or materials. A reduction or interruption in manufacturing, or an inability to secure alternative sources of raw materials or components, could have a material adverse effect on our business, results of operations, financial condition and cash flows.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or worsening economic conditions may adversely affect our business and financial condition.</w:t>
      </w:r>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 portion of our trade accounts receivable outside the United States include sales to government-owned or supported healthcare systems in several countries, which are subject to payment delays. Payment is dependent upon the financial stability and creditworthiness of those countries’ national economies. Worsening economic conditions may lead to the rationing of care or reduced order patterns. Although, we have not incurred significant losses on government receivables to date, we continually evaluate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30" w:right="25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As a global corporation, we are exposed to fluctuations in currency exchange rates, which could adversely affect our cash flows and results of operations.</w:t>
      </w:r>
    </w:p>
    <w:p>
      <w:pPr>
        <w:spacing w:after="0" w:line="7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International revenues and expenses account for a substantial portion of our operations and we intend to continue expanding our presence in international markets. In fiscal 2016, our international revenues accounted for 42.9% of our total revenues. The exposure to fluctuations in currency exchange rates takes different forms. Reported revenues, as well as manufacturing and operational costs denominated in foreign currencies by our international businesses, fluctuate due to exchange rate movement when translated into U.S. dollars for financial reporting purposes. Fluctuations in exchange rates could adversely affect our profitability in U.S. dollars of products and services sold by us into international markets, where payment for our products and services and related manufacturing and operational costs is made in local currencies.</w:t>
      </w:r>
    </w:p>
    <w:p>
      <w:pPr>
        <w:spacing w:after="0" w:line="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entrusted with sensitive personal information relating to surgical patients, blood donors, employees and other persons in the course of operating our business and serving our customers.</w:t>
      </w:r>
    </w:p>
    <w:p>
      <w:pPr>
        <w:spacing w:after="0" w:line="7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Government agencies require that we implement measures to ensure the integrity and security of such personal data and, in the event of a breach of protocol, we inform affected individuals. If our systems are not properly designed or implemented, or should suffer a breach of security or an intrusion (e.g., “hacking”) by unauthorized persons, the Company’s reputation could be harmed, and it could incur costs and liabilities to affected persons and enforcement agencies.</w:t>
      </w:r>
    </w:p>
    <w:p>
      <w:pPr>
        <w:spacing w:after="0" w:line="52"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We rely on the proper function, availability and security of information technology systems to operate our business and to serve our customers and a cyber-attack or other breach of these systems could have a material adverse effect on our business, financial condition or results of operations.</w:t>
      </w:r>
    </w:p>
    <w:p>
      <w:pPr>
        <w:spacing w:after="0" w:line="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rely on information technology systems to process, transmit, and store electronic information in our day-to-day operations. Similar to other large multi-national companies, the size and complexity of our information technology systems makes them vulnerable to a cyber-attack, malicious intrusion, breakdown, destruction, loss of data privacy, or other significant disruption.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In addition, third parties may attempt to hack into our products to obtain data relating to patients with our products or our proprietary information. Any failure by us to maintain or protect our information technology systems and data integrity, including from cyber-attacks, intrusions or other breaches, could result in the unauthorized access to patient data and personally identifiable information, theft of intellectual property or other misappropriation of assets, or otherwise compromise our confidential or proprietary information and disrupt our operations. Any of these events, in turn, may cause us to lose existing customers, have difficulty preventing, detecting, and controlling fraud, have disputes with customers, physicians, and other health care professionals, be subject to legal claims and liability, have regulatory sanctions or penalties imposed, have increases in operating expenses, incur expenses or lose revenues as a result of a data privacy breach or theft of intellectual property, or suffer other adverse consequences, any of which could have a material adverse effect on our business, financial condition or results of operations.</w:t>
      </w:r>
    </w:p>
    <w:p>
      <w:pPr>
        <w:spacing w:after="0" w:line="93" w:lineRule="exact"/>
        <w:rPr>
          <w:sz w:val="20"/>
          <w:szCs w:val="20"/>
          <w:color w:val="auto"/>
        </w:rPr>
      </w:pPr>
    </w:p>
    <w:p>
      <w:pPr>
        <w:jc w:val="both"/>
        <w:ind w:right="380"/>
        <w:spacing w:after="0" w:line="277" w:lineRule="auto"/>
        <w:rPr>
          <w:sz w:val="20"/>
          <w:szCs w:val="20"/>
          <w:color w:val="auto"/>
        </w:rPr>
      </w:pPr>
      <w:r>
        <w:rPr>
          <w:rFonts w:ascii="Arial" w:cs="Arial" w:eastAsia="Arial" w:hAnsi="Arial"/>
          <w:sz w:val="18"/>
          <w:szCs w:val="18"/>
          <w:b w:val="1"/>
          <w:bCs w:val="1"/>
          <w:i w:val="1"/>
          <w:iCs w:val="1"/>
          <w:color w:val="auto"/>
        </w:rPr>
        <w:t>We are subject to the risks associated with communicable diseases. A significant outbreak of a disease could reduce the demand for our products and affect our ability to provide our customers with products and services.</w:t>
      </w:r>
    </w:p>
    <w:p>
      <w:pPr>
        <w:spacing w:after="0" w:line="76"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An eligible donor’s willingness to donate is affected by concerns about their personal health and safety. Concerns about communicable diseases (such as pandemic flu, SARS, or HIV) could reduce the number of donors, and accordingly reduce the demand for our products for a period of time. A significant outbreak of a disease could also affect our employees’ ability to work, which could limit our ability to produce product and service our customers.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the Company’s intellectual property may be subject to misappropriation in some countries.</w:t>
      </w:r>
    </w:p>
    <w:p>
      <w:pPr>
        <w:spacing w:after="0" w:line="13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Certain countries, particularly China, do not enforce compliance with laws that protect intellectual property (“IP”) rights with the same degree of vigor as is available under the U.S. and European systems of justice. Further, certain of the Company’s IP rights are not registered in China, or if they were, have since expired. This may permit others to produce copies of products in China that are not covered by currently valid patent registrations. There is also a risk that such products may be exported from China to other countries.</w:t>
      </w:r>
    </w:p>
    <w:p>
      <w:pPr>
        <w:spacing w:after="0" w:line="9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order to aggressively protect our IP throughout the world, we have a program of patent disclosures and filings in markets where we conduct significant business. While we believe this program is reasonable and adequate, the risk of loss is inherent in litigation as different legal systems offer different levels of protection to IP, and it is still possible that even patented technologies may not be protected absolutely from infringement.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and future intellectual property litigation could be costly and disruptive to us.</w:t>
      </w:r>
    </w:p>
    <w:p>
      <w:pPr>
        <w:spacing w:after="0" w:line="13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operate in an industry that is susceptible to significant intellectual property litigation. This type of litigation is expensive, complex and lengthy and its outcome is difficult to predict. Patent litigation may result in adverse outcomes and could significantly divert the attention of our technical and management personnel.</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technologies that support our products are the subject of active patent prosecution.</w:t>
      </w:r>
    </w:p>
    <w:p>
      <w:pPr>
        <w:spacing w:after="0" w:line="13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There is a risk that one or more of our products may be determined to infringe a patent held by another party. If this were to occur we may be subject to an injunction or to payment of royalties, or both, which may adversely affect our ability to market the affected product(s). In addition, competitors may patent technological advances which may give them a competitive advantage or create barriers to entry.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sell our products in certain emerging economies.</w:t>
      </w:r>
    </w:p>
    <w:p>
      <w:pPr>
        <w:spacing w:after="0" w:line="13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There are risks with doing business in emerging economies, such as Brazil, Russia, India and China. These economies tend to have less mature product regulatory systems, and more volatile financial markets. In addition, the government controlled health care system's ability to invest in our products and systems may abruptly shift due to changing government priorities or funding capacity. Our ability to sell products in these economies is dependent upon our ability to hire qualified employees or agents to represent our products locally, and our ability to obtain and maintain the necessary regulatory approvals in a less mature regulatory environment. If we are unable to retain qualified representatives or maintain the necessary regulatory approvals, we will not be able to continue to sell products in these markets. We are exposed to a higher degree of financial risk if we extend credit to customers in these economies.</w:t>
      </w:r>
    </w:p>
    <w:p>
      <w:pPr>
        <w:spacing w:after="0" w:line="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In many of the international markets in which we do business, including certain parts of Europe, South America, the Middle East, Russia and Asia, our employees, agents or distributors offer to sell our products in response to public tenders issued by various governmental agencies.</w:t>
      </w:r>
    </w:p>
    <w:p>
      <w:pPr>
        <w:spacing w:after="0" w:line="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There is additional risk in selling our products through agents or distributors, particularly in public tenders. If they misrepresent our products, do not provide appropriate service and delivery, or commit a violation of local or U.S. law, our reputation could be harmed, and we could be subject to fines, sanctions or both.</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complex global supply chain which includes key sole source suppliers.</w:t>
      </w:r>
    </w:p>
    <w:p>
      <w:pPr>
        <w:spacing w:after="0" w:line="13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a complex global supply chain which involves integrating key suppliers and our manufacturing capacity into a global movement of components and finished goods.</w:t>
      </w:r>
    </w:p>
    <w:p>
      <w:pPr>
        <w:spacing w:after="0" w:line="76"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We have certain key suppliers, including JMS Co. Ltd. ("JMS"), Kawasumi Laboratories ("Kawasumi") and Sanmina Corporation, who have their own complex supply chains. JMS and Kawasumi make certain finished goods and important sub components in locations throughout Asia. We have engaged Sanmina Corporation to be the sole manufacturer of certain equipment as part of our manufacturing network optimization activities.</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disruption to one or more of our suppliers’ production or delivery of sufficient volumes of subcomponents conforming to our specifications could disrupt or delay our ability to deliver finished products to our customers. For example, we purchase components in Asia for use in manufacturing in the United States, Puerto Rico, Mexico and Scotland. We also regularly ship finished goods from the United States, Puerto Rico, Mexico and Scotland to Europe and Asia.</w:t>
      </w:r>
    </w:p>
    <w:p>
      <w:pPr>
        <w:spacing w:after="0" w:line="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Plastics are the principal component of our disposables, which are the main source of our revenues. Any change in the price, composition or availability of the plastics we purchase could adversely affect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have three risks with this key raw material: price, composition and availability.</w:t>
      </w:r>
    </w:p>
    <w:p>
      <w:pPr>
        <w:spacing w:after="0" w:line="13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Increases in the price of petroleum derivatives could result in corresponding increases in our costs to procure plastic raw materials. Increases in the costs of other commodities may affect our procurement costs to a lesser degree.</w:t>
      </w:r>
    </w:p>
    <w:p>
      <w:pPr>
        <w:spacing w:after="0" w:line="7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composition of the plastic we purchase is also important. Today, we purchase plastics which contain phthalates, which are used to make plastic malleable. Should plastics with phthalates become unavailable due to regulatory changes, we may be required to obtain new FDA or foreign approvals for a number of products.</w:t>
      </w:r>
    </w:p>
    <w:p>
      <w:pPr>
        <w:spacing w:after="0" w:line="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While we have not experienced shortages in the past, any interruption in the supply for certain plastics could have a material impact on our business by limiting our ability to manufacture and sell the products which represent a significant portion of our revenues.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30" w:right="25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are made with materials which are subject to regulation by governmental agencies.</w:t>
      </w:r>
    </w:p>
    <w:p>
      <w:pPr>
        <w:spacing w:after="0" w:line="131"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Environmental regulations may prohibit the use of certain compounds in products we market and sell in regulated markets. If we are unable to substitute suitable materials into our processes, our manufacturing operations may be disrupted. In addition, we may be obligated to disclose the origin of certain materials used in our products, including but not limited to, metals mined from locations which have been the site of human rights violations.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an industry susceptible to significant product liability claims.</w:t>
      </w:r>
    </w:p>
    <w:p>
      <w:pPr>
        <w:spacing w:after="0" w:line="13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products are relied upon by medical personnel in connection with the treatment of patients and the collection of blood from donors. In the event that patients or donors sustain injury or death in connection with their condition or treatment, we, along with others, may be sued, and whether or not we are ultimately determined to be liable, we may incur significant legal expenses. These claims may be brought by individuals seeking relief on their own behalf or purporting to represent a class. In addition, product liability claims may be asserted against us in the future based on events we are not aware of at the present time.</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such litigation could damage our reputation and, therefore, impair our ability to market our products, obtain professional or product liability insurance, or increase the cost of such insurance. While we believe that our current product liability insurance coverage is sufficient, there is no assurance that such coverage will be adequate to cover incurred liabilities or that we will be able to obtain acceptable product and professional liability coverage in the future.</w:t>
      </w:r>
    </w:p>
    <w:p>
      <w:pPr>
        <w:spacing w:after="0" w:line="9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have disclosed a material weakness in our internal controls over financial reporting relating to our accounting for income taxes, which could adversely affect our ability to report our financial condition, results of operations or cash flows accurately and on a timely basis.</w:t>
      </w:r>
    </w:p>
    <w:p>
      <w:pPr>
        <w:spacing w:after="0" w:line="5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our assessment of internal controls over financial reporting under Section 404 of the Sarbanes-Oxley Act of 2002, we identified a material weakness in our internal controls over financial reporting relating to our accounting for income taxes. For a discussion of our internal controls over financial reporting and a description of the identified material weakness, see "Controls and Procedures" in Part II, Item 9A of this Report.</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material weakness is a deficiency, or a combination of deficiencies, in internal controls over financial reporting, such that there is a reasonable possibility that a material misstatement of our annual or interim financial statements will not be prevented or detected on a timely basis. Management's assessment identified control deficiencies associated with the transition from utilizing tax consultants to establishing expanded in-house tax capabilities and resources, as well as issues in the design and implementation of controls to review and analyze the Company's income tax provisions, income taxes payable and receivable, and deferred income tax balances that led management to conclude that control deficiencies existed at April 2, 2016. While reported tax provisions and related accounts are believed to be accurate, as a result of these deficiencies, until they are substantially remediated, it is possible that internal controls over financial reporting may not prevent or detect errors in the tax accounting reflected in our financial statements from occurring that could be material, either individually or in the aggregate.</w:t>
      </w:r>
    </w:p>
    <w:p>
      <w:pPr>
        <w:spacing w:after="0" w:line="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actions have been taken to improve our internal controls in response to the identified material weakness related to certain aspects of accounting for income taxes, additional work continues to address and remediate the identified material weakness. Until these actions are fully implemented and tested, a material weakness in our internal controls over financial reporting relating to income taxes will continue to exist. As a result, our ability to accurately report, on a timely basis, our future financial condition, results of operations or cash flows may be adversely affected.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owned headquarters facility is located in Braintree, Massachusetts and consists of two buildings which are approximately 180,000 and 44,000 square feet. As of April 2, 2016, we owned or leased a total of 68 facilities. Our owned and leased facilities consist of approximately 1.8 million square feet. Included within these properties are 8 manufacturing facilities. We believe all of these facilities are well-maintained and suitable for the operation conducted in them. We consider the following manufacturing facilities to be material to the business.</w:t>
      </w:r>
    </w:p>
    <w:p>
      <w:pPr>
        <w:spacing w:after="0" w:line="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Leetsdale, Pennsylvania is an approximately 82,000 square foot leased facility which is used for warehousing, distribution and manufacturing operations primarily supporting our plasma business. Annual lease expense is approximately $0.4 million for this facility.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Draper, Utah is an approximately 100,000 square foot owned facility used for distribution and manufacturing operations supporting our plasma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2015, the Company purchased this facility for $6.6 million.</w:t>
      </w:r>
    </w:p>
    <w:p>
      <w:pPr>
        <w:spacing w:after="0" w:line="116"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Company leases a facility in Fajardo, Puerto Rico that is approximately 115,000 square feet under an agreement with Pall Corporation executed in connection with the Company's acquisition of Pall's transfusion medicine business on August 1, 2012. This facility is used for production of blood filters.</w:t>
      </w:r>
    </w:p>
    <w:p>
      <w:pPr>
        <w:spacing w:after="0" w:line="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Company owns a facility in Bothwell, Scotland used to manufacture disposable products for our European and Asian customers. This facility is approximately 40,000 square feet.</w:t>
      </w:r>
    </w:p>
    <w:p>
      <w:pPr>
        <w:spacing w:after="0" w:line="7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leases 127,000 square feet of space in Tijuana, Mexico with an Annual lease expense of approximately $0.7 million. The Company also owns a facility in Tijuana, Mexico that is approximately 182,000 square feet. These facilities are used for the production of whole blood collection kits, blood center and hospital disposables, and intra-plant components.</w:t>
      </w:r>
    </w:p>
    <w:p>
      <w:pPr>
        <w:spacing w:after="0" w:line="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owns approximately 240,000 square feet of space in Penang, Malaysia used to manufacture disposable products for our European and Asian customers. The Company leases the land on which the facility was built and the lease payments have been prepaid. The lease term of 30 years expires in 2043 with an option to renew for a period of no less than 10 years.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facilities are used by the following business segments: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60" w:type="dxa"/>
            <w:vAlign w:val="bottom"/>
          </w:tcPr>
          <w:p>
            <w:pPr>
              <w:spacing w:after="0"/>
              <w:rPr>
                <w:sz w:val="16"/>
                <w:szCs w:val="16"/>
                <w:color w:val="auto"/>
              </w:rPr>
            </w:pPr>
          </w:p>
        </w:tc>
        <w:tc>
          <w:tcPr>
            <w:tcW w:w="2260" w:type="dxa"/>
            <w:vAlign w:val="bottom"/>
          </w:tcPr>
          <w:p>
            <w:pPr>
              <w:jc w:val="right"/>
              <w:ind w:right="413"/>
              <w:spacing w:after="0"/>
              <w:rPr>
                <w:sz w:val="20"/>
                <w:szCs w:val="20"/>
                <w:color w:val="auto"/>
              </w:rPr>
            </w:pPr>
            <w:r>
              <w:rPr>
                <w:rFonts w:ascii="Arial" w:cs="Arial" w:eastAsia="Arial" w:hAnsi="Arial"/>
                <w:sz w:val="14"/>
                <w:szCs w:val="14"/>
                <w:b w:val="1"/>
                <w:bCs w:val="1"/>
                <w:color w:val="auto"/>
              </w:rPr>
              <w:t>Number of Facilities</w:t>
            </w:r>
          </w:p>
        </w:tc>
      </w:tr>
      <w:tr>
        <w:trPr>
          <w:trHeight w:val="256"/>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2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EMEA</w:t>
            </w:r>
          </w:p>
        </w:tc>
        <w:tc>
          <w:tcPr>
            <w:tcW w:w="2260" w:type="dxa"/>
            <w:vAlign w:val="bottom"/>
          </w:tcPr>
          <w:p>
            <w:pPr>
              <w:jc w:val="right"/>
              <w:ind w:right="13"/>
              <w:spacing w:after="0"/>
              <w:rPr>
                <w:sz w:val="20"/>
                <w:szCs w:val="20"/>
                <w:color w:val="auto"/>
              </w:rPr>
            </w:pPr>
            <w:r>
              <w:rPr>
                <w:rFonts w:ascii="Arial" w:cs="Arial" w:eastAsia="Arial" w:hAnsi="Arial"/>
                <w:sz w:val="18"/>
                <w:szCs w:val="18"/>
                <w:color w:val="auto"/>
              </w:rPr>
              <w:t>16</w:t>
            </w:r>
          </w:p>
        </w:tc>
      </w:tr>
      <w:tr>
        <w:trPr>
          <w:trHeight w:val="27"/>
        </w:trPr>
        <w:tc>
          <w:tcPr>
            <w:tcW w:w="91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 Plasma</w:t>
            </w:r>
          </w:p>
        </w:tc>
        <w:tc>
          <w:tcPr>
            <w:tcW w:w="2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All Other</w:t>
            </w:r>
          </w:p>
        </w:tc>
        <w:tc>
          <w:tcPr>
            <w:tcW w:w="2260" w:type="dxa"/>
            <w:vAlign w:val="bottom"/>
          </w:tcPr>
          <w:p>
            <w:pPr>
              <w:jc w:val="right"/>
              <w:ind w:right="13"/>
              <w:spacing w:after="0"/>
              <w:rPr>
                <w:sz w:val="20"/>
                <w:szCs w:val="20"/>
                <w:color w:val="auto"/>
              </w:rPr>
            </w:pPr>
            <w:r>
              <w:rPr>
                <w:rFonts w:ascii="Arial" w:cs="Arial" w:eastAsia="Arial" w:hAnsi="Arial"/>
                <w:sz w:val="18"/>
                <w:szCs w:val="18"/>
                <w:color w:val="auto"/>
              </w:rPr>
              <w:t>37</w:t>
            </w:r>
          </w:p>
        </w:tc>
      </w:tr>
      <w:tr>
        <w:trPr>
          <w:trHeight w:val="27"/>
        </w:trPr>
        <w:tc>
          <w:tcPr>
            <w:tcW w:w="916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57"/>
        </w:trPr>
        <w:tc>
          <w:tcPr>
            <w:tcW w:w="9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68</w:t>
            </w:r>
          </w:p>
        </w:tc>
      </w:tr>
      <w:tr>
        <w:trPr>
          <w:trHeight w:val="20"/>
        </w:trPr>
        <w:tc>
          <w:tcPr>
            <w:tcW w:w="916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We are presently engaged in various legal actions, and although our ultimate liability cannot be determined at the present time, we believe, based on consultation with counsel, that any such liability will not materially affect our consolidated financial position or our results of operations.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Italian Employment Litigation</w:t>
      </w:r>
    </w:p>
    <w:p>
      <w:pPr>
        <w:spacing w:after="0" w:line="30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Italian manufacturing subsidiary is party to several actions initiated by employees of the facility in Ascoli-Piceno, Italy where we have ceased manufacturing operations. These include actions claiming (i) working conditions and minimum salaries should have been established by either a different classification under their national collective bargaining agreement or a different agreement altogether, (ii) certain solidarity agreements, which are arrangements between the Company, employees and the government to continue full pay and benefits for employees who would otherwise be terminated in times of low demand, are void, and (iii) payment of the extra time used for changing into and out of the working clothes at the beginning and end of each shift.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addition, a union represented in the Ascoli plant has filed an action claiming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20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Finally, we have been added as defendants on claims filed against Pall Corporation prior to our acquisition of the plant in August 2012. These claims relate to agreements to "freeze" benefit allowances for a certain period in exchange for Pall's commitments on hiring and plant investment.</w:t>
      </w:r>
    </w:p>
    <w:p>
      <w:pPr>
        <w:spacing w:after="0" w:line="17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As of April 2, 2016, the total amount of damages claimed by the plaintiffs in these matters is approximately $4.6 million; however, it is not possible at this point in the proceedings to accurately evaluate the likelihood or amount of any potential losses. We may receive other similar claims in the future.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EXECUTIVE OFFICERS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3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information concerning our Executive Officers is as follows. Executive officers are elected by and serve at the discretion of our Board of Directors. There are no family relationships between any director or executive officer and any other director or executive officer of Haemonetics Corporation.</w:t>
      </w:r>
    </w:p>
    <w:p>
      <w:pPr>
        <w:spacing w:after="0" w:line="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RONALD GELBMAN </w:t>
      </w:r>
      <w:r>
        <w:rPr>
          <w:rFonts w:ascii="Arial" w:cs="Arial" w:eastAsia="Arial" w:hAnsi="Arial"/>
          <w:sz w:val="18"/>
          <w:szCs w:val="18"/>
          <w:color w:val="auto"/>
        </w:rPr>
        <w:t>(age 68) Interim Chief Executive Officer September 2015 to May 2016, has been a member of the Haemonetics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since 2000 and, until his appointment as Interim CEO in September of 2015, was Chair of the Governance and Compliance Committee and a member of the Audit Committee. Mr. Gelbman is a former member of the Executive Committee of Johnson &amp; Johnson, and served as Worldwide Chairman of the Pharmaceuticals and Diagnostics Group.</w:t>
      </w:r>
    </w:p>
    <w:p>
      <w:pPr>
        <w:spacing w:after="0" w:line="2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CHRISTOPHER SIMON </w:t>
      </w:r>
      <w:r>
        <w:rPr>
          <w:rFonts w:ascii="Arial" w:cs="Arial" w:eastAsia="Arial" w:hAnsi="Arial"/>
          <w:sz w:val="18"/>
          <w:szCs w:val="18"/>
          <w:color w:val="auto"/>
        </w:rPr>
        <w:t>(age 52) President and Chief Executive Officer joined Haemonetics in May, 2016. Mr. Simon previously served as a Senior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of McKinsey &amp; Company in Global Medical Products Practice. Mr. Simon was a consultant with McKinsey &amp; Company since 1993 and recently was the Lead Partner for McKinsey &amp; Company’s current strategy review with Haemonetics. Prior to that, he served in commercial roles with Baxter Healthcare Corporation.</w:t>
      </w:r>
    </w:p>
    <w:p>
      <w:pPr>
        <w:spacing w:after="0" w:line="92"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CHRISTOPHER LINDOP </w:t>
      </w:r>
      <w:r>
        <w:rPr>
          <w:rFonts w:ascii="Arial" w:cs="Arial" w:eastAsia="Arial" w:hAnsi="Arial"/>
          <w:sz w:val="18"/>
          <w:szCs w:val="18"/>
          <w:color w:val="auto"/>
        </w:rPr>
        <w:t>(age 58) Executive Vice President, Business Development and Chief Financial Officer joined Haemonetics in January of 2007 as</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and has announced his retirement from Haemonetics effective June 3, 2016. In 2007, Mr. Lindop assumed responsibility for business development. Prior to joining Haemonetics, he was Chief Financial Officer at Inverness Medical Innovations, a rapidly growing global developer of advanced consumer and professional diagnostic products from 2003 to 2006. Prior to this, Mr. Lindop was a Partner in the Boston offices of Ernst &amp; Young LLP and Arthur Andersen LLP.</w:t>
      </w:r>
    </w:p>
    <w:p>
      <w:pPr>
        <w:spacing w:after="0" w:line="94"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i w:val="1"/>
          <w:iCs w:val="1"/>
          <w:color w:val="auto"/>
        </w:rPr>
        <w:t xml:space="preserve">KENT DAVIES </w:t>
      </w:r>
      <w:r>
        <w:rPr>
          <w:rFonts w:ascii="Arial" w:cs="Arial" w:eastAsia="Arial" w:hAnsi="Arial"/>
          <w:sz w:val="16"/>
          <w:szCs w:val="16"/>
          <w:color w:val="auto"/>
        </w:rPr>
        <w:t>(age 53) Chief Operating Officer joined Haemonetics as President, Global Markets in April 2014. In April 2015, he was promoted to Chief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Officer. In this role, he is responsible for worldwide oversight of all of Haemonetics’ commercial operations, including product development and product management. Previously, Mr. Davies was the Chief Executive Officer of RoundTable Healthcare Partners' RoundTable III Platform Development Corporation ("RPDC") where he focused on the identification and development of new investment opportunities in the medical device market.</w:t>
      </w:r>
    </w:p>
    <w:p>
      <w:pPr>
        <w:spacing w:after="0" w:line="18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i w:val="1"/>
          <w:iCs w:val="1"/>
          <w:color w:val="auto"/>
        </w:rPr>
        <w:t xml:space="preserve">DAVID FUSCO </w:t>
      </w:r>
      <w:r>
        <w:rPr>
          <w:rFonts w:ascii="Arial" w:cs="Arial" w:eastAsia="Arial" w:hAnsi="Arial"/>
          <w:sz w:val="16"/>
          <w:szCs w:val="16"/>
          <w:color w:val="auto"/>
        </w:rPr>
        <w:t>(age 42) Executive Vice President, Global Human Resources joined Haemonetics in July, 2015. Mr. Fusco is responsible for Haemonetics'</w:t>
      </w:r>
      <w:r>
        <w:rPr>
          <w:rFonts w:ascii="Arial" w:cs="Arial" w:eastAsia="Arial" w:hAnsi="Arial"/>
          <w:sz w:val="16"/>
          <w:szCs w:val="16"/>
          <w:i w:val="1"/>
          <w:iCs w:val="1"/>
          <w:color w:val="auto"/>
        </w:rPr>
        <w:t xml:space="preserve"> </w:t>
      </w:r>
      <w:r>
        <w:rPr>
          <w:rFonts w:ascii="Arial" w:cs="Arial" w:eastAsia="Arial" w:hAnsi="Arial"/>
          <w:sz w:val="16"/>
          <w:szCs w:val="16"/>
          <w:color w:val="auto"/>
        </w:rPr>
        <w:t>global human capital programs including talent management, organization development, total rewards and the human resources business partner support program aimed at advancing our employee engagement and culture. Previously, Mr. Fusco was the Vice President of Human Resources of Parexel International where he was responsible for the Global Human Resources business partner management and the enterprise wide human capital programs.</w:t>
      </w:r>
    </w:p>
    <w:p>
      <w:pPr>
        <w:spacing w:after="0" w:line="6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SANDRA JESSE </w:t>
      </w:r>
      <w:r>
        <w:rPr>
          <w:rFonts w:ascii="Arial" w:cs="Arial" w:eastAsia="Arial" w:hAnsi="Arial"/>
          <w:sz w:val="18"/>
          <w:szCs w:val="18"/>
          <w:color w:val="auto"/>
        </w:rPr>
        <w:t>(age 63) Executive Vice President, Chief Legal Officer joined Haemonetics as Vice President, Chief Legal Officer in September 2011, and is</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for the company’s Legal, Compliance and Corporate Audit and Controls groups. Ms. Jesse was previously the Executive Vice President and Chief Legal Officer of Blue Cross Blue Shield of Massachusetts, a Partner in the Boston law firm of Choate, Hall and Stewart, and Press Secretary for a United States Congressman, Lee Hamilton.</w:t>
      </w:r>
    </w:p>
    <w:p>
      <w:pPr>
        <w:spacing w:after="0" w:line="2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NEIL RYDING </w:t>
      </w:r>
      <w:r>
        <w:rPr>
          <w:rFonts w:ascii="Arial" w:cs="Arial" w:eastAsia="Arial" w:hAnsi="Arial"/>
          <w:sz w:val="18"/>
          <w:szCs w:val="18"/>
          <w:color w:val="auto"/>
        </w:rPr>
        <w:t>(age 55) Executive Vice President, Global Operations joined Haemonetics in September, 2015. Prior to joining Haemonetics, Mr. Ryding had</w:t>
      </w:r>
      <w:r>
        <w:rPr>
          <w:rFonts w:ascii="Arial" w:cs="Arial" w:eastAsia="Arial" w:hAnsi="Arial"/>
          <w:sz w:val="18"/>
          <w:szCs w:val="18"/>
          <w:i w:val="1"/>
          <w:iCs w:val="1"/>
          <w:color w:val="auto"/>
        </w:rPr>
        <w:t xml:space="preserve"> </w:t>
      </w:r>
      <w:r>
        <w:rPr>
          <w:rFonts w:ascii="Arial" w:cs="Arial" w:eastAsia="Arial" w:hAnsi="Arial"/>
          <w:sz w:val="18"/>
          <w:szCs w:val="18"/>
          <w:color w:val="auto"/>
        </w:rPr>
        <w:t>over 30 years of experience in leading global manufacturing operations and supply chain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30" w:right="25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organizations in regulated environments within the aerospace and medical device industries. Mr. Ryding’s previous experience includes various roles with Rolls Royce Aero-Engines, Johnson &amp; Johnson, Smith &amp; Nephew, Cardinal Health and Hospira.</w:t>
      </w:r>
    </w:p>
    <w:p>
      <w:pPr>
        <w:spacing w:after="0" w:line="76"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i w:val="1"/>
          <w:iCs w:val="1"/>
          <w:color w:val="auto"/>
        </w:rPr>
        <w:t xml:space="preserve">BYRON SELMAN </w:t>
      </w:r>
      <w:r>
        <w:rPr>
          <w:rFonts w:ascii="Arial" w:cs="Arial" w:eastAsia="Arial" w:hAnsi="Arial"/>
          <w:sz w:val="18"/>
          <w:szCs w:val="18"/>
          <w:color w:val="auto"/>
        </w:rPr>
        <w:t>(age 49) President, Global Markets joined Haemonetics in 2012 as President, North America. In January of 2015, Mr. Selman was</w:t>
      </w:r>
      <w:r>
        <w:rPr>
          <w:rFonts w:ascii="Arial" w:cs="Arial" w:eastAsia="Arial" w:hAnsi="Arial"/>
          <w:sz w:val="18"/>
          <w:szCs w:val="18"/>
          <w:i w:val="1"/>
          <w:iCs w:val="1"/>
          <w:color w:val="auto"/>
        </w:rPr>
        <w:t xml:space="preserve"> </w:t>
      </w:r>
      <w:r>
        <w:rPr>
          <w:rFonts w:ascii="Arial" w:cs="Arial" w:eastAsia="Arial" w:hAnsi="Arial"/>
          <w:sz w:val="18"/>
          <w:szCs w:val="18"/>
          <w:color w:val="auto"/>
        </w:rPr>
        <w:t>promoted to President, Americas. Mr. Selman was then promoted to President, Global Markets in April 2015. Mr. Selman was previously with Pall Corporation for 21 years where he most recently served as President of Global Medical.</w:t>
      </w:r>
    </w:p>
    <w:p>
      <w:pPr>
        <w:spacing w:after="0" w:line="87"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DAN GOLDSTEIN </w:t>
      </w:r>
      <w:r>
        <w:rPr>
          <w:rFonts w:ascii="Arial" w:cs="Arial" w:eastAsia="Arial" w:hAnsi="Arial"/>
          <w:sz w:val="17"/>
          <w:szCs w:val="17"/>
          <w:color w:val="auto"/>
        </w:rPr>
        <w:t>(age 39) Vice President and Corporate Controller, joined Haemonetics in 2016. In April of 2016, Mr. Goldstein was appointed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officer. Prior to joining the Company, Mr. Goldstein was Vice President Technical Accounting and Advisory Services for Covidien PLC, a global health care products company. At Covidien, Mr. Goldstein had previously held the roles of Business Unit Controller, Sustainable Technologies and Director, Corporate Reporting. Prior to Covidien, Mr. Goldstein held positions at EMC Corporation and Calpine Corporation.</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130" w:right="35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Information</w:t>
      </w:r>
    </w:p>
    <w:p>
      <w:pPr>
        <w:spacing w:after="0" w:line="13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common stock is listed on the New York Stock Exchange under the symbol HAE. The following table sets forth for the periods indicated the high and low sales prices of such common stock, which represent actual transactions as reported by the New York Stock Exchange.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First</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Second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Third</w:t>
            </w:r>
          </w:p>
        </w:tc>
        <w:tc>
          <w:tcPr>
            <w:tcW w:w="200" w:type="dxa"/>
            <w:vAlign w:val="bottom"/>
          </w:tcPr>
          <w:p>
            <w:pPr>
              <w:spacing w:after="0"/>
              <w:rPr>
                <w:sz w:val="18"/>
                <w:szCs w:val="18"/>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Fourth</w:t>
            </w:r>
          </w:p>
        </w:tc>
      </w:tr>
      <w:tr>
        <w:trPr>
          <w:trHeight w:val="234"/>
        </w:trPr>
        <w:tc>
          <w:tcPr>
            <w:tcW w:w="6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Quarter</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Quarter</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Quarter</w:t>
            </w:r>
          </w:p>
        </w:tc>
        <w:tc>
          <w:tcPr>
            <w:tcW w:w="20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Quarter</w:t>
            </w: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Fiscal year ended April 2, 2016:</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Market price of Common Stock:</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High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35.67</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Low</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29.70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29.20</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Fiscal year ended March 28, 2015:</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Market price of Common Stock:</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High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45.43</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Low</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36.48</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Holders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There were approximately 181 holders of record of the Company’s common stock as of April 2, 2016.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never paid cash dividends on shares of its common stock and does not expect to pay cash dividends in the foreseeable future.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Performance</w:t>
      </w:r>
    </w:p>
    <w:p>
      <w:pPr>
        <w:spacing w:after="0" w:line="131"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The following graph compares the cumulative 5-year total return provided to shareholders on Haemonetics Corporation’s common stock relative to the cumulative total returns of the S&amp;P 500 index and the S&amp;P Health Care Equipment index. An investment of $100 (with reinvestment of all dividends) is assumed to have been made in our common stock and in each of the indexes on 4/2/2011 and its relative performance is tracked through 4/2/2016.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5866130" cy="3790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6130" cy="379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w:t>
      </w:r>
    </w:p>
    <w:p>
      <w:pPr>
        <w:spacing w:after="0" w:line="195" w:lineRule="exact"/>
        <w:rPr>
          <w:sz w:val="20"/>
          <w:szCs w:val="20"/>
          <w:color w:val="auto"/>
        </w:rPr>
      </w:pPr>
    </w:p>
    <w:p>
      <w:pPr>
        <w:ind w:left="720" w:right="4820" w:hanging="68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 invested on 4/2/2011 in stock or index, including reinvestment of dividends. Fiscal year ended April 2, 2016.</w:t>
      </w:r>
    </w:p>
    <w:p>
      <w:pPr>
        <w:spacing w:after="0" w:line="11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400" w:type="dxa"/>
            <w:vAlign w:val="bottom"/>
            <w:tcBorders>
              <w:top w:val="single" w:sz="8" w:color="auto"/>
              <w:left w:val="single" w:sz="8" w:color="auto"/>
              <w:right w:val="single" w:sz="8" w:color="auto"/>
            </w:tcBorders>
          </w:tcPr>
          <w:p>
            <w:pPr>
              <w:spacing w:after="0"/>
              <w:rPr>
                <w:sz w:val="22"/>
                <w:szCs w:val="22"/>
                <w:color w:val="auto"/>
              </w:rPr>
            </w:pPr>
          </w:p>
        </w:tc>
        <w:tc>
          <w:tcPr>
            <w:tcW w:w="106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4/11</w:t>
            </w:r>
          </w:p>
        </w:tc>
        <w:tc>
          <w:tcPr>
            <w:tcW w:w="104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3/12</w:t>
            </w:r>
          </w:p>
        </w:tc>
        <w:tc>
          <w:tcPr>
            <w:tcW w:w="100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3/13</w:t>
            </w:r>
          </w:p>
        </w:tc>
        <w:tc>
          <w:tcPr>
            <w:tcW w:w="1020" w:type="dxa"/>
            <w:vAlign w:val="bottom"/>
            <w:tcBorders>
              <w:top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3/14</w:t>
            </w:r>
          </w:p>
        </w:tc>
        <w:tc>
          <w:tcPr>
            <w:tcW w:w="102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3/15</w:t>
            </w:r>
          </w:p>
        </w:tc>
        <w:tc>
          <w:tcPr>
            <w:tcW w:w="90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4/16</w:t>
            </w:r>
          </w:p>
        </w:tc>
      </w:tr>
      <w:tr>
        <w:trPr>
          <w:trHeight w:val="27"/>
        </w:trPr>
        <w:tc>
          <w:tcPr>
            <w:tcW w:w="540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69"/>
        </w:trPr>
        <w:tc>
          <w:tcPr>
            <w:tcW w:w="54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Haemonetics Corporation</w:t>
            </w:r>
          </w:p>
        </w:tc>
        <w:tc>
          <w:tcPr>
            <w:tcW w:w="1060" w:type="dxa"/>
            <w:vAlign w:val="bottom"/>
            <w:tcBorders>
              <w:bottom w:val="single" w:sz="8" w:color="CCEEFF"/>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100.00</w:t>
            </w:r>
          </w:p>
        </w:tc>
        <w:tc>
          <w:tcPr>
            <w:tcW w:w="1040" w:type="dxa"/>
            <w:vAlign w:val="bottom"/>
            <w:tcBorders>
              <w:bottom w:val="single" w:sz="8" w:color="CCEEFF"/>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104.69</w:t>
            </w:r>
          </w:p>
        </w:tc>
        <w:tc>
          <w:tcPr>
            <w:tcW w:w="100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125.18</w:t>
            </w:r>
          </w:p>
        </w:tc>
        <w:tc>
          <w:tcPr>
            <w:tcW w:w="1020" w:type="dxa"/>
            <w:vAlign w:val="bottom"/>
            <w:tcBorders>
              <w:bottom w:val="single" w:sz="8" w:color="CCEEFF"/>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96.48</w:t>
            </w:r>
          </w:p>
        </w:tc>
        <w:tc>
          <w:tcPr>
            <w:tcW w:w="102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132.84</w:t>
            </w:r>
          </w:p>
        </w:tc>
        <w:tc>
          <w:tcPr>
            <w:tcW w:w="90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106.04</w:t>
            </w:r>
          </w:p>
        </w:tc>
      </w:tr>
      <w:tr>
        <w:trPr>
          <w:trHeight w:val="237"/>
        </w:trPr>
        <w:tc>
          <w:tcPr>
            <w:tcW w:w="54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S&amp;P 500</w:t>
            </w:r>
          </w:p>
        </w:tc>
        <w:tc>
          <w:tcPr>
            <w:tcW w:w="106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100.00</w:t>
            </w:r>
          </w:p>
        </w:tc>
        <w:tc>
          <w:tcPr>
            <w:tcW w:w="104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105.71</w:t>
            </w:r>
          </w:p>
        </w:tc>
        <w:tc>
          <w:tcPr>
            <w:tcW w:w="100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117.77</w:t>
            </w:r>
          </w:p>
        </w:tc>
        <w:tc>
          <w:tcPr>
            <w:tcW w:w="10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139.42</w:t>
            </w:r>
          </w:p>
        </w:tc>
        <w:tc>
          <w:tcPr>
            <w:tcW w:w="102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154.68</w:t>
            </w:r>
          </w:p>
        </w:tc>
        <w:tc>
          <w:tcPr>
            <w:tcW w:w="90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155.57</w:t>
            </w:r>
          </w:p>
        </w:tc>
      </w:tr>
      <w:tr>
        <w:trPr>
          <w:trHeight w:val="27"/>
        </w:trPr>
        <w:tc>
          <w:tcPr>
            <w:tcW w:w="540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44"/>
        </w:trPr>
        <w:tc>
          <w:tcPr>
            <w:tcW w:w="54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S&amp;P Health Care Equipment</w:t>
            </w:r>
          </w:p>
        </w:tc>
        <w:tc>
          <w:tcPr>
            <w:tcW w:w="1060" w:type="dxa"/>
            <w:vAlign w:val="bottom"/>
            <w:tcBorders>
              <w:bottom w:val="single" w:sz="8" w:color="CCEEFF"/>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100.00</w:t>
            </w:r>
          </w:p>
        </w:tc>
        <w:tc>
          <w:tcPr>
            <w:tcW w:w="1040" w:type="dxa"/>
            <w:vAlign w:val="bottom"/>
            <w:tcBorders>
              <w:bottom w:val="single" w:sz="8" w:color="CCEEFF"/>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106.08</w:t>
            </w:r>
          </w:p>
        </w:tc>
        <w:tc>
          <w:tcPr>
            <w:tcW w:w="100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119.18</w:t>
            </w:r>
          </w:p>
        </w:tc>
        <w:tc>
          <w:tcPr>
            <w:tcW w:w="1020" w:type="dxa"/>
            <w:vAlign w:val="bottom"/>
            <w:tcBorders>
              <w:bottom w:val="single" w:sz="8" w:color="CCEEFF"/>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148.88</w:t>
            </w:r>
          </w:p>
        </w:tc>
        <w:tc>
          <w:tcPr>
            <w:tcW w:w="102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184.83</w:t>
            </w:r>
          </w:p>
        </w:tc>
        <w:tc>
          <w:tcPr>
            <w:tcW w:w="90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178.92</w:t>
            </w:r>
          </w:p>
        </w:tc>
      </w:tr>
      <w:tr>
        <w:trPr>
          <w:trHeight w:val="20"/>
        </w:trPr>
        <w:tc>
          <w:tcPr>
            <w:tcW w:w="54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r>
    </w:tbl>
    <w:p>
      <w:pPr>
        <w:spacing w:after="0" w:line="10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Note: The stock price performance included in this graph is not necessarily indicative of future stock price performance. This graph shall not be deemed "filed" for purposes of Section18 of the Exchange Act or otherwise subject to the liabilities of that section nor shall it be deemed incorporated by reference in any filing under the Securities Act or the Exchange Act, regardless of any general incorporation language in such filing.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40"/>
          </w:cols>
          <w:pgMar w:left="240" w:top="130" w:right="21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Purchases of Equity Securities</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28, 2014, the Company announced that its Board of Directors approved the repurchase of up to $100.0 million of Company shares, subject to compliance with its loan covenants. We completed this repurchase program during the second quarter of fiscal 2016. In total, we repurchased approximately 2.7 million shares at a total cost of $100.0 million under this plan. We reflect stock repurchases in our financial statements on a “trade date” basis and as Authorized Unissued (Haemonetics is a Massachusetts company and under Massachusetts law repurchased shares are treated as authorized but unissued). All of the purchases were made under the publicly announced program and were made in the open market.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Five-Year Review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and employee data)</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Summary of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908,832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910,373</w:t>
            </w:r>
          </w:p>
        </w:tc>
        <w:tc>
          <w:tcPr>
            <w:tcW w:w="20" w:type="dxa"/>
            <w:vAlign w:val="bottom"/>
          </w:tcPr>
          <w:p>
            <w:pPr>
              <w:spacing w:after="0"/>
              <w:rPr>
                <w:sz w:val="21"/>
                <w:szCs w:val="21"/>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938,509</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891,990</w:t>
            </w:r>
          </w:p>
        </w:tc>
        <w:tc>
          <w:tcPr>
            <w:tcW w:w="40" w:type="dxa"/>
            <w:vAlign w:val="bottom"/>
          </w:tcPr>
          <w:p>
            <w:pPr>
              <w:spacing w:after="0"/>
              <w:rPr>
                <w:sz w:val="21"/>
                <w:szCs w:val="21"/>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727,844</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502,918</w:t>
            </w: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475,955</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470,144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463,859</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358,604</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405,914</w:t>
            </w:r>
          </w:p>
        </w:tc>
        <w:tc>
          <w:tcPr>
            <w:tcW w:w="1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434,418</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468,365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428,131</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369,240</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44,965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54,187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54,200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44,394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36,801</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317,223</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337,168</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365,977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323,053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245,835</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Impairment of assets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92,395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5,441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4,247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(income) expense</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449,856</w:t>
            </w:r>
          </w:p>
        </w:tc>
        <w:tc>
          <w:tcPr>
            <w:tcW w:w="1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393,878</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421,933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371,694</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280,482</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(43,942)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40,540</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56,437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88,758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(9,474)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(9,375)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(6,540)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740</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(53,416)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31,165</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49,897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89,498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2,163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14,268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11,097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22,612</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(55,579)</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16,897</w:t>
            </w: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35,148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38,800</w:t>
            </w:r>
          </w:p>
        </w:tc>
        <w:tc>
          <w:tcPr>
            <w:tcW w:w="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66,886</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(Loss) income per share:</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0.33</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Diluted</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21"/>
                <w:szCs w:val="2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21"/>
                <w:szCs w:val="21"/>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0.67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0.74</w:t>
            </w:r>
          </w:p>
        </w:tc>
        <w:tc>
          <w:tcPr>
            <w:tcW w:w="40" w:type="dxa"/>
            <w:vAlign w:val="bottom"/>
          </w:tcPr>
          <w:p>
            <w:pPr>
              <w:spacing w:after="0"/>
              <w:rPr>
                <w:sz w:val="21"/>
                <w:szCs w:val="21"/>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1.30</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50,910</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51,533</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51,611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51,349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50,727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Common stock equivalents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556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863</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Weighted average number of common and common</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equivalent shares</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50,910</w:t>
            </w: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52,089</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52,377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52,259</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51,590</w:t>
            </w:r>
          </w:p>
        </w:tc>
      </w:tr>
      <w:tr>
        <w:trPr>
          <w:trHeight w:val="399"/>
        </w:trPr>
        <w:tc>
          <w:tcPr>
            <w:tcW w:w="39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2012</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and Statistical Data:</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302,535</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368,985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391,944</w:t>
            </w:r>
          </w:p>
        </w:tc>
        <w:tc>
          <w:tcPr>
            <w:tcW w:w="120" w:type="dxa"/>
            <w:vAlign w:val="bottom"/>
          </w:tcPr>
          <w:p>
            <w:pPr>
              <w:spacing w:after="0"/>
              <w:rPr>
                <w:sz w:val="21"/>
                <w:szCs w:val="21"/>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403,153</w:t>
            </w:r>
          </w:p>
        </w:tc>
        <w:tc>
          <w:tcPr>
            <w:tcW w:w="40" w:type="dxa"/>
            <w:vAlign w:val="bottom"/>
          </w:tcPr>
          <w:p>
            <w:pPr>
              <w:spacing w:after="0"/>
              <w:rPr>
                <w:sz w:val="21"/>
                <w:szCs w:val="21"/>
                <w:color w:val="auto"/>
              </w:rPr>
            </w:pPr>
          </w:p>
        </w:tc>
        <w:tc>
          <w:tcPr>
            <w:tcW w:w="4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386,784</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337,634</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321,948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271,437</w:t>
            </w:r>
          </w:p>
        </w:tc>
        <w:tc>
          <w:tcPr>
            <w:tcW w:w="120" w:type="dxa"/>
            <w:vAlign w:val="bottom"/>
          </w:tcPr>
          <w:p>
            <w:pPr>
              <w:spacing w:after="0"/>
              <w:rPr>
                <w:sz w:val="21"/>
                <w:szCs w:val="21"/>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256,953</w:t>
            </w:r>
          </w:p>
        </w:tc>
        <w:tc>
          <w:tcPr>
            <w:tcW w:w="40" w:type="dxa"/>
            <w:vAlign w:val="bottom"/>
          </w:tcPr>
          <w:p>
            <w:pPr>
              <w:spacing w:after="0"/>
              <w:rPr>
                <w:sz w:val="21"/>
                <w:szCs w:val="21"/>
                <w:color w:val="auto"/>
              </w:rPr>
            </w:pPr>
          </w:p>
        </w:tc>
        <w:tc>
          <w:tcPr>
            <w:tcW w:w="4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161,657</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102,405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122,220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73,648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62,188</w:t>
            </w: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53,198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89,911</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86,053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81,740</w:t>
            </w:r>
          </w:p>
        </w:tc>
        <w:tc>
          <w:tcPr>
            <w:tcW w:w="120" w:type="dxa"/>
            <w:vAlign w:val="bottom"/>
          </w:tcPr>
          <w:p>
            <w:pPr>
              <w:spacing w:after="0"/>
              <w:rPr>
                <w:sz w:val="21"/>
                <w:szCs w:val="21"/>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65,481</w:t>
            </w:r>
          </w:p>
        </w:tc>
        <w:tc>
          <w:tcPr>
            <w:tcW w:w="40" w:type="dxa"/>
            <w:vAlign w:val="bottom"/>
          </w:tcPr>
          <w:p>
            <w:pPr>
              <w:spacing w:after="0"/>
              <w:rPr>
                <w:sz w:val="21"/>
                <w:szCs w:val="21"/>
                <w:color w:val="auto"/>
              </w:rPr>
            </w:pPr>
          </w:p>
        </w:tc>
        <w:tc>
          <w:tcPr>
            <w:tcW w:w="4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49,966</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7"/>
              </w:rPr>
              <w:t>1,319,128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7"/>
              </w:rPr>
              <w:t>1,485,417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1,514,178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1,461,917</w:t>
            </w: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911,135</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408,000</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427,891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437,687</w:t>
            </w:r>
          </w:p>
        </w:tc>
        <w:tc>
          <w:tcPr>
            <w:tcW w:w="120" w:type="dxa"/>
            <w:vAlign w:val="bottom"/>
          </w:tcPr>
          <w:p>
            <w:pPr>
              <w:spacing w:after="0"/>
              <w:rPr>
                <w:sz w:val="21"/>
                <w:szCs w:val="21"/>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480,094</w:t>
            </w:r>
          </w:p>
        </w:tc>
        <w:tc>
          <w:tcPr>
            <w:tcW w:w="40" w:type="dxa"/>
            <w:vAlign w:val="bottom"/>
          </w:tcPr>
          <w:p>
            <w:pPr>
              <w:spacing w:after="0"/>
              <w:rPr>
                <w:sz w:val="21"/>
                <w:szCs w:val="21"/>
                <w:color w:val="auto"/>
              </w:rPr>
            </w:pPr>
          </w:p>
        </w:tc>
        <w:tc>
          <w:tcPr>
            <w:tcW w:w="4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3,771</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721,565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826,122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837,888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769,182</w:t>
            </w: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732,631</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Debt as a % of stockholders’ equity</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3,563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2,337</w:t>
            </w:r>
          </w:p>
        </w:tc>
      </w:tr>
      <w:tr>
        <w:trPr>
          <w:trHeight w:val="729"/>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24</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Haemonetics is a global healthcare company dedicated to providing innovative products to customers involved in the processing, handling and analysis of blood. We offer a comprehensive portfolio of integrated devices, information management, and consulting services with the goal of helping improve clinical outcomes and reduce costs for blood and plasma collectors, hospitals, and patients around the world.</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Blood and its components (plasma, platelets, and red cells) have many vital and frequently life-saving clinical applications. Plasma is used for patients with major blood loss and is manufactured into pharmaceuticals to treat a variety of illnesses and hereditary disorders such as hemophilia. Red cells treat trauma patients or patients undergoing surgery with high blood loss, such as open heart surgery or organ transplant. Platelets treat cancer patients undergoing chemotherapy. Blood is essential to a modern healthcare system.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Strategic Review</w:t>
      </w:r>
    </w:p>
    <w:p>
      <w:pPr>
        <w:spacing w:after="0" w:line="1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We recently undertook a global strategic review of our business portfolio to identify which end markets and product franchises have the strongest growth opportunities. As a result of that review, we organized our current products into four franchises for purposes of evaluating their growth potential: </w:t>
      </w:r>
      <w:r>
        <w:rPr>
          <w:rFonts w:ascii="Arial" w:cs="Arial" w:eastAsia="Arial" w:hAnsi="Arial"/>
          <w:sz w:val="16"/>
          <w:szCs w:val="16"/>
          <w:b w:val="1"/>
          <w:bCs w:val="1"/>
          <w:color w:val="auto"/>
        </w:rPr>
        <w:t>Plasma</w:t>
      </w:r>
      <w:r>
        <w:rPr>
          <w:rFonts w:ascii="Arial" w:cs="Arial" w:eastAsia="Arial" w:hAnsi="Arial"/>
          <w:sz w:val="16"/>
          <w:szCs w:val="16"/>
          <w:color w:val="auto"/>
        </w:rPr>
        <w:t xml:space="preserve">, </w:t>
      </w:r>
      <w:r>
        <w:rPr>
          <w:rFonts w:ascii="Arial" w:cs="Arial" w:eastAsia="Arial" w:hAnsi="Arial"/>
          <w:sz w:val="16"/>
          <w:szCs w:val="16"/>
          <w:b w:val="1"/>
          <w:bCs w:val="1"/>
          <w:color w:val="auto"/>
        </w:rPr>
        <w:t>Hemostasis Management</w:t>
      </w:r>
      <w:r>
        <w:rPr>
          <w:rFonts w:ascii="Arial" w:cs="Arial" w:eastAsia="Arial" w:hAnsi="Arial"/>
          <w:sz w:val="16"/>
          <w:szCs w:val="16"/>
          <w:color w:val="auto"/>
        </w:rPr>
        <w:t>,</w:t>
      </w:r>
      <w:r>
        <w:rPr>
          <w:rFonts w:ascii="Arial" w:cs="Arial" w:eastAsia="Arial" w:hAnsi="Arial"/>
          <w:sz w:val="16"/>
          <w:szCs w:val="16"/>
          <w:b w:val="1"/>
          <w:bCs w:val="1"/>
          <w:color w:val="auto"/>
        </w:rPr>
        <w:t xml:space="preserve"> Donor </w:t>
      </w:r>
      <w:r>
        <w:rPr>
          <w:rFonts w:ascii="Arial" w:cs="Arial" w:eastAsia="Arial" w:hAnsi="Arial"/>
          <w:sz w:val="16"/>
          <w:szCs w:val="16"/>
          <w:color w:val="auto"/>
        </w:rPr>
        <w:t>and</w:t>
      </w:r>
      <w:r>
        <w:rPr>
          <w:rFonts w:ascii="Arial" w:cs="Arial" w:eastAsia="Arial" w:hAnsi="Arial"/>
          <w:sz w:val="16"/>
          <w:szCs w:val="16"/>
          <w:b w:val="1"/>
          <w:bCs w:val="1"/>
          <w:color w:val="auto"/>
        </w:rPr>
        <w:t xml:space="preserve"> Cell Processing</w:t>
      </w:r>
      <w:r>
        <w:rPr>
          <w:rFonts w:ascii="Arial" w:cs="Arial" w:eastAsia="Arial" w:hAnsi="Arial"/>
          <w:sz w:val="16"/>
          <w:szCs w:val="16"/>
          <w:color w:val="auto"/>
        </w:rPr>
        <w:t>. In that review, “Plasma” included plasma collection devices and disposables, plasma donor</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software and anticoagulant and saline sold to plasma customers. “Hemostasis Management” included devices and methodologies for measuring coagulation characteristics of blood, such as our TEG® Hemostasis Analyzer. “Donor” included blood collection and processing devices and disposables for red cells, platelets and whole blood as well as related donor management software. “Cell Processing” included surgical blood salvage systems, specialized blood cell processing systems, disposables and blood transfusion management software.</w:t>
      </w:r>
    </w:p>
    <w:p>
      <w:pPr>
        <w:spacing w:after="0" w:line="16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 connection with this strategic review, we concluded that Plasma and Hemostasis Management have the greatest growth potential, while Cell Processing innovation offers an opportunity to increase market share and expand into new segments. Donor is competing in challenging markets which require us to manage the business differently, including reducing costs and the scope of the current product line. In recognition of these conclusions, we have begun to implement an operating model that will streamline the management structure and rationalize our cost structure, with an aim to bring about sustainable productivity improvement across the organization. Overall, we expect implementation of our new direction will require multiple changes and will extend beyond fiscal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Initiative</w:t>
      </w:r>
    </w:p>
    <w:p>
      <w:pPr>
        <w:spacing w:after="0" w:line="22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During the first quarter of fiscal 2017, in connection with our global strategic review, we launched the first phase of a restructuring program designed to reposition our organization and improve our cost structure. The first phase includes both a reduction of headcount and operating costs as well as projects to simplify product lines. We may also take additional steps to modify our manufacturing operations to reflect our strategic direction.</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expect to incur approximately $26 million of restructuring and transformation charges, comprised of $17 million in termination benefits and $9 million in other related exit costs. Substantially all of these charges will result in future cash outlays and are expected to be incurred during fiscal 2017. Savings from this program are estimated to be approximately $40 million in fiscal 2017. Subsequent phases of the program may require restructuring charges in future fiscal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Impairments</w:t>
      </w:r>
    </w:p>
    <w:p>
      <w:pPr>
        <w:spacing w:after="0" w:line="225" w:lineRule="exact"/>
        <w:rPr>
          <w:sz w:val="20"/>
          <w:szCs w:val="20"/>
          <w:color w:val="auto"/>
        </w:rPr>
      </w:pPr>
    </w:p>
    <w:p>
      <w:pPr>
        <w:ind w:left="660" w:right="160" w:hanging="328"/>
        <w:spacing w:after="0" w:line="297"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Goodwill</w:t>
      </w:r>
      <w:r>
        <w:rPr>
          <w:rFonts w:ascii="Arial" w:cs="Arial" w:eastAsia="Arial" w:hAnsi="Arial"/>
          <w:sz w:val="16"/>
          <w:szCs w:val="16"/>
          <w:color w:val="auto"/>
        </w:rPr>
        <w:t xml:space="preserve">. As discussed in Note 5, </w:t>
      </w:r>
      <w:r>
        <w:rPr>
          <w:rFonts w:ascii="Arial" w:cs="Arial" w:eastAsia="Arial" w:hAnsi="Arial"/>
          <w:sz w:val="16"/>
          <w:szCs w:val="16"/>
          <w:i w:val="1"/>
          <w:iCs w:val="1"/>
          <w:color w:val="auto"/>
        </w:rPr>
        <w:t>Goodwill and Intangible Assets</w:t>
      </w:r>
      <w:r>
        <w:rPr>
          <w:rFonts w:ascii="Arial" w:cs="Arial" w:eastAsia="Arial" w:hAnsi="Arial"/>
          <w:sz w:val="16"/>
          <w:szCs w:val="16"/>
          <w:color w:val="auto"/>
        </w:rPr>
        <w:t>, to our consolidated financial statements contained in Item 8 of this Annual Report on Form 10-K, we evaluate goodwill for impairment at least annually, or on an interim basis between annual tests when events or circumstances indicate that it is more likely than not that the fair value of a reporting unit is less than its carrying value. During the third quarter of fiscal 2016, we concluded that indicators of potential goodwill impairment were present for the EMEA and Americas Blood Center and Hospital reporting units, therefore requiring an interim test for goodwill impairment. We recorded a preliminary impairment charge of $66.3</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130" w:right="29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1" w:lineRule="exact"/>
        <w:rPr>
          <w:sz w:val="20"/>
          <w:szCs w:val="20"/>
          <w:color w:val="auto"/>
        </w:rPr>
      </w:pPr>
    </w:p>
    <w:p>
      <w:pPr>
        <w:jc w:val="both"/>
        <w:ind w:left="660" w:right="60"/>
        <w:spacing w:after="0" w:line="336" w:lineRule="auto"/>
        <w:rPr>
          <w:sz w:val="20"/>
          <w:szCs w:val="20"/>
          <w:color w:val="auto"/>
        </w:rPr>
      </w:pPr>
      <w:r>
        <w:rPr>
          <w:rFonts w:ascii="Arial" w:cs="Arial" w:eastAsia="Arial" w:hAnsi="Arial"/>
          <w:sz w:val="17"/>
          <w:szCs w:val="17"/>
          <w:color w:val="auto"/>
        </w:rPr>
        <w:t>million in the EMEA reporting unit during the third quarter of fiscal 2016. During the fourth quarter of fiscal 2016, we completed our second step of the goodwill impairment test and concluded that no adjustment to the $66.3 million impairment loss initially recorded was required. The impairment charge recorded in the third quarter of fiscal 2016 represented the entire goodwill balance allocated to EMEA.</w:t>
      </w:r>
    </w:p>
    <w:p>
      <w:pPr>
        <w:spacing w:after="0" w:line="354" w:lineRule="exact"/>
        <w:rPr>
          <w:sz w:val="20"/>
          <w:szCs w:val="20"/>
          <w:color w:val="auto"/>
        </w:rPr>
      </w:pPr>
    </w:p>
    <w:p>
      <w:pPr>
        <w:ind w:left="660" w:right="80" w:hanging="328"/>
        <w:spacing w:after="0" w:line="287"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SOLX</w:t>
      </w:r>
      <w:r>
        <w:rPr>
          <w:rFonts w:ascii="Arial" w:cs="Arial" w:eastAsia="Arial" w:hAnsi="Arial"/>
          <w:sz w:val="16"/>
          <w:szCs w:val="16"/>
          <w:color w:val="auto"/>
        </w:rPr>
        <w:t>. In April 2013, we acquired a patented red cell storage solution, referred to as SOLX, from Hemerus Medical, LLC for cash consideration of $24.1 million plus an agreement to make certain future payments accounted for as contingent consideration. We acquired SOLX to complement the portfolio of whole blood collection, filtration and processing product lines and to bring greater efficiency and productivity to whole blood collection and processing. During the third quarter of fiscal 2016, we received U.S. Food and Drug Administration clearance for the SOLX solution with a Haemonetics whole blood filter. At that time, the vast majority of the U.S. market utilized a red cell filter, not a whole blood filter, for whole blood collection procedures as they seek to optimize blood component yield from each collection. To bring SOLX to market with a red cell filter would have required substantial additional investment. Accordingly, we conducted a final market review prior to proceeding with this investment, which indicated customers would not pay a price for a SOLX collection kit sufficient to recover the cost to produce it, or to provide an adequate return on the additional investment. As result, in fiscal 2016, we suspended further investment in the SOLX technology and recorded an impairment charge of $18.7 million to write down the carrying value of the SOLX intangible assets. In addition, we reversed the $4.9 million of contingent consideration liability we had recorded, as we now do not expect to achieve the conditions that called for its payment.</w:t>
      </w:r>
    </w:p>
    <w:p>
      <w:pPr>
        <w:spacing w:after="0" w:line="172" w:lineRule="exact"/>
        <w:rPr>
          <w:rFonts w:ascii="Arial" w:cs="Arial" w:eastAsia="Arial" w:hAnsi="Arial"/>
          <w:sz w:val="16"/>
          <w:szCs w:val="16"/>
          <w:color w:val="auto"/>
        </w:rPr>
      </w:pPr>
    </w:p>
    <w:p>
      <w:pPr>
        <w:ind w:left="660" w:hanging="328"/>
        <w:spacing w:after="0" w:line="273"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Other Assets</w:t>
      </w:r>
      <w:r>
        <w:rPr>
          <w:rFonts w:ascii="Arial" w:cs="Arial" w:eastAsia="Arial" w:hAnsi="Arial"/>
          <w:sz w:val="17"/>
          <w:szCs w:val="17"/>
          <w:i w:val="1"/>
          <w:iCs w:val="1"/>
          <w:color w:val="auto"/>
        </w:rPr>
        <w:t>.</w:t>
      </w:r>
      <w:r>
        <w:rPr>
          <w:rFonts w:ascii="Arial" w:cs="Arial" w:eastAsia="Arial" w:hAnsi="Arial"/>
          <w:sz w:val="17"/>
          <w:szCs w:val="17"/>
          <w:color w:val="auto"/>
        </w:rPr>
        <w:t xml:space="preserve"> During the fourth quarter of fiscal 2016, we completed our global strategic review which resulted in the identification of certain long-lived assets, including property, plant and equipment and intangible assets that were at risk of being impaired due to changes in the strategic direction of the Company. During the fourth quarter of fiscal 2016, we performed impairment tests for each of the identified assets and based on revised expectations, we recorded asset impairment charges of $16.2 million. These charges included the write down of $9.1 million of property, plant and equipment and $7.1 million of intangible assets. Refer to Note 5, </w:t>
      </w:r>
      <w:r>
        <w:rPr>
          <w:rFonts w:ascii="Arial" w:cs="Arial" w:eastAsia="Arial" w:hAnsi="Arial"/>
          <w:sz w:val="17"/>
          <w:szCs w:val="17"/>
          <w:i w:val="1"/>
          <w:iCs w:val="1"/>
          <w:color w:val="auto"/>
        </w:rPr>
        <w:t>Goodwill and Intangible Assets</w:t>
      </w:r>
      <w:r>
        <w:rPr>
          <w:rFonts w:ascii="Arial" w:cs="Arial" w:eastAsia="Arial" w:hAnsi="Arial"/>
          <w:sz w:val="17"/>
          <w:szCs w:val="17"/>
          <w:color w:val="auto"/>
        </w:rPr>
        <w:t xml:space="preserve">, and Note 12,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to our consolidated financial statements contained in Item 8 of this Annual Report on Form 10-K for further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Declines in U.S. Blood Center Collections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fiscal 2016, sales of our whole blood disposables to U.S. blood centers represented less than 6% of our total revenue. The demand for these disposable products in the U.S. declined in fiscal 2015 and 2014 due to a rapid decline in demand for blood products associated with actions taken by hospitals to improve blood management techniques and protocols. During the fiscal 2016, the decline in U.S. blood center collections was approximately 7%, compared to approximately 10% in fiscal 2015.</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response to this trend, certain large U.S. blood center collection groups pursued single source vendors for whole blood collection products which required significant reductions in average selling prices in order to retain or increase our share of their business. During fiscal 2014, we entered into a multi-year agreement to supply the HemeXcel Purchasing Alliance, LLC with certain whole blood collection components during the calendar years 2014-2016. The agreement included a reduction in average selling prices which was implemented at the end of first quarter of fiscal 2015. In March 2014, the American Red Cross selected another exclusive supplier to provide certain whole blood products. This reduced annualized revenues by approximately $25 million beginning in the second quarter of fiscal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Apheresis Red Cell Collection Arrangements</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During the first half of fiscal 2016, the American Red Cross and two group purchasing organizations representing other U.S. blood collectors ("Blood Center GPOs") pursued arrangements for apheresis red cell collections. These negotiations have concluded and will negatively affect red cell revenues and gross margins. The expected negative impact on fiscal 2017 operating income as a result of these negotiations is approximately $12 million. Red cell disposable revenues in the U.S. totaled $34.8 million during fiscal 2016 and $37.6 million during fiscal 2015.</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August 1, 2015, we entered into a contract for apheresis devices and single-use disposables with the American Red Cross which has resulted in a decrease in revenue and gross profit in our Blood Center business. In accordance with this agreement, we provided a one-time payment to assist in the transition of red cell collections to our technology. This contract is expected to result in 100% share of the American Red Cross's apheresis red cell collection business and higher sales volumes, but at lower prices. The impact of the price concessions began in the third quarter of fiscal 2016, while the transition to a higher share of the American Red Cross' business is ongoing.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both Blood Center GPOs have recommended competitive technologies to their members. We expect revenue to decline as their individual blood center members convert to the competitive technologies.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Creation and Capture Initiatives</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In fiscal 2016, we completed our Value Creation and Capture (“VCC”) opportunities initiative. This initiative included (i) discontinuation of manufacturing activities at our Ascoli-Piceno, Italy and Braintree, Massachusetts facilities, (ii) expansion of our current facility in Tijuana, Mexico, (iii) transfer of all equipment production to our contract manufacturer, Sanmina Corporation, and (iv) consolidation of the manufacturing of product formerly produced in the U.S. and Italy to our new manufacturing facility in Penang, Malaysia. We continue to manufacture in Bothwell, Scotland. See the </w:t>
      </w:r>
      <w:r>
        <w:rPr>
          <w:rFonts w:ascii="Arial" w:cs="Arial" w:eastAsia="Arial" w:hAnsi="Arial"/>
          <w:sz w:val="18"/>
          <w:szCs w:val="18"/>
          <w:i w:val="1"/>
          <w:iCs w:val="1"/>
          <w:color w:val="auto"/>
        </w:rPr>
        <w:t>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Resources </w:t>
      </w:r>
      <w:r>
        <w:rPr>
          <w:rFonts w:ascii="Arial" w:cs="Arial" w:eastAsia="Arial" w:hAnsi="Arial"/>
          <w:sz w:val="18"/>
          <w:szCs w:val="18"/>
          <w:color w:val="auto"/>
        </w:rPr>
        <w:t>discussion for further discussion of the costs of these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Trends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Plasma Market</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There are two key aspects to the market for our plasma products; the growth in demand for plasma-derived pharmaceuticals and the limited number of significant bio-pharmaceutical companies in this market.</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Changes in demand for plasma-derived pharmaceuticals, particularly immunoglobulin (“IG”), are the key driver of plasma collection volumes in the bio-pharmaceutical market. Various factors related to the supply of plasma and the production of plasma-derived pharmaceuticals also affect collection volume, including the following:</w:t>
      </w:r>
    </w:p>
    <w:p>
      <w:pPr>
        <w:spacing w:after="0" w:line="19" w:lineRule="exact"/>
        <w:rPr>
          <w:sz w:val="20"/>
          <w:szCs w:val="20"/>
          <w:color w:val="auto"/>
        </w:rPr>
      </w:pPr>
    </w:p>
    <w:p>
      <w:pPr>
        <w:ind w:left="660" w:right="6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Several blood collectors supply additional plasma to fractionators, and thus plasma supply can rise overall but not directly impact our plasma business.</w:t>
      </w:r>
    </w:p>
    <w:p>
      <w:pPr>
        <w:spacing w:after="0" w:line="8"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Bio-pharmaceutical companies are seeking more efficient production processes, to meet growing demand for pharmaceuticals without requiring an equivalent increase in plasma supply.</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Reimbursement guidelines affect the demand for end product pharmaceuticals, although off-label use of pharmaceuticals is growing, in particular for Alzheimer's treatment.</w:t>
      </w:r>
    </w:p>
    <w:p>
      <w:pPr>
        <w:spacing w:after="0" w:line="8"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Newly approved indications for, and the growing understanding and thus diagnosis of auto-immune diseases treated with plasma derived therapies increase the demand for plasma, as do longer lifespans and a growing aging patient population.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Geographical expansion of biopharmaceuticals also increases demand for plasma.</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Despite the overall growth in the market, the number of bio-pharmaceutical companies who fractionate plasma is limited. And while the global trend toward consolidation among these companies has stabilized, we do not expect meaningful new entries or diversification.</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Demand for our plasma products in fiscal 2016 continued to grow in North America as collection volumes benefited from an expanding end user market for plasma-derived biopharmaceuticals with U.S. produced plasma meeting an increasing percentage of plasma volume demand worldwide.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Blood Center Market</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the blood center market, we sell products used in the collection of platelets, red cells and whole blood. Whole blood is collected from the donor and then transported to a laboratory where it is separated into its components: red cells, platelets or plasma. While we sell products around the world, a significant portion of our sales are to a limited number of customers due to relatively limited number of blood collectors.</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Platelets are collected globally, although each local market can be quite different. Despite modest increases in the demand for platelets in Europe and Japan, improved collection efficiencies that increase the yield of platelets per collection and more efficient use of collected platelets have resulted in a flat market for automated collections and related disposables in these countries. In particular, the use of "double dose" collection methods in Europe and Japan has increased. Double dose collections involve collecting two therapeutic platelet doses from one donor. Competition in double dose collection technology is intense and can negatively impact our sales in markets where these collections are prevalent.</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Blood management is an approach to optimizing the care of patients that may need a transfusion that includes a wide range of practices and protocols which influence the need for, and use of, blood products in hospitals. Adoption of blood management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practices by hospitals, particularly in the United States, continues to gain momentum. Blood management efforts reduce the demand for red cells, which in turn can reduce the demand for our red cell and whole blood collection products.</w:t>
      </w:r>
    </w:p>
    <w:p>
      <w:pPr>
        <w:spacing w:after="0" w:line="170"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Balancing these trends in the United States, Europe and Japan is the development of emerging markets. With changes in healthcare and social security systems in emerging markets, a larger number of people are gaining access to state of the art medical treatments, which drives the demand for platelet transfusions, in particular, and represent a growing market.</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i w:val="1"/>
          <w:iCs w:val="1"/>
          <w:color w:val="auto"/>
        </w:rPr>
        <w:t>Recent Developments</w:t>
      </w:r>
      <w:r>
        <w:rPr>
          <w:rFonts w:ascii="Arial" w:cs="Arial" w:eastAsia="Arial" w:hAnsi="Arial"/>
          <w:sz w:val="18"/>
          <w:szCs w:val="18"/>
          <w:color w:val="auto"/>
        </w:rPr>
        <w:t xml:space="preserve"> above, we believe the decline in U.S. blood center collections of approximately 7% in fiscal 2016 will continue in fiscal 2017. Demand for red cells has declined in mature markets due to better blood management and the development of less invasive, lower blood loss medical procedures. However, highly populated emerging market countries are increasing their demand for blood components as they are advancing their health care coverage, and as greater numbers of people gain access to more advanced medical treatment, demand for blood components, including red cells increases directly.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 Market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 the hospital market, we sell cardiovascular and orthopedic surgical blood salvage systems, and hemostasis management analyzers.</w:t>
      </w:r>
    </w:p>
    <w:p>
      <w:pPr>
        <w:spacing w:after="0" w:line="13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Our Cell Saver surgical blood salvage system was designed as a solution for rapid, high volume blood loss procedures, such as cardiovascular surgeries. In recent years, more efficient blood use and less invasive cardiovascular surgeries have reduced demand for this device and contributed to intense competition in mature markets, while increased access to healthcare in emerging economies has provided new markets and sources of growth.</w:t>
      </w:r>
    </w:p>
    <w:p>
      <w:pPr>
        <w:spacing w:after="0" w:line="5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OrthoPAT technology is used to salvage red cells in high blood loss orthopedic procedures, including hip and knee replacement surgeries. Over the last three years, improved blood management practices, including the use of tranexamic acid to treat and prevent post-operative bleeding, have significantly reduced the use of OrthoPAT.</w:t>
      </w:r>
    </w:p>
    <w:p>
      <w:pPr>
        <w:spacing w:after="0" w:line="8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TEG Thrombelastograph Hemostasis Analyzers are diagnostic tools which provides a comprehensive assessment of a patient’s overall hemostasis. This information enables caregivers to decide the best blood-related clinical treatment for the individual patient in order to minimize blood loss. The use of our TEG 5000 analyzer continues to expand beyond cardiac surgery into trauma and other clinical uses. TEG product line sales further strengthened in fiscal 2016, with strong performance in North America and China. This product’s growth is dependent on hospitals adopting this technology in their blood management programs. We have launched our next generation device, the TEG 6s, in certain markets in Europe and Asia. In North America, our largest market for TEG, TEG 6s is in a limited market release.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Market</w:t>
      </w:r>
    </w:p>
    <w:p>
      <w:pPr>
        <w:spacing w:after="0" w:line="13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software solutions portfolio addresses many of the critical data collection and data management needs within the plasma, blood center, and hospital markets.</w:t>
      </w:r>
    </w:p>
    <w:p>
      <w:pPr>
        <w:spacing w:after="0" w:line="7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the plasma market, we provide software which assists in collection center management. Our Next Generation Donor Management Software has been favorably received by the market and is being implemented at two significant customers.</w:t>
      </w:r>
    </w:p>
    <w:p>
      <w:pPr>
        <w:spacing w:after="0" w:line="13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blood center market for software, we currently participate most actively in the United States, where expansion to new or emerging technology platforms such as our El Dorado Software Solution Suite has been slow due to industry consolidation and the relatively high cost of migrating to new information technology platforms. This trend has limited revenue growth and will likely continue to minimize potential opportunities in the future. However, in the immediate future high switching costs and recurring maintenance revenue streams from existing customers has provided relative revenue stability in this product group.</w:t>
      </w:r>
    </w:p>
    <w:p>
      <w:pPr>
        <w:spacing w:after="0" w:line="148"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We currently participate in the hospital software market primarily in the United States and Europe. In the United States, we have experienced growth in our installed base for our hospital transfusion solution, SafeTraceTX, due to demand for reliable, proven safety systems within transfusion services. However, growth in the United States continues to be constrained due to hospital IT organization focus on the electronic medical records mandates. Revenues from BloodTrack, a blood inventory and transfusion management system, have increased in the United States and Europe recently as hospitals seek means to improve efficiencies and meet compliance guidelines for tracking and dispositioning blood components to patients.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30" w:right="25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2,</w:t>
            </w:r>
          </w:p>
        </w:tc>
        <w:tc>
          <w:tcPr>
            <w:tcW w:w="24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28,</w:t>
            </w:r>
          </w:p>
        </w:tc>
        <w:tc>
          <w:tcPr>
            <w:tcW w:w="24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29,</w:t>
            </w: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 Increase/(Decrease)</w:t>
            </w:r>
          </w:p>
        </w:tc>
        <w:tc>
          <w:tcPr>
            <w:tcW w:w="1600" w:type="dxa"/>
            <w:vAlign w:val="bottom"/>
          </w:tcPr>
          <w:p>
            <w:pPr>
              <w:jc w:val="right"/>
              <w:ind w:right="33"/>
              <w:spacing w:after="0"/>
              <w:rPr>
                <w:sz w:val="20"/>
                <w:szCs w:val="20"/>
                <w:color w:val="auto"/>
              </w:rPr>
            </w:pPr>
            <w:r>
              <w:rPr>
                <w:rFonts w:ascii="Arial" w:cs="Arial" w:eastAsia="Arial" w:hAnsi="Arial"/>
                <w:sz w:val="14"/>
                <w:szCs w:val="14"/>
                <w:b w:val="1"/>
                <w:bCs w:val="1"/>
                <w:color w:val="auto"/>
                <w:w w:val="98"/>
              </w:rPr>
              <w:t>% Increase/(Decrease)</w:t>
            </w:r>
          </w:p>
        </w:tc>
      </w:tr>
      <w:tr>
        <w:trPr>
          <w:trHeight w:val="192"/>
        </w:trPr>
        <w:tc>
          <w:tcPr>
            <w:tcW w:w="358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280" w:type="dxa"/>
            <w:vAlign w:val="bottom"/>
          </w:tcPr>
          <w:p>
            <w:pPr>
              <w:spacing w:after="0"/>
              <w:rPr>
                <w:sz w:val="16"/>
                <w:szCs w:val="16"/>
                <w:color w:val="auto"/>
              </w:rPr>
            </w:pPr>
          </w:p>
        </w:tc>
        <w:tc>
          <w:tcPr>
            <w:tcW w:w="1160" w:type="dxa"/>
            <w:vAlign w:val="bottom"/>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700" w:type="dxa"/>
            <w:vAlign w:val="bottom"/>
            <w:gridSpan w:val="2"/>
          </w:tcPr>
          <w:p>
            <w:pPr>
              <w:ind w:left="540"/>
              <w:spacing w:after="0"/>
              <w:rPr>
                <w:sz w:val="20"/>
                <w:szCs w:val="20"/>
                <w:color w:val="auto"/>
              </w:rPr>
            </w:pPr>
            <w:r>
              <w:rPr>
                <w:rFonts w:ascii="Arial" w:cs="Arial" w:eastAsia="Arial" w:hAnsi="Arial"/>
                <w:sz w:val="14"/>
                <w:szCs w:val="14"/>
                <w:b w:val="1"/>
                <w:bCs w:val="1"/>
                <w:color w:val="auto"/>
              </w:rPr>
              <w:t>16 vs. 15</w:t>
            </w:r>
          </w:p>
        </w:tc>
        <w:tc>
          <w:tcPr>
            <w:tcW w:w="1600" w:type="dxa"/>
            <w:vAlign w:val="bottom"/>
          </w:tcPr>
          <w:p>
            <w:pPr>
              <w:jc w:val="right"/>
              <w:ind w:right="453"/>
              <w:spacing w:after="0"/>
              <w:rPr>
                <w:sz w:val="20"/>
                <w:szCs w:val="20"/>
                <w:color w:val="auto"/>
              </w:rPr>
            </w:pPr>
            <w:r>
              <w:rPr>
                <w:rFonts w:ascii="Arial" w:cs="Arial" w:eastAsia="Arial" w:hAnsi="Arial"/>
                <w:sz w:val="14"/>
                <w:szCs w:val="14"/>
                <w:b w:val="1"/>
                <w:bCs w:val="1"/>
                <w:color w:val="auto"/>
              </w:rPr>
              <w:t>15 vs. 14</w:t>
            </w:r>
          </w:p>
        </w:tc>
      </w:tr>
      <w:tr>
        <w:trPr>
          <w:trHeight w:val="250"/>
        </w:trPr>
        <w:tc>
          <w:tcPr>
            <w:tcW w:w="3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908,832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910,373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938,509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405,914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434,418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468,365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44.7 %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449,856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393,878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421,933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(43,942)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40,540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46,432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n/m</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4.9%</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(9,474)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(9,375)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(10,031)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(Loss) income before taxes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(53,416)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31,165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36,401</w:t>
            </w:r>
          </w:p>
        </w:tc>
        <w:tc>
          <w:tcPr>
            <w:tcW w:w="100" w:type="dxa"/>
            <w:vAlign w:val="bottom"/>
          </w:tcPr>
          <w:p>
            <w:pPr>
              <w:spacing w:after="0"/>
              <w:rPr>
                <w:sz w:val="21"/>
                <w:szCs w:val="21"/>
                <w:color w:val="auto"/>
              </w:rPr>
            </w:pPr>
          </w:p>
        </w:tc>
        <w:tc>
          <w:tcPr>
            <w:tcW w:w="1700" w:type="dxa"/>
            <w:vAlign w:val="bottom"/>
            <w:gridSpan w:val="2"/>
          </w:tcPr>
          <w:p>
            <w:pPr>
              <w:ind w:left="1080"/>
              <w:spacing w:after="0"/>
              <w:rPr>
                <w:sz w:val="20"/>
                <w:szCs w:val="20"/>
                <w:color w:val="auto"/>
              </w:rPr>
            </w:pPr>
            <w:r>
              <w:rPr>
                <w:rFonts w:ascii="Arial" w:cs="Arial" w:eastAsia="Arial" w:hAnsi="Arial"/>
                <w:sz w:val="18"/>
                <w:szCs w:val="18"/>
                <w:color w:val="auto"/>
              </w:rPr>
              <w:t>n/m</w:t>
            </w:r>
          </w:p>
        </w:tc>
        <w:tc>
          <w:tcPr>
            <w:tcW w:w="16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14,268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1,253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i w:val="1"/>
                <w:iCs w:val="1"/>
                <w:color w:val="auto"/>
              </w:rPr>
              <w:t>% of pre-tax income</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45.8%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3.4%</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(55,579)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16,897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35,148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n/m</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3.7%</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 per share - 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n/m</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27"/>
        </w:trPr>
        <w:tc>
          <w:tcPr>
            <w:tcW w:w="35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Our fiscal year ends on the Saturday closest to the last day of March. Fiscal year 2016 includes 53 weeks with each of the first three quarters having 13 weeks and the fourth quarter having 14 weeks. Fiscal year 2015 and 2014 included 52 weeks with each quarter having 13 weeks.</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revenues for fiscal 2016 were flat compared to fiscal 2015. Without the effects of foreign exchange, net revenues increased 2.9% compared to fiscal 2015. Revenue increases in plasma and TEG disposables were offset by declines in blood center disposables and reduced surgical, OrthoPAT and equipment sales for the fiscal year ended April 2, 2016. The 53rd week in fiscal 2016 also contributed to the increase, as it accounted for 1.7% of additional revenue as compared to fiscal 2015.</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Net revenues for fiscal 2015 decreased 3.0% compared to fiscal 2014. Without the effects of foreign exchange, net revenues decreased 1.3% over fiscal 2014.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Revenue increases in plasma and TEG disposables were more than offset by declines in the whole blood disposables for the fiscal year ended March 28, 2015.</w:t>
      </w:r>
    </w:p>
    <w:p>
      <w:pPr>
        <w:spacing w:after="0" w:line="13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recorded an operating loss in fiscal 2016, as compared to operating income in fiscal 2015. Operating income decreased for the fiscal year ended April 2, 2016 primarily as a result of the goodwill and other asset impairment charges recognized in the second half of fiscal 2016, as discussed above. This increase in operating expenses was partially offset by reductions in restructuring and transformation expenses of $27.5 million in fiscal 2016 as compared to fiscal 2015.</w:t>
      </w:r>
    </w:p>
    <w:p>
      <w:pPr>
        <w:spacing w:after="0" w:line="9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During fiscal 2015, operating income decreased 12.7% compared to fiscal 2014. Without the effects of foreign currency, operating income decreased 0.9% compared to fiscal 2014. Operating income decreased primarily due to lower whole blood disposables volume and pricing and the associated reduced manufacturing efficiency. These decreases were partially offset by reduced restructuring and transformation costs, and organizational cost savings initiatives. Restructuring and transformation costs were $66.8 million for fiscal 2015, as compared to $84.8 million for the comparative prior year period.</w:t>
      </w:r>
    </w:p>
    <w:p>
      <w:pPr>
        <w:spacing w:after="0" w:line="6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We recorded a net loss in fiscal 2016, as compared to net income in fiscal 2015. The change in net loss is primarily attributable to the decrease in operating income described above, partially offset by a decrease in the income tax provision in fiscal 2016 as compared to fiscal 2015.</w:t>
      </w:r>
    </w:p>
    <w:p>
      <w:pPr>
        <w:spacing w:after="0" w:line="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income decreased 51.9% during fiscal 2015. Without the effects of foreign exchange, net income decreased 20.8% for fiscal 2015. The decrease in net income was primarily attributable to an increase in tax expense and the decrease in operating income described above. The increase in tax expense is attributable to the establishment of a valuation allowance for our U.S. net deferred tax assets following three years of cumulative losses directly related to our substantial restructuring and transformation spending.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Revenues by Geography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w:t>
            </w:r>
          </w:p>
        </w:tc>
        <w:tc>
          <w:tcPr>
            <w:tcW w:w="2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28,</w:t>
            </w:r>
          </w:p>
        </w:tc>
        <w:tc>
          <w:tcPr>
            <w:tcW w:w="240" w:type="dxa"/>
            <w:vAlign w:val="bottom"/>
          </w:tcPr>
          <w:p>
            <w:pPr>
              <w:spacing w:after="0"/>
              <w:rPr>
                <w:sz w:val="14"/>
                <w:szCs w:val="14"/>
                <w:color w:val="auto"/>
              </w:rPr>
            </w:pPr>
          </w:p>
        </w:tc>
        <w:tc>
          <w:tcPr>
            <w:tcW w:w="1120" w:type="dxa"/>
            <w:vAlign w:val="bottom"/>
          </w:tcPr>
          <w:p>
            <w:pPr>
              <w:jc w:val="right"/>
              <w:ind w:right="297"/>
              <w:spacing w:after="0"/>
              <w:rPr>
                <w:sz w:val="20"/>
                <w:szCs w:val="20"/>
                <w:color w:val="auto"/>
              </w:rPr>
            </w:pPr>
            <w:r>
              <w:rPr>
                <w:rFonts w:ascii="Arial" w:cs="Arial" w:eastAsia="Arial" w:hAnsi="Arial"/>
                <w:sz w:val="14"/>
                <w:szCs w:val="14"/>
                <w:b w:val="1"/>
                <w:bCs w:val="1"/>
                <w:color w:val="auto"/>
              </w:rPr>
              <w:t>March 29,</w:t>
            </w:r>
          </w:p>
        </w:tc>
        <w:tc>
          <w:tcPr>
            <w:tcW w:w="10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 Increase/(Decrease)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 Increase/(Decrease)</w:t>
            </w:r>
          </w:p>
        </w:tc>
      </w:tr>
      <w:tr>
        <w:trPr>
          <w:trHeight w:val="192"/>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16 vs. 15</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15 vs. 14</w:t>
            </w: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519,440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494,788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500,719</w:t>
            </w:r>
          </w:p>
        </w:tc>
        <w:tc>
          <w:tcPr>
            <w:tcW w:w="16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5.0 %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(1.2)%</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389,392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415,585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437,790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520" w:type="dxa"/>
            <w:vAlign w:val="bottom"/>
          </w:tcPr>
          <w:p>
            <w:pPr>
              <w:ind w:left="960"/>
              <w:spacing w:after="0"/>
              <w:rPr>
                <w:sz w:val="20"/>
                <w:szCs w:val="20"/>
                <w:color w:val="auto"/>
              </w:rPr>
            </w:pPr>
            <w:r>
              <w:rPr>
                <w:rFonts w:ascii="Arial" w:cs="Arial" w:eastAsia="Arial" w:hAnsi="Arial"/>
                <w:sz w:val="18"/>
                <w:szCs w:val="18"/>
                <w:color w:val="auto"/>
              </w:rPr>
              <w:t>(5.1)%</w:t>
            </w:r>
          </w:p>
        </w:tc>
      </w:tr>
      <w:tr>
        <w:trPr>
          <w:trHeight w:val="27"/>
        </w:trPr>
        <w:tc>
          <w:tcPr>
            <w:tcW w:w="3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r>
      <w:tr>
        <w:trPr>
          <w:trHeight w:val="257"/>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908,832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910,373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938,509</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b w:val="1"/>
                <w:bCs w:val="1"/>
                <w:color w:val="auto"/>
              </w:rPr>
              <w:t>(3.0)%</w:t>
            </w:r>
          </w:p>
        </w:tc>
      </w:tr>
      <w:tr>
        <w:trPr>
          <w:trHeight w:val="20"/>
        </w:trPr>
        <w:tc>
          <w:tcPr>
            <w:tcW w:w="3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Operations and the Impact of Foreign Exchange</w:t>
      </w:r>
    </w:p>
    <w:p>
      <w:pPr>
        <w:spacing w:after="0" w:line="13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approximately 100 countries around the world through a combination of our direct sales force and independent distributors and agents.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of revenue generated in our principle operating regions is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560" w:type="dxa"/>
            <w:vAlign w:val="bottom"/>
            <w:gridSpan w:val="2"/>
          </w:tcPr>
          <w:p>
            <w:pPr>
              <w:ind w:left="480"/>
              <w:spacing w:after="0"/>
              <w:rPr>
                <w:sz w:val="20"/>
                <w:szCs w:val="20"/>
                <w:color w:val="auto"/>
              </w:rPr>
            </w:pPr>
            <w:r>
              <w:rPr>
                <w:rFonts w:ascii="Arial" w:cs="Arial" w:eastAsia="Arial" w:hAnsi="Arial"/>
                <w:sz w:val="14"/>
                <w:szCs w:val="14"/>
                <w:b w:val="1"/>
                <w:bCs w:val="1"/>
                <w:color w:val="auto"/>
              </w:rPr>
              <w:t>April 2,</w:t>
            </w:r>
          </w:p>
        </w:tc>
        <w:tc>
          <w:tcPr>
            <w:tcW w:w="1560" w:type="dxa"/>
            <w:vAlign w:val="bottom"/>
            <w:gridSpan w:val="2"/>
          </w:tcPr>
          <w:p>
            <w:pPr>
              <w:ind w:left="400"/>
              <w:spacing w:after="0"/>
              <w:rPr>
                <w:sz w:val="20"/>
                <w:szCs w:val="20"/>
                <w:color w:val="auto"/>
              </w:rPr>
            </w:pPr>
            <w:r>
              <w:rPr>
                <w:rFonts w:ascii="Arial" w:cs="Arial" w:eastAsia="Arial" w:hAnsi="Arial"/>
                <w:sz w:val="14"/>
                <w:szCs w:val="14"/>
                <w:b w:val="1"/>
                <w:bCs w:val="1"/>
                <w:color w:val="auto"/>
              </w:rPr>
              <w:t>March 28,</w:t>
            </w:r>
          </w:p>
        </w:tc>
        <w:tc>
          <w:tcPr>
            <w:tcW w:w="1440" w:type="dxa"/>
            <w:vAlign w:val="bottom"/>
          </w:tcPr>
          <w:p>
            <w:pPr>
              <w:jc w:val="right"/>
              <w:ind w:right="334"/>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68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Japan</w:t>
            </w:r>
          </w:p>
        </w:tc>
        <w:tc>
          <w:tcPr>
            <w:tcW w:w="14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68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Asia</w:t>
            </w:r>
          </w:p>
        </w:tc>
        <w:tc>
          <w:tcPr>
            <w:tcW w:w="14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68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68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International sales are generally conducted in local currencies, primarily the Japanese Yen, the Euro, the Chinese Yuan and the Australian Dollar. Our results of operations are impacted by changes in foreign exchange rates, particularly in the value of the Yen, the Euro and Australian Dollar relative to the U.S. Dollar.</w:t>
      </w:r>
    </w:p>
    <w:p>
      <w:pPr>
        <w:spacing w:after="0" w:line="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placed foreign currency hedges based on estimates of future revenues to reduce the impacts of currency fluctuations. For fiscal 2016 as compared to fiscal 2015, the effects of foreign exchange resulted in a 3.1% decrease in sales. The primary reason is the relative strength of the U.S. Dollar to the Japanese Yen and Euro. We expect this relative strength of the U.S. Dollar to continue to negatively impact operating income in fiscal 2017. For fiscal 2015 as compared to fiscal 2014, the effects of foreign exchange accounted for a 1.7% decrease in sales.</w:t>
      </w:r>
    </w:p>
    <w:p>
      <w:pPr>
        <w:spacing w:after="0" w:line="9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Please see section entitled “Foreign Exchange” in this discussion for a more complete explanation of how foreign currency affects our business and our strategy for managing this exposure.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Revenues by Product Type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w:t>
            </w:r>
          </w:p>
        </w:tc>
        <w:tc>
          <w:tcPr>
            <w:tcW w:w="1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w:t>
            </w:r>
          </w:p>
        </w:tc>
        <w:tc>
          <w:tcPr>
            <w:tcW w:w="240" w:type="dxa"/>
            <w:vAlign w:val="bottom"/>
          </w:tcPr>
          <w:p>
            <w:pPr>
              <w:spacing w:after="0"/>
              <w:rPr>
                <w:sz w:val="14"/>
                <w:szCs w:val="14"/>
                <w:color w:val="auto"/>
              </w:rPr>
            </w:pPr>
          </w:p>
        </w:tc>
        <w:tc>
          <w:tcPr>
            <w:tcW w:w="1120" w:type="dxa"/>
            <w:vAlign w:val="bottom"/>
          </w:tcPr>
          <w:p>
            <w:pPr>
              <w:jc w:val="right"/>
              <w:ind w:right="296"/>
              <w:spacing w:after="0"/>
              <w:rPr>
                <w:sz w:val="20"/>
                <w:szCs w:val="20"/>
                <w:color w:val="auto"/>
              </w:rPr>
            </w:pPr>
            <w:r>
              <w:rPr>
                <w:rFonts w:ascii="Arial" w:cs="Arial" w:eastAsia="Arial" w:hAnsi="Arial"/>
                <w:sz w:val="14"/>
                <w:szCs w:val="14"/>
                <w:b w:val="1"/>
                <w:bCs w:val="1"/>
                <w:color w:val="auto"/>
              </w:rPr>
              <w:t>March 29,</w:t>
            </w:r>
          </w:p>
        </w:tc>
        <w:tc>
          <w:tcPr>
            <w:tcW w:w="10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 Increase/(Decrease)</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w w:val="95"/>
              </w:rPr>
              <w:t>% Increase/(Decrease)</w:t>
            </w:r>
          </w:p>
        </w:tc>
      </w:tr>
      <w:tr>
        <w:trPr>
          <w:trHeight w:val="192"/>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16 vs. 15</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15 vs. 14</w:t>
            </w: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Disposables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784,454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783,426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806,834</w:t>
            </w:r>
          </w:p>
        </w:tc>
        <w:tc>
          <w:tcPr>
            <w:tcW w:w="16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Software solutions</w:t>
            </w:r>
          </w:p>
        </w:tc>
        <w:tc>
          <w:tcPr>
            <w:tcW w:w="2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72,434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72,185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70,441</w:t>
            </w:r>
          </w:p>
        </w:tc>
        <w:tc>
          <w:tcPr>
            <w:tcW w:w="1620" w:type="dxa"/>
            <w:vAlign w:val="bottom"/>
            <w:gridSpan w:val="2"/>
          </w:tcPr>
          <w:p>
            <w:pPr>
              <w:jc w:val="right"/>
              <w:ind w:right="8"/>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7"/>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&amp; other</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51,944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54,762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61,234</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57"/>
        </w:trPr>
        <w:tc>
          <w:tcPr>
            <w:tcW w:w="394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908,832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910,373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938,509</w:t>
            </w: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0"/>
        </w:trPr>
        <w:tc>
          <w:tcPr>
            <w:tcW w:w="3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46"/>
        </w:trPr>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835"/>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Disposables Revenues by Product Type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2,</w:t>
            </w:r>
          </w:p>
        </w:tc>
        <w:tc>
          <w:tcPr>
            <w:tcW w:w="2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28,</w:t>
            </w:r>
          </w:p>
        </w:tc>
        <w:tc>
          <w:tcPr>
            <w:tcW w:w="240" w:type="dxa"/>
            <w:vAlign w:val="bottom"/>
          </w:tcPr>
          <w:p>
            <w:pPr>
              <w:spacing w:after="0"/>
              <w:rPr>
                <w:sz w:val="14"/>
                <w:szCs w:val="14"/>
                <w:color w:val="auto"/>
              </w:rPr>
            </w:pPr>
          </w:p>
        </w:tc>
        <w:tc>
          <w:tcPr>
            <w:tcW w:w="1120" w:type="dxa"/>
            <w:vAlign w:val="bottom"/>
          </w:tcPr>
          <w:p>
            <w:pPr>
              <w:jc w:val="right"/>
              <w:ind w:right="293"/>
              <w:spacing w:after="0"/>
              <w:rPr>
                <w:sz w:val="20"/>
                <w:szCs w:val="20"/>
                <w:color w:val="auto"/>
              </w:rPr>
            </w:pPr>
            <w:r>
              <w:rPr>
                <w:rFonts w:ascii="Arial" w:cs="Arial" w:eastAsia="Arial" w:hAnsi="Arial"/>
                <w:sz w:val="14"/>
                <w:szCs w:val="14"/>
                <w:b w:val="1"/>
                <w:bCs w:val="1"/>
                <w:color w:val="auto"/>
              </w:rPr>
              <w:t>March 29,</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 Increase/(Decrease)</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w w:val="95"/>
              </w:rPr>
              <w:t>% Increase/(Decrease)</w:t>
            </w:r>
          </w:p>
        </w:tc>
      </w:tr>
      <w:tr>
        <w:trPr>
          <w:trHeight w:val="192"/>
        </w:trPr>
        <w:tc>
          <w:tcPr>
            <w:tcW w:w="39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16 vs. 15</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15 vs. 14</w:t>
            </w: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Plasma disposables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348,785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319,190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291,895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9.4 %</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Blood center disposables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Platelet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143,274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152,588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156,643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Red cell</w:t>
            </w:r>
          </w:p>
        </w:tc>
        <w:tc>
          <w:tcPr>
            <w:tcW w:w="2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39,256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42,700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42,378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Whole blood</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128,532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143,905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190,698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37"/>
        </w:trPr>
        <w:tc>
          <w:tcPr>
            <w:tcW w:w="39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311,062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339,193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389,719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Hospital disposables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Diagnostics</w:t>
            </w:r>
          </w:p>
        </w:tc>
        <w:tc>
          <w:tcPr>
            <w:tcW w:w="2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50,882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42,187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33,302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20.6 %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26.7 %</w:t>
            </w: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Surgical</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59,902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62,540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66,876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OrthoPAT</w:t>
            </w:r>
          </w:p>
        </w:tc>
        <w:tc>
          <w:tcPr>
            <w:tcW w:w="2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13,823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20,316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25,042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
        </w:trPr>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r>
      <w:tr>
        <w:trPr>
          <w:trHeight w:val="264"/>
        </w:trPr>
        <w:tc>
          <w:tcPr>
            <w:tcW w:w="39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124,607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125,043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125,220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57"/>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Total disposables revenues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784,454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783,426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806,834</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0.1 %</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0"/>
        </w:trPr>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Disposables Revenues</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Disposables include the Plasma, Blood Center, and Hospital product lines. Disposables revenue was flat during fiscal 2016 and decreased 2.9% during fiscal 2015. Without the effects of foreign exchange, disposables revenue increased 3.3% and decreased 1.1% for fiscal 2016 and 2015, respectively. In fiscal 2016, revenue increases in plasma and TEG disposables were offset by declines in sales of our blood center, surgical, and OrthoPAT disposables. In fiscal 2015, the decrease was primarily driven by significantly reduced whole blood disposables revenue and was partially offset by growth in plasma and TEG disposables revenue.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Plasma</w:t>
      </w:r>
    </w:p>
    <w:p>
      <w:pPr>
        <w:spacing w:after="0" w:line="252"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Plasma disposables revenue increased 9.3% during fiscal 2016. Without the effects of foreign exchange, plasma disposables revenue increased 12.0% during fiscal 2016 compared to fiscal 2015. Plasma revenue increased principally due to higher volumes in the U.S. associated with end market growth for plasma-derived biopharmaceuticals. The implementation of a liquid solutions contract with a large U.S. collector and strong performance in Japan and other parts of Asia also contributed to growth. This growth was partially offset by reductions related to market conditions in Russia.</w:t>
      </w:r>
    </w:p>
    <w:p>
      <w:pPr>
        <w:spacing w:after="0" w:line="198"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Plasma disposables revenue increased 9.4% during fiscal 2015. Without the effects of foreign exchange, plasma disposables revenue increased 10.4% during fiscal 2015. Plasma revenue increased due to higher volumes in the United States associated with end market growth for plasma-derived biopharmaceuticals and benefits from the transition to a direct sales model in Australia and New Zealand which occurred in the second quarter of fiscal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Blood Center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Platelet</w:t>
      </w:r>
    </w:p>
    <w:p>
      <w:pPr>
        <w:spacing w:after="0" w:line="1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While we market our platelets products globally, the dynamics of each market are significantly different. Despite modest increases in the demand for platelets in Europe and Japan, improved collection efficiencies that increase the yield of platelets per collection and more efficient use of collected platelets have resulted in a flat market for automated collections and related disposables in these countries. In particular, the use of "double dose" collection methods in Europe and Japan has increased. Double dose collections involve collecting two therapeutic platelet doses from one donor. Competition in double dose collection technology is intense and has negatively impacted our sales in a number of markets where these collections are prevalent. Most recently in Japan, our market share gains in single dose collections have been offset by the recent adoption of double dose collections by our primary customer. Increased use of double dose collections in Japan may negatively impact our revenue and gross profit from platelet collection disposables in that market.</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the impact of different collection techniques, emerging markets have seen changes in healthcare and social security systems which have allowed increased access to advanced medical treatment. This has driven the demand for platelet transfusions and increased collection volumes. In emerging markets, particular Russia, we have also seen economic instability negatively impact healthcare spend and our revenue.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Platelet disposables revenue decreased 6.1% during fiscal 2016. Without the effects of foreign exchange, platelet disposable revenue decreased 0.8% during fiscal 2016. The decrease in platelet disposable revenue during fiscal 2016, excluding the impact of foreign exchange, was primarily the result of declines in sales in Russia and Latin America. These declines were partially offset by growth in China, India, the Middle East, and other parts of Asia.</w:t>
      </w:r>
    </w:p>
    <w:p>
      <w:pPr>
        <w:spacing w:after="0" w:line="17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Platelet disposables revenue decreased 2.6% during fiscal 2015. Without the effects of foreign exchange, platelet disposable revenue increased 3.0% during fiscal 2015. Without the effect of foreign exchange, the increase was due to growth in emerging markets and the benefit of order timing in North America offset by the impact of the collection trends in Japan noted above.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 Cells and Whole Blood</w:t>
      </w:r>
    </w:p>
    <w:p>
      <w:pPr>
        <w:spacing w:after="0" w:line="25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Red cell disposables revenue decreased 8.1% during fiscal 2016. Without the effects of foreign exchange, red cell disposables revenue decreased 7.0% during fiscal 2016. The decrease during fiscal 2016 was driven by price reductions in our principal U.S. red cell market. During fiscal 2016, U.S. blood collection groups pursued arrangements for apheresis red cell collections with the objective of standardizing their collection technology and securing price reductions. These arrangements are now largely in place and began to negatively affect red cell revenues and gross margins during the second quarter of fiscal 2016.</w:t>
      </w:r>
    </w:p>
    <w:p>
      <w:pPr>
        <w:spacing w:after="0" w:line="6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 discussed above, during the second quarter of fiscal 2016, we entered into a contract with the American Red Cross which included an incentive to transition to our technology and price reductions tied to higher volumes. In addition, Blood Center GPOs have selected competitive technologies. We expect revenue to decline from both the lower pricing in the American Red Cross contract and the conversion by Blood Center GPOs to the competitive technologies. Red cell disposable revenues in the U.S. totaled $34.8 million and $37.6 million during fiscal 2016 and 2015, respectively.</w:t>
      </w:r>
    </w:p>
    <w:p>
      <w:pPr>
        <w:spacing w:after="0" w:line="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Red cell disposables revenue increased 0.8% during fiscal 2015. Without the effects of foreign exchange, red cell disposables revenue increased 0.8% during fiscal 2015. The increase was driven by North American sales due to changes in red cell collection practices and was partially offset by declines in Europe and Latin America. During fiscal 2015, we saw a modest shift in order patterns from whole blood to red cell disposables due to customer efforts to more efficiently collect red cells.</w:t>
      </w:r>
    </w:p>
    <w:p>
      <w:pPr>
        <w:spacing w:after="0" w:line="21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Whole blood revenue decreased 10.7% during fiscal 2016. Without the effect of foreign exchange, whole blood revenue decreased 8.3% during fiscal 2016. Whole blood disposables revenue for fiscal 2016 decreased primarily due to a declining U.S. whole blood market. The anniversary of the loss of the American Red Cross whole blood business occurred at the end of the first quarter of fiscal 2016, however, we continue to be negatively impacted by the declining market.</w:t>
      </w:r>
    </w:p>
    <w:p>
      <w:pPr>
        <w:spacing w:after="0" w:line="21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Whole blood revenue decreased 24.5% during fiscal 2015. Without the effect of foreign exchange, whole blood revenue decreased 24.1% during fiscal 2015, due to the loss of the American Red Cross business, lower pricing to HemeXcel, the loss of a European tender early in fiscal 2014 and macro-economic conditions in Russia. Declines in North American transfusion rates of 10% contributed approximately $8.0 million to the fiscal 2015 decline.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Hospital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Diagnostics</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Diagnostics product revenue consists principally of the consumable reagents used with the TEG hemostasis management family of products. Revenue from diagnostic products increased 20.6% during fiscal 2016. Without the effect of foreign exchange, diagnostic product revenue increased 20.2%. The revenue increase is due to continued adoption of our hemostasis system, principally in the U.S. and China. We are continuing our limited market release of the TEG 6s device and disposables.</w:t>
      </w:r>
    </w:p>
    <w:p>
      <w:pPr>
        <w:spacing w:after="0" w:line="92"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Revenue from our diagnostic products increased 26.7% during fiscal 2015. Without the effect of foreign exchange, diagnostic product revenue increased 23.4%. The revenue increase is due to continued adoption of our TEG analyzer, principally in the United States and China.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Surgical</w:t>
      </w:r>
    </w:p>
    <w:p>
      <w:pPr>
        <w:spacing w:after="0" w:line="25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Surgical disposables revenue consists principally of the Cell Saver and CardioPAT products. Revenue from our surgical disposables decreased 4.2% during fiscal 2016. Without the effect of foreign exchange, surgical disposables revenue increased 1.0% during fiscal 2016. The increase in surgical disposable revenue was primarily attributable to modest growth in Japan and in the emerging markets in Russia and China.</w:t>
      </w:r>
    </w:p>
    <w:p>
      <w:pPr>
        <w:spacing w:after="0" w:line="193"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Revenue from our surgical disposables decreased 6.5% during fiscal 2015. Without the effect of foreign exchange, surgical disposables revenue decreased 3.3% during fiscal 2015. The decline in surgical revenue in developed markets was partially offset by growth in emerging markets.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30" w:right="25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OrthoPAT</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Revenue from our OrthoPAT disposables decreased 32.0% during fiscal 2016. Without the effect of foreign exchange, OrthoPAT disposables revenue decreased 27.5%. Better blood management has reduced orthopedic blood loss and continues to impact demand for OrthoPAT disposables. Recent trends in blood management, particularly the adoption of tranexamic acid to treat and prevent orthopedic post-operative blood loss, continue to lessen hospital use of OrthoPAT disposables. During fiscal 2016, OrthoPAT disposable revenues were also negatively impacted by a supply chain interruption. We expect continued declines in OrthoPAT revenues in fiscal 2017.</w:t>
      </w:r>
    </w:p>
    <w:p>
      <w:pPr>
        <w:spacing w:after="0" w:line="2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Revenue from our OrthoPAT disposables decreased 18.9% during fiscal 2015. Without the effect of foreign exchange, OrthoPAT disposables revenue decreased 16.5% as better blood management has reduced orthopedic blood loss and demand for OrthoPAT disposables. Recent trends in blood management, particularly the adoption of tranexamic acid to treat and prevent orthopedic post-operative blood loss, have continued to reduce hospital use of OrthoPAT disposables.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w:t>
            </w:r>
          </w:p>
        </w:tc>
        <w:tc>
          <w:tcPr>
            <w:tcW w:w="2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28,</w:t>
            </w:r>
          </w:p>
        </w:tc>
        <w:tc>
          <w:tcPr>
            <w:tcW w:w="240" w:type="dxa"/>
            <w:vAlign w:val="bottom"/>
          </w:tcPr>
          <w:p>
            <w:pPr>
              <w:spacing w:after="0"/>
              <w:rPr>
                <w:sz w:val="14"/>
                <w:szCs w:val="14"/>
                <w:color w:val="auto"/>
              </w:rPr>
            </w:pPr>
          </w:p>
        </w:tc>
        <w:tc>
          <w:tcPr>
            <w:tcW w:w="1120" w:type="dxa"/>
            <w:vAlign w:val="bottom"/>
          </w:tcPr>
          <w:p>
            <w:pPr>
              <w:jc w:val="right"/>
              <w:ind w:right="297"/>
              <w:spacing w:after="0"/>
              <w:rPr>
                <w:sz w:val="20"/>
                <w:szCs w:val="20"/>
                <w:color w:val="auto"/>
              </w:rPr>
            </w:pPr>
            <w:r>
              <w:rPr>
                <w:rFonts w:ascii="Arial" w:cs="Arial" w:eastAsia="Arial" w:hAnsi="Arial"/>
                <w:sz w:val="14"/>
                <w:szCs w:val="14"/>
                <w:b w:val="1"/>
                <w:bCs w:val="1"/>
                <w:color w:val="auto"/>
              </w:rPr>
              <w:t>March 29,</w:t>
            </w:r>
          </w:p>
        </w:tc>
        <w:tc>
          <w:tcPr>
            <w:tcW w:w="10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 Increase/(Decrease)</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w w:val="95"/>
              </w:rPr>
              <w:t>% Increase/(Decrease)</w:t>
            </w:r>
          </w:p>
        </w:tc>
      </w:tr>
      <w:tr>
        <w:trPr>
          <w:trHeight w:val="192"/>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16 vs. 15</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15 vs. 14</w:t>
            </w: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solutions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72,434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72,185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70,441</w:t>
            </w:r>
          </w:p>
        </w:tc>
        <w:tc>
          <w:tcPr>
            <w:tcW w:w="16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Equipment and other</w:t>
            </w:r>
          </w:p>
        </w:tc>
        <w:tc>
          <w:tcPr>
            <w:tcW w:w="26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51,944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54,762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61,234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3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r>
      <w:tr>
        <w:trPr>
          <w:trHeight w:val="257"/>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other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124,378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126,947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131,675</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r>
      <w:tr>
        <w:trPr>
          <w:trHeight w:val="20"/>
        </w:trPr>
        <w:tc>
          <w:tcPr>
            <w:tcW w:w="3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Solutions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software solutions revenue includes sales of our information technology software platforms and consulting services.</w:t>
      </w:r>
    </w:p>
    <w:p>
      <w:pPr>
        <w:spacing w:after="0" w:line="131"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Software solutions revenue was flat during fiscal 2016. Without the effects of foreign exchange, software solutions revenue increased 2.7% during fiscal 2016. The growth in software revenues in fiscal 2016 was driven by the finalization of services under a contract with the Department of Defense, the recognition of previously deferred revenue associated with one of our largest customers, BloodTrack growth in Europe, and increased software support service revenue. This growth was partially offset by declines in BloodTrack in the U.S. and lower new system installs in Europe.</w:t>
      </w:r>
    </w:p>
    <w:p>
      <w:pPr>
        <w:spacing w:after="0" w:line="6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Software solutions revenue increased 2.5% during fiscal 2015. Without the effects of foreign exchange, software solutions revenue increased 2.9% during fiscal 2015. During fiscal 2015, software revenue increased due to strong BloodTrack sales in the U.S. and Europe.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&amp; Other</w:t>
      </w:r>
    </w:p>
    <w:p>
      <w:pPr>
        <w:spacing w:after="0" w:line="13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equipment and other revenues include revenue from equipment sales, repairs performed under preventive maintenance contracts or emergency service visits, spare part sales, and various service and training programs. These revenues are primarily composed of equipment sales, which tend to vary from period to period more than our disposable product line due to the timing of order patterns, particularly in our distribution markets.</w:t>
      </w:r>
    </w:p>
    <w:p>
      <w:pPr>
        <w:spacing w:after="0" w:line="7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Equipment and other revenue decreased 5.1% during fiscal 2016. Without the effects of currency exchange, equipment and other revenue decreased 1.9%. The decrease in revenue was primarily due to a rebate assessed by the Italian government and declines in Russia and Japan. The decline in Russia was due to the Russian market suspending all equipment purchasing in fiscal 2016 and the decline in Japan was a result of lower platelet equipment sales. These declines were partially offset by increases in red cell equipment revenue in the U.S. and plasma equipment revenue in Germany.</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Equipment and other revenue decreased 10.6% during fiscal 2015. Without the effect of currency exchange, equipment and other revenue decreased 8.7%.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revenue during fiscal 2015 is due primarily to the impact of order timing and macro-economic conditions in Russia.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2,</w:t>
            </w:r>
          </w:p>
        </w:tc>
        <w:tc>
          <w:tcPr>
            <w:tcW w:w="20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29,</w:t>
            </w: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 Increase/(Decrease)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 Increase/(Decrease)</w:t>
            </w:r>
          </w:p>
        </w:tc>
      </w:tr>
      <w:tr>
        <w:trPr>
          <w:trHeight w:val="192"/>
        </w:trPr>
        <w:tc>
          <w:tcPr>
            <w:tcW w:w="38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1120" w:type="dxa"/>
            <w:vAlign w:val="bottom"/>
          </w:tcPr>
          <w:p>
            <w:pPr>
              <w:jc w:val="right"/>
              <w:ind w:right="47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16 vs. 15</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15 vs. 14</w:t>
            </w:r>
          </w:p>
        </w:tc>
      </w:tr>
      <w:tr>
        <w:trPr>
          <w:trHeight w:val="250"/>
        </w:trPr>
        <w:tc>
          <w:tcPr>
            <w:tcW w:w="3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405,914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434,418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468,365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380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486"/>
        </w:trPr>
        <w:tc>
          <w:tcPr>
            <w:tcW w:w="3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837"/>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gross profit decreased 6.6% during fiscal 2016. Without the effects of foreign exchange, gross profit decreased 2.0% during fiscal 2016. Our gross profit margin percentage decreased by 300 basis points for fiscal 2016 as compared to fiscal 2015. The decrease in the gross profit margin during fiscal 2016 was primarily due to the effect of foreign exchange, inventory related charges of $9.4 million and impairment of assets of $8.8 million. Product mix, including plasma disposables, price reductions in our blood center business, and the amortization of software development costs in the early stages of product launches also negatively impacted gross profit. These declines were partially offset by cost savings from productivity programs, including the VCC initiatives. Gross profit margin continues to be impacted by the inefficiency of underutilized production capacity.</w:t>
      </w:r>
    </w:p>
    <w:p>
      <w:pPr>
        <w:spacing w:after="0" w:line="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gross profit amount decreased 7.2% during fiscal 2015. Without the effects of foreign exchange, gross profit decreased 5.1% during fiscal 2015. Our gross profit margin percentage decreased by 220 basis points for fiscal 2015 as compared to fiscal 2014. The decrease in gross profit margin for the fiscal year ended March 28, 2015 was primarily due to price reductions in the blood collection markets, reduced manufacturing efficiency related to lower whole blood volumes and relatively higher sales from products with lower gross margins. These decreases were partially offset by cost savings from our VCC initiatives implemented during fiscal 2014 and 2015.</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28,</w:t>
            </w:r>
          </w:p>
        </w:tc>
        <w:tc>
          <w:tcPr>
            <w:tcW w:w="24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29,</w:t>
            </w: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 Increase/(Decrease)</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92"/>
              </w:rPr>
              <w:t>% Increase/(Decrease)</w:t>
            </w:r>
          </w:p>
        </w:tc>
      </w:tr>
      <w:tr>
        <w:trPr>
          <w:trHeight w:val="192"/>
        </w:trPr>
        <w:tc>
          <w:tcPr>
            <w:tcW w:w="37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1160" w:type="dxa"/>
            <w:vAlign w:val="bottom"/>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16 vs. 15</w:t>
            </w:r>
          </w:p>
        </w:tc>
        <w:tc>
          <w:tcPr>
            <w:tcW w:w="1480" w:type="dxa"/>
            <w:vAlign w:val="bottom"/>
          </w:tcPr>
          <w:p>
            <w:pPr>
              <w:jc w:val="right"/>
              <w:ind w:right="395"/>
              <w:spacing w:after="0"/>
              <w:rPr>
                <w:sz w:val="20"/>
                <w:szCs w:val="20"/>
                <w:color w:val="auto"/>
              </w:rPr>
            </w:pPr>
            <w:r>
              <w:rPr>
                <w:rFonts w:ascii="Arial" w:cs="Arial" w:eastAsia="Arial" w:hAnsi="Arial"/>
                <w:sz w:val="14"/>
                <w:szCs w:val="14"/>
                <w:b w:val="1"/>
                <w:bCs w:val="1"/>
                <w:color w:val="auto"/>
              </w:rPr>
              <w:t>15 vs. 14</w:t>
            </w:r>
          </w:p>
        </w:tc>
      </w:tr>
      <w:tr>
        <w:trPr>
          <w:trHeight w:val="250"/>
        </w:trPr>
        <w:tc>
          <w:tcPr>
            <w:tcW w:w="3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44,965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54,187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54,200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4.9 %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6.0 %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5.8%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317,223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337,168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365,977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34.9 %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37.0 %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39.0%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92,395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5,441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n/m</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218.0 %</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(income)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(2,918)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62.0 %</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n/m</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449,856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393,878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421,933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49.5 %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43.3 %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1"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Research and development expenses decreased 17.0% during fiscal 2016. Without the effects of foreign exchange, research and development expenses decreased 15.7% during fiscal 2016. The decrease in fiscal 2016 was primarily the result of a reduction in restructuring and transformation costs of $10.9 million, partially offset by increased activities for several projects designed to support our long-term product plans and to increase our competitiveness.</w:t>
      </w:r>
    </w:p>
    <w:p>
      <w:pPr>
        <w:spacing w:after="0" w:line="5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Research and development expenses remained flat during fiscal 2015. Without the effect of the increased restructuring and transformation costs of $2.8 million in fiscal 2015, as compared to the prior year, research and development decreased by approximately 6.0% as a result of reduced program spending related to the whole blood acquisition.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fiscal 2016, selling, general and administrative expenses decreased 5.9%. Without the effects of foreign exchange, selling, general and administrative expenses decreased 2.3% during fiscal 2016. The decrease in fiscal 2016 was primarily the result of reductions in restructuring and transformation costs of $12.8 million and decreased variable compensation. The decrease was partially offset by increased spending in sales and marketing activities related to plasma and increased spending as a result of the extra week in fiscal 2016.</w:t>
      </w:r>
    </w:p>
    <w:p>
      <w:pPr>
        <w:spacing w:after="0" w:line="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fiscal 2015, selling, general and administrative expenses decreased 7.9%. Without the effects of foreign exchange, selling, general and administrative expenses decreased 6.4% during fiscal 2015. The decrease during fiscal 2015 is primarily related to a $20.1 million decrease in restructuring and transformation costs related to VCC initiatives. This decrease was partially offset by our increased commercial investment in plasma and emerging markets and increased variable compensation.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Assets</w:t>
      </w:r>
    </w:p>
    <w:p>
      <w:pPr>
        <w:spacing w:after="0" w:line="13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 xml:space="preserve">We recorded asset impairments of $92.4 million in fiscal 2016 primarily consisting of $66.3 million of goodwill impairment, $19.2 million of intangible asset impairments and $6.9 million of property, plant and equipment impairments, as discussed in the </w:t>
      </w:r>
      <w:r>
        <w:rPr>
          <w:rFonts w:ascii="Arial" w:cs="Arial" w:eastAsia="Arial" w:hAnsi="Arial"/>
          <w:sz w:val="17"/>
          <w:szCs w:val="17"/>
          <w:i w:val="1"/>
          <w:iCs w:val="1"/>
          <w:color w:val="auto"/>
        </w:rPr>
        <w:t>Recent Developments</w:t>
      </w:r>
      <w:r>
        <w:rPr>
          <w:rFonts w:ascii="Arial" w:cs="Arial" w:eastAsia="Arial" w:hAnsi="Arial"/>
          <w:sz w:val="17"/>
          <w:szCs w:val="17"/>
          <w:color w:val="auto"/>
        </w:rPr>
        <w:t xml:space="preserve"> section above.</w:t>
      </w:r>
    </w:p>
    <w:p>
      <w:pPr>
        <w:spacing w:after="0" w:line="52"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We recorded asset impairments of $5.4 million in fiscal 2015 associated with exit activities related to our VCC initiatives and certain research and development programs.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We recorded asset impairments of $1.7 million in the fourth quarter of fiscal 2014 associated with exit activities related to our VCC and integration initiatives.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3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Other expense, net, increased 1.1% during fiscal 2016 as compared to fiscal 2015 and decreased 6.5% during fiscal 2015 as compared to fiscal 2014. Interest expense from our term loan borrowings constitutes the majority of expense reported in all periods. The effective interest rate on total debt outstanding for the fiscal year ended April 2, 2016 was approximately 1.9%.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5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April 2,</w:t>
            </w:r>
          </w:p>
        </w:tc>
        <w:tc>
          <w:tcPr>
            <w:tcW w:w="15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March 28,</w:t>
            </w:r>
          </w:p>
        </w:tc>
        <w:tc>
          <w:tcPr>
            <w:tcW w:w="15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March 29,</w:t>
            </w:r>
          </w:p>
        </w:tc>
        <w:tc>
          <w:tcPr>
            <w:tcW w:w="15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 Increase/(Decrease)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420" w:type="dxa"/>
            <w:vAlign w:val="bottom"/>
          </w:tcPr>
          <w:p>
            <w:pPr>
              <w:jc w:val="right"/>
              <w:ind w:right="48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380" w:type="dxa"/>
            <w:vAlign w:val="bottom"/>
          </w:tcPr>
          <w:p>
            <w:pPr>
              <w:jc w:val="right"/>
              <w:ind w:right="46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380" w:type="dxa"/>
            <w:vAlign w:val="bottom"/>
          </w:tcPr>
          <w:p>
            <w:pPr>
              <w:jc w:val="right"/>
              <w:ind w:right="46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16 vs. 15</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8"/>
              </w:rPr>
              <w:t>15 vs. 14</w:t>
            </w:r>
          </w:p>
        </w:tc>
        <w:tc>
          <w:tcPr>
            <w:tcW w:w="0" w:type="dxa"/>
            <w:vAlign w:val="bottom"/>
          </w:tcPr>
          <w:p>
            <w:pPr>
              <w:spacing w:after="0"/>
              <w:rPr>
                <w:sz w:val="1"/>
                <w:szCs w:val="1"/>
                <w:color w:val="auto"/>
              </w:rPr>
            </w:pPr>
          </w:p>
        </w:tc>
      </w:tr>
      <w:tr>
        <w:trPr>
          <w:trHeight w:val="243"/>
        </w:trPr>
        <w:tc>
          <w:tcPr>
            <w:tcW w:w="38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income tax rate</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38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Reported Tax Rate</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conduct business globally and as a result report our results of operations in a number of foreign jurisdictions and the United States. Historically, our reported tax rate was lower than the U.S. statutory tax rate due primarily to our jurisdictional mix of earnings as the income earned in our foreign subsidiaries is generally taxed at a lower tax rate. In fiscal 2015 we established a valuation allowance against a portion of our U.S. deferred tax assets that are not more-likely-than-not realizable due to cumulative losses in the U.S. In fiscal 2016 we continue to maintain a partial valuation allowance against our net U.S. deferred tax assets and net deferred tax assets of certain foreign subsidiaries.</w:t>
      </w:r>
    </w:p>
    <w:p>
      <w:pPr>
        <w:spacing w:after="0" w:line="18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For the year ended April 2, 2016, we recorded an income tax provision of $2.2 million for our worldwide pre-tax loss of $53.4 million, resulting in a reported tax rate of (4.0)%. Our current tax rate is lower than our tax rates of 45.8% and 3.4% for the years ended March 28, 2015 and March 29, 2014, respectively. Our decrease in tax rate is primarily as a result of domestic losses of $18.1 million and foreign losses of $10.8 million for which no tax benefit can be realized. In addition, we recorded income tax expense related to the amortization of U.S. tax-deductible goodwill, which generates a deferred tax liability that cannot be offset by net operating losses or other deferred tax assets as its reversal is considered indefinite in nature.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28,</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115,123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160,662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302,535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368,985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Net debt position</w:t>
            </w:r>
            <w:r>
              <w:rPr>
                <w:rFonts w:ascii="Arial" w:cs="Arial" w:eastAsia="Arial" w:hAnsi="Arial"/>
                <w:sz w:val="25"/>
                <w:szCs w:val="25"/>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(292,877)</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(267,229)</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Disposables finished goods inventory turnover</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4.3</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Net debt position is the sum of cash and cash equivalents less total debt.</w:t>
      </w:r>
    </w:p>
    <w:p>
      <w:pPr>
        <w:spacing w:after="0" w:line="14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VCC initiatives required cash expenditures for plant closure costs and employee separation benefits, new plant construction and temporary increases in inventory levels as manufacturing is transitioned to new facilities. We paid $51.3 million, $114.3 million and $72.9 million in cash related to restructuring costs, transformation costs and capital expenditures associated with the VCC initiatives during fiscal 2016, 2015 and 2014, respectively. In fiscal 2017, we expect to incur approximately $26 million of restructuring and transformation charges in connection with the first phase of our restructuring program that was launched during the first quarter of fiscal 2017, which is designed to reposition our organization and improve our cost structure.</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April 2, 2016, we had $115.1 million in cash and cash equivalents. We currently have a credit facility which provides for a $475.0 million term loan and a $100.0 million revolving loan. The credit facility matures on July 1, 2019. At April 2, 2016, $358.1 million was outstanding under the term loan and $50.0 million was outstanding on the revolving loan. We also have $45.1 million of uncommitted operating lines of credit to fund our global operations and there are no outstanding borrowings as of April 2, 2016.</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credit facility contains covenants that limit the use of cash and require us to maintain certain financial ratios. Any failure to comply with the financial and or other operating covenants of the credit facility would prevent us from borrowing under the revolving credit facility and would constitute a default, which could result in, among other things, the amounts outstanding including all accrued interest and unpaid fees, becoming immediately due and payable. As of April 2, 2016, we were in compliance with all covenants.</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Our primary sources of liquidity are cash and cash equivalents, internally generated cash flow from operations and option exercises. Although cash flow from operations will be negatively impacted by the trends noted above, we believe these sources are sufficient to fund our cash requirements over at least the next twelve months, which are primarily payments associated with restructuring initiatives, share repurchases, capital expenditures, cash payments under the loan agreement, investments and other acquisitions. These are described in more detail in </w:t>
      </w:r>
      <w:r>
        <w:rPr>
          <w:rFonts w:ascii="Arial" w:cs="Arial" w:eastAsia="Arial" w:hAnsi="Arial"/>
          <w:sz w:val="17"/>
          <w:szCs w:val="17"/>
          <w:i w:val="1"/>
          <w:iCs w:val="1"/>
          <w:color w:val="auto"/>
        </w:rPr>
        <w:t>Contractual Obligations</w:t>
      </w:r>
      <w:r>
        <w:rPr>
          <w:rFonts w:ascii="Arial" w:cs="Arial" w:eastAsia="Arial" w:hAnsi="Arial"/>
          <w:sz w:val="17"/>
          <w:szCs w:val="17"/>
          <w:color w:val="auto"/>
        </w:rPr>
        <w:t xml:space="preserve"> below.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Overview: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2,</w:t>
            </w:r>
          </w:p>
        </w:tc>
        <w:tc>
          <w:tcPr>
            <w:tcW w:w="24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28,</w:t>
            </w:r>
          </w:p>
        </w:tc>
        <w:tc>
          <w:tcPr>
            <w:tcW w:w="220" w:type="dxa"/>
            <w:vAlign w:val="bottom"/>
          </w:tcPr>
          <w:p>
            <w:pPr>
              <w:spacing w:after="0"/>
              <w:rPr>
                <w:sz w:val="14"/>
                <w:szCs w:val="14"/>
                <w:color w:val="auto"/>
              </w:rPr>
            </w:pPr>
          </w:p>
        </w:tc>
        <w:tc>
          <w:tcPr>
            <w:tcW w:w="1140" w:type="dxa"/>
            <w:vAlign w:val="bottom"/>
          </w:tcPr>
          <w:p>
            <w:pPr>
              <w:jc w:val="right"/>
              <w:ind w:right="295"/>
              <w:spacing w:after="0"/>
              <w:rPr>
                <w:sz w:val="20"/>
                <w:szCs w:val="20"/>
                <w:color w:val="auto"/>
              </w:rPr>
            </w:pPr>
            <w:r>
              <w:rPr>
                <w:rFonts w:ascii="Arial" w:cs="Arial" w:eastAsia="Arial" w:hAnsi="Arial"/>
                <w:sz w:val="14"/>
                <w:szCs w:val="14"/>
                <w:b w:val="1"/>
                <w:bCs w:val="1"/>
                <w:color w:val="auto"/>
              </w:rPr>
              <w:t>March 29,</w:t>
            </w:r>
          </w:p>
        </w:tc>
        <w:tc>
          <w:tcPr>
            <w:tcW w:w="100" w:type="dxa"/>
            <w:vAlign w:val="bottom"/>
          </w:tcPr>
          <w:p>
            <w:pPr>
              <w:spacing w:after="0"/>
              <w:rPr>
                <w:sz w:val="14"/>
                <w:szCs w:val="14"/>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Increase/(Decrease)</w:t>
            </w:r>
          </w:p>
        </w:tc>
        <w:tc>
          <w:tcPr>
            <w:tcW w:w="13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3"/>
              </w:rPr>
              <w:t>Increase/(Decrease)</w:t>
            </w:r>
          </w:p>
        </w:tc>
        <w:tc>
          <w:tcPr>
            <w:tcW w:w="0" w:type="dxa"/>
            <w:vAlign w:val="bottom"/>
          </w:tcPr>
          <w:p>
            <w:pPr>
              <w:spacing w:after="0"/>
              <w:rPr>
                <w:sz w:val="1"/>
                <w:szCs w:val="1"/>
                <w:color w:val="auto"/>
              </w:rPr>
            </w:pPr>
          </w:p>
        </w:tc>
      </w:tr>
      <w:tr>
        <w:trPr>
          <w:trHeight w:val="192"/>
        </w:trPr>
        <w:tc>
          <w:tcPr>
            <w:tcW w:w="41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1140" w:type="dxa"/>
            <w:vAlign w:val="bottom"/>
          </w:tcPr>
          <w:p>
            <w:pPr>
              <w:jc w:val="right"/>
              <w:ind w:right="47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16 vs. 15</w:t>
            </w:r>
          </w:p>
        </w:tc>
        <w:tc>
          <w:tcPr>
            <w:tcW w:w="260" w:type="dxa"/>
            <w:vAlign w:val="bottom"/>
          </w:tcPr>
          <w:p>
            <w:pPr>
              <w:spacing w:after="0"/>
              <w:rPr>
                <w:sz w:val="16"/>
                <w:szCs w:val="16"/>
                <w:color w:val="auto"/>
              </w:rPr>
            </w:pPr>
          </w:p>
        </w:tc>
        <w:tc>
          <w:tcPr>
            <w:tcW w:w="1100" w:type="dxa"/>
            <w:vAlign w:val="bottom"/>
          </w:tcPr>
          <w:p>
            <w:pPr>
              <w:jc w:val="right"/>
              <w:ind w:right="334"/>
              <w:spacing w:after="0"/>
              <w:rPr>
                <w:sz w:val="20"/>
                <w:szCs w:val="20"/>
                <w:color w:val="auto"/>
              </w:rPr>
            </w:pPr>
            <w:r>
              <w:rPr>
                <w:rFonts w:ascii="Arial" w:cs="Arial" w:eastAsia="Arial" w:hAnsi="Arial"/>
                <w:sz w:val="14"/>
                <w:szCs w:val="14"/>
                <w:b w:val="1"/>
                <w:bCs w:val="1"/>
                <w:color w:val="auto"/>
              </w:rPr>
              <w:t>15 vs. 14</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121,865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127,178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139,524</w:t>
            </w:r>
          </w:p>
        </w:tc>
        <w:tc>
          <w:tcPr>
            <w:tcW w:w="3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(5,313)</w:t>
            </w:r>
          </w:p>
        </w:tc>
        <w:tc>
          <w:tcPr>
            <w:tcW w:w="12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(12,346)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15,938</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(62,624)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29,464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12,461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Effect of exchange rate changes on cash and cash</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180"/>
              <w:spacing w:after="0" w:line="257" w:lineRule="exact"/>
              <w:rPr>
                <w:sz w:val="20"/>
                <w:szCs w:val="20"/>
                <w:color w:val="auto"/>
              </w:rPr>
            </w:pPr>
            <w:r>
              <w:rPr>
                <w:rFonts w:ascii="Arial" w:cs="Arial" w:eastAsia="Arial" w:hAnsi="Arial"/>
                <w:sz w:val="18"/>
                <w:szCs w:val="18"/>
                <w:color w:val="auto"/>
              </w:rPr>
              <w:t>equivalents</w:t>
            </w:r>
            <w:r>
              <w:rPr>
                <w:rFonts w:ascii="Arial" w:cs="Arial" w:eastAsia="Arial" w:hAnsi="Arial"/>
                <w:sz w:val="25"/>
                <w:szCs w:val="25"/>
                <w:color w:val="auto"/>
                <w:vertAlign w:val="superscript"/>
              </w:rPr>
              <w:t>(1)</w:t>
            </w:r>
          </w:p>
        </w:tc>
        <w:tc>
          <w:tcPr>
            <w:tcW w:w="2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4,045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w w:val="88"/>
              </w:rPr>
              <w:t>Net (decrease)/increase in cash and cash equivalents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(45,539)</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(31,807)</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13,349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660" w:right="60"/>
        <w:spacing w:after="0" w:line="252" w:lineRule="auto"/>
        <w:rPr>
          <w:sz w:val="20"/>
          <w:szCs w:val="20"/>
          <w:color w:val="auto"/>
        </w:rPr>
      </w:pPr>
      <w:r>
        <w:rPr>
          <w:rFonts w:ascii="Arial" w:cs="Arial" w:eastAsia="Arial" w:hAnsi="Arial"/>
          <w:sz w:val="22"/>
          <w:szCs w:val="22"/>
          <w:color w:val="auto"/>
          <w:vertAlign w:val="superscript"/>
        </w:rPr>
        <w:t>(1)</w:t>
      </w:r>
      <w:r>
        <w:rPr>
          <w:rFonts w:ascii="Arial" w:cs="Arial" w:eastAsia="Arial" w:hAnsi="Arial"/>
          <w:sz w:val="16"/>
          <w:szCs w:val="16"/>
          <w:color w:val="auto"/>
        </w:rPr>
        <w:t>The balance sheet is affected by spot exchange rates used to translate local currency amounts into U.S. dollars. In accordance with U.S. GAAP, we have eliminated the effect of foreign currency throughout our cash flow statement, except for its effect on our cash and cash equivalents.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Net cash provided by operating activities was $121.9 million during fiscal 2016, a decrease of $5.3 million as compared to fiscal 2015. Cash provided by operating activities decreased primarily due to a working capital outflow. The working capital outflow was primarily attributable to a decrease in accounts payable and accrued expenses, driven largely by a reduction in restructuring reserves, accrued bonuses, accruals related to the construction of facilities and licensing agreements, and a decrease in accrued payroll due to the 53rd week. Also contributing to the reduction in cash provided by operating activities was an increase in accounts receivable from fiscal 2015 to fiscal 2016. The decrease in cash provided by operating activities was partially offset by lower inventory driven by our global strategic review, which included a global inventory reduction initiative during fiscal 2016.</w:t>
      </w:r>
    </w:p>
    <w:p>
      <w:pPr>
        <w:spacing w:after="0" w:line="17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Net cash provided by operating activities was $127.2 million during fiscal 2015, a decrease of $12.3 million as compared to fiscal 2014 primarily due to lower earnings.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cash used in investing activities was $104.8 million during fiscal 2016, a decrease of $17.0 million as compared to fiscal 2015. The decrease in cash used in investing activities was the result of a reduction in capital expenditures in fiscal 2016 related to manufacturing operations under construction in Malaysia and Tijuana, which have been substantially completed. During fiscal 2015, cash used in investing activities included significant costs related to plant construction activities in Malaysia and Tijuana and the purchase of two previously leased facilities, our manufacturing facility in Salt Lake City and an administrative office at our corporate headquarters in Braintree, Massachusetts.</w:t>
      </w:r>
    </w:p>
    <w:p>
      <w:pPr>
        <w:spacing w:after="0" w:line="18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Net cash used in investing activities was $121.8 million during fiscal 2015, an increase of $15.9 million as compared to fiscal 2014 primarily due to $122.2 million of capital expenditures including $44.9 million related to our manufacturing network transformation activities. The increase was partially offset by a reduction in acquisition related investments of $32.7 million in fiscal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Net cash used in financing activities was $62.6 million during fiscal 2016, an increase of $29.5 million as compared to fiscal 2015 primarily due to $61.0 million of share repurchases during fiscal 2016 compared to $39.0 million of share repurchases during fiscal 2015. Higher term loan payments of $12.8 million also contributed to the increase. This was partially offset by an increase in short-term loans and an increase in proceeds from the exercise of stock options.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cash used in financing activities was $33.2 million during fiscal 2015, a decrease of $12.5 million as compared to fiscal 2014 primarily due to $39.0 million used to repurchase approximately 1.2 million shares of common stock. The increase was partially offset by reduced payments towards the term loan in fiscal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contractual and commercial commitments as of April 2, 2016,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Payments Due by Period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Less than 1 year</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1-3 years</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3-5 years</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2"/>
              </w:rPr>
              <w:t>More than 5 years</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408,000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43,471</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195,980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168,549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20,822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4,845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6,306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3,528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6,143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Purchase commitments*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103,316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98,607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Expected retirement plan benefit payments</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16,253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1,746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3,065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3,570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7,872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related commitments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8,568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Total contractual obligations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557,629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157,237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210,730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175,647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14,015</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500" w:right="140" w:hanging="258"/>
        <w:spacing w:after="0" w:line="259"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amounts we are committed to spend on purchase orders entered in the normal course of business for capital equipment and for the purpose of manufacturing our products including contract manufacturers, specifically JMS Co. Ltd., Kawasumi Laboratories and Sanmina Corporation for the manufacture of certain disposable products and equipment. The majority of our operating expense spending does not require any advance commitment.</w:t>
      </w:r>
    </w:p>
    <w:p>
      <w:pPr>
        <w:spacing w:after="0" w:line="11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above table does not reflect our long-term liabilities associated with unrecognized tax benefits of $2.3 million recorded in accordance with ASC Topic 740, Income Taxes. We cannot reasonably make a reliable estimate of the period in which we expect to settle these long-term liabilities due to factors outside of our control, such as tax examinations.</w:t>
      </w:r>
    </w:p>
    <w:p>
      <w:pPr>
        <w:spacing w:after="0" w:line="2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anticipate paying an additional $17.8 million upon replication and delivery of certain manufacturing assets of Pall's filter media business to Haemonetics by fiscal 2018.</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3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Payment is dependent upon the financial stability and creditworthiness of those countries' national economies.</w:t>
      </w:r>
    </w:p>
    <w:p>
      <w:pPr>
        <w:spacing w:after="0" w:line="18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Although we have not incurred significant losses on government receivables to date, we continually evaluate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31"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We are presently engaged in various legal actions, and although our ultimate liability cannot be determined at the present time, we believe, based on consultation with counsel, that any such liability will not materially affect our consolidated financial position or our results of operations.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Italian Employment Litigation</w:t>
      </w:r>
    </w:p>
    <w:p>
      <w:pPr>
        <w:spacing w:after="0" w:line="30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Italian manufacturing subsidiary is party to several actions initiated by employees of the facility in Ascoli-Piceno, Italy where we have ceased manufacturing operations. These include actions claiming (i) working conditions and minimum salaries should have been established by either a different classification under their national collective bargaining agreement or a different agreement altogether, (ii) certain solidarity agreements, which are arrangements between the Company, employees and the government to continue full pay and benefits for employees who would otherwise be terminated in times of low demand, are void, and (iii) payment of the extra time used for changing into and out of the working clothes at the beginning and end of each shift.</w:t>
      </w:r>
    </w:p>
    <w:p>
      <w:pPr>
        <w:spacing w:after="0" w:line="22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addition, a union represented in the Ascoli plant has filed an action claiming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Finally, we have been added as defendants on claims filed against Pall Corporation prior to our acquisition of the plant in August 2012. These claims relate to agreements to "freeze" benefit allowances for a certain period in exchange for Pall's commitments on hiring and plant investment.</w:t>
      </w:r>
    </w:p>
    <w:p>
      <w:pPr>
        <w:spacing w:after="0" w:line="17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As of April 2, 2016, the total amount of damages claimed by the plaintiffs in these matters is approximately $4.6 million; however, it is not possible at this point in the proceedings to accurately evaluate the likelihood or amount of any potential losses. We may receive other similar claims in the future.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13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fiscal 2016, 42.9%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British Pounds, Canadian Dollars and Mexican Pesos. The Yen, Euro, Yuan and Australian Dollar sales exposure is partially mitigated by costs and expenses for foreign operations and sourcing products denominated in foreign currencies. 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British Pounds, Canadian Dollars and Mexican Pesos,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2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British Pounds, Australian Dollars, Canadian Dollars and Mexican Pesos. This does not eliminate the volatility of foreign exchange rates, but because we generally enter into forward contracts one year out, rates are fixed for a one-year period, thereby facilitating financial planning and resource allocation.</w:t>
      </w:r>
    </w:p>
    <w:p>
      <w:pPr>
        <w:spacing w:after="0" w:line="22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These contracts are designated as cash flow hedges. The final impact of currency fluctuations on the results of operations is dependent on the local currency amounts hedged and the actual local currency results.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130" w:right="29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Presented below are the spot rates for our Euro, Japanese Yen, Australian Dollar, Canadian Dollar, British Pound, Swiss Franc and Mexican Peso cash flow hedges that settled during fiscal years 2014, 2015 and 2016 or are presently outstanding. These hedges cover our long foreign currency positions that result from our sales designated in Euro, Japanese Yen and Australian Dollars. These hedges include our short positions associated with costs incurred in Canadian Dollars, British Pounds, Swiss Francs and Mexican Pesos. The table shows how the strengthening or weakening of the spot rates associated with those hedge contracts versus the spot rates in the contracts that settled in the prior comparable period affects our results favorably or unfavorably. The table assumes a consistent notional amount for hedge contracts in each period presented.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rPr>
              <w:t>First</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Favorable /</w:t>
            </w:r>
          </w:p>
        </w:tc>
        <w:tc>
          <w:tcPr>
            <w:tcW w:w="1180" w:type="dxa"/>
            <w:vAlign w:val="bottom"/>
            <w:gridSpan w:val="2"/>
          </w:tcPr>
          <w:p>
            <w:pPr>
              <w:ind w:left="320"/>
              <w:spacing w:after="0"/>
              <w:rPr>
                <w:sz w:val="20"/>
                <w:szCs w:val="20"/>
                <w:color w:val="auto"/>
              </w:rPr>
            </w:pPr>
            <w:r>
              <w:rPr>
                <w:rFonts w:ascii="Arial" w:cs="Arial" w:eastAsia="Arial" w:hAnsi="Arial"/>
                <w:sz w:val="14"/>
                <w:szCs w:val="14"/>
                <w:color w:val="auto"/>
              </w:rPr>
              <w:t>Second</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Favorable /</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Third</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Favorable /</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Fourth</w:t>
            </w:r>
          </w:p>
        </w:tc>
        <w:tc>
          <w:tcPr>
            <w:tcW w:w="1260" w:type="dxa"/>
            <w:vAlign w:val="bottom"/>
          </w:tcPr>
          <w:p>
            <w:pPr>
              <w:jc w:val="right"/>
              <w:ind w:right="216"/>
              <w:spacing w:after="0"/>
              <w:rPr>
                <w:sz w:val="20"/>
                <w:szCs w:val="20"/>
                <w:color w:val="auto"/>
              </w:rPr>
            </w:pPr>
            <w:r>
              <w:rPr>
                <w:rFonts w:ascii="Arial" w:cs="Arial" w:eastAsia="Arial" w:hAnsi="Arial"/>
                <w:sz w:val="14"/>
                <w:szCs w:val="14"/>
                <w:color w:val="auto"/>
              </w:rPr>
              <w:t>Favorable /</w:t>
            </w:r>
          </w:p>
        </w:tc>
      </w:tr>
      <w:tr>
        <w:trPr>
          <w:trHeight w:val="188"/>
        </w:trPr>
        <w:tc>
          <w:tcPr>
            <w:tcW w:w="1340" w:type="dxa"/>
            <w:vAlign w:val="bottom"/>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Quarter</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(Unfavorable)</w:t>
            </w:r>
          </w:p>
        </w:tc>
        <w:tc>
          <w:tcPr>
            <w:tcW w:w="1180" w:type="dxa"/>
            <w:vAlign w:val="bottom"/>
            <w:gridSpan w:val="2"/>
          </w:tcPr>
          <w:p>
            <w:pPr>
              <w:ind w:left="320"/>
              <w:spacing w:after="0"/>
              <w:rPr>
                <w:sz w:val="20"/>
                <w:szCs w:val="20"/>
                <w:color w:val="auto"/>
              </w:rPr>
            </w:pPr>
            <w:r>
              <w:rPr>
                <w:rFonts w:ascii="Arial" w:cs="Arial" w:eastAsia="Arial" w:hAnsi="Arial"/>
                <w:sz w:val="14"/>
                <w:szCs w:val="14"/>
                <w:color w:val="auto"/>
              </w:rPr>
              <w:t>Quarter</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(Unfavorable)</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Quarter</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(Unfavorable)</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Quarter</w:t>
            </w:r>
          </w:p>
        </w:tc>
        <w:tc>
          <w:tcPr>
            <w:tcW w:w="1260" w:type="dxa"/>
            <w:vAlign w:val="bottom"/>
          </w:tcPr>
          <w:p>
            <w:pPr>
              <w:jc w:val="right"/>
              <w:ind w:right="136"/>
              <w:spacing w:after="0"/>
              <w:rPr>
                <w:sz w:val="20"/>
                <w:szCs w:val="20"/>
                <w:color w:val="auto"/>
              </w:rPr>
            </w:pPr>
            <w:r>
              <w:rPr>
                <w:rFonts w:ascii="Arial" w:cs="Arial" w:eastAsia="Arial" w:hAnsi="Arial"/>
                <w:sz w:val="14"/>
                <w:szCs w:val="14"/>
                <w:color w:val="auto"/>
              </w:rPr>
              <w:t>(Unfavorable)</w:t>
            </w:r>
          </w:p>
        </w:tc>
      </w:tr>
      <w:tr>
        <w:trPr>
          <w:trHeight w:val="236"/>
        </w:trPr>
        <w:tc>
          <w:tcPr>
            <w:tcW w:w="1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Sales Hedges</w:t>
            </w: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880" w:type="dxa"/>
            <w:vAlign w:val="bottom"/>
            <w:gridSpan w:val="5"/>
          </w:tcPr>
          <w:p>
            <w:pPr>
              <w:ind w:left="220"/>
              <w:spacing w:after="0"/>
              <w:rPr>
                <w:sz w:val="20"/>
                <w:szCs w:val="20"/>
                <w:color w:val="auto"/>
              </w:rPr>
            </w:pPr>
            <w:r>
              <w:rPr>
                <w:rFonts w:ascii="Arial" w:cs="Arial" w:eastAsia="Arial" w:hAnsi="Arial"/>
                <w:sz w:val="18"/>
                <w:szCs w:val="18"/>
                <w:b w:val="1"/>
                <w:bCs w:val="1"/>
                <w:color w:val="auto"/>
              </w:rPr>
              <w:t>Euro - Hedge Spot Rate (USD per Euro)</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1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FY14</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340" w:type="dxa"/>
            <w:vAlign w:val="bottom"/>
          </w:tcPr>
          <w:p>
            <w:pPr>
              <w:ind w:left="220"/>
              <w:spacing w:after="0"/>
              <w:rPr>
                <w:sz w:val="20"/>
                <w:szCs w:val="20"/>
                <w:color w:val="auto"/>
              </w:rPr>
            </w:pPr>
            <w:r>
              <w:rPr>
                <w:rFonts w:ascii="Arial" w:cs="Arial" w:eastAsia="Arial" w:hAnsi="Arial"/>
                <w:sz w:val="18"/>
                <w:szCs w:val="18"/>
                <w:color w:val="auto"/>
              </w:rPr>
              <w:t>FY15</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1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FY16</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1340" w:type="dxa"/>
            <w:vAlign w:val="bottom"/>
          </w:tcPr>
          <w:p>
            <w:pPr>
              <w:ind w:left="220"/>
              <w:spacing w:after="0"/>
              <w:rPr>
                <w:sz w:val="20"/>
                <w:szCs w:val="20"/>
                <w:color w:val="auto"/>
              </w:rPr>
            </w:pPr>
            <w:r>
              <w:rPr>
                <w:rFonts w:ascii="Arial" w:cs="Arial" w:eastAsia="Arial" w:hAnsi="Arial"/>
                <w:sz w:val="18"/>
                <w:szCs w:val="18"/>
                <w:color w:val="auto"/>
              </w:rPr>
              <w:t>FY17</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Japanese Yen - Hedge Spot Rate (JPY per USD)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ind w:left="220"/>
              <w:spacing w:after="0"/>
              <w:rPr>
                <w:sz w:val="20"/>
                <w:szCs w:val="20"/>
                <w:color w:val="auto"/>
              </w:rPr>
            </w:pPr>
            <w:r>
              <w:rPr>
                <w:rFonts w:ascii="Arial" w:cs="Arial" w:eastAsia="Arial" w:hAnsi="Arial"/>
                <w:sz w:val="18"/>
                <w:szCs w:val="18"/>
                <w:color w:val="auto"/>
              </w:rPr>
              <w:t>FY14</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79.85</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(1)%</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79.68</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84.32</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(9)%</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93.92</w:t>
            </w: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1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FY15</w:t>
            </w:r>
          </w:p>
        </w:tc>
        <w:tc>
          <w:tcPr>
            <w:tcW w:w="1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97.16</w:t>
            </w:r>
          </w:p>
        </w:tc>
        <w:tc>
          <w:tcPr>
            <w:tcW w:w="12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(22)%</w:t>
            </w:r>
          </w:p>
        </w:tc>
        <w:tc>
          <w:tcPr>
            <w:tcW w:w="13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98.18</w:t>
            </w:r>
          </w:p>
        </w:tc>
        <w:tc>
          <w:tcPr>
            <w:tcW w:w="12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(23)%</w:t>
            </w:r>
          </w:p>
        </w:tc>
        <w:tc>
          <w:tcPr>
            <w:tcW w:w="13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101.09</w:t>
            </w: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(20)%</w:t>
            </w:r>
          </w:p>
        </w:tc>
        <w:tc>
          <w:tcPr>
            <w:tcW w:w="13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102.44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1220" w:type="dxa"/>
            <w:vAlign w:val="bottom"/>
          </w:tcPr>
          <w:p>
            <w:pPr>
              <w:ind w:left="220"/>
              <w:spacing w:after="0"/>
              <w:rPr>
                <w:sz w:val="20"/>
                <w:szCs w:val="20"/>
                <w:color w:val="auto"/>
              </w:rPr>
            </w:pPr>
            <w:r>
              <w:rPr>
                <w:rFonts w:ascii="Arial" w:cs="Arial" w:eastAsia="Arial" w:hAnsi="Arial"/>
                <w:sz w:val="18"/>
                <w:szCs w:val="18"/>
                <w:color w:val="auto"/>
              </w:rPr>
              <w:t>FY16</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102.05</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106.84</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(9)%</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118.46</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(17)%</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117.25</w:t>
            </w: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1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1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FY17</w:t>
            </w:r>
          </w:p>
        </w:tc>
        <w:tc>
          <w:tcPr>
            <w:tcW w:w="1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124.07</w:t>
            </w: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(22)%</w:t>
            </w:r>
          </w:p>
        </w:tc>
        <w:tc>
          <w:tcPr>
            <w:tcW w:w="13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122.18</w:t>
            </w: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w:t>
            </w:r>
          </w:p>
        </w:tc>
        <w:tc>
          <w:tcPr>
            <w:tcW w:w="13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122.99</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w:t>
            </w:r>
          </w:p>
        </w:tc>
        <w:tc>
          <w:tcPr>
            <w:tcW w:w="13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113.55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12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Australian Dollar - Hedge Spot Rate (USD per AUD)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FY14</w:t>
            </w:r>
          </w:p>
        </w:tc>
        <w:tc>
          <w:tcPr>
            <w:tcW w:w="11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0.92</w:t>
            </w: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0.91</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0.92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1700" w:type="dxa"/>
            <w:vAlign w:val="bottom"/>
          </w:tcPr>
          <w:p>
            <w:pPr>
              <w:ind w:left="220"/>
              <w:spacing w:after="0"/>
              <w:rPr>
                <w:sz w:val="20"/>
                <w:szCs w:val="20"/>
                <w:color w:val="auto"/>
              </w:rPr>
            </w:pPr>
            <w:r>
              <w:rPr>
                <w:rFonts w:ascii="Arial" w:cs="Arial" w:eastAsia="Arial" w:hAnsi="Arial"/>
                <w:sz w:val="18"/>
                <w:szCs w:val="18"/>
                <w:color w:val="auto"/>
              </w:rPr>
              <w:t>FY15</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0.90</w:t>
            </w:r>
          </w:p>
        </w:tc>
        <w:tc>
          <w:tcPr>
            <w:tcW w:w="1580" w:type="dxa"/>
            <w:vAlign w:val="bottom"/>
          </w:tcPr>
          <w:p>
            <w:pPr>
              <w:jc w:val="right"/>
              <w:ind w:right="570"/>
              <w:spacing w:after="0"/>
              <w:rPr>
                <w:sz w:val="20"/>
                <w:szCs w:val="20"/>
                <w:color w:val="auto"/>
              </w:rPr>
            </w:pPr>
            <w:r>
              <w:rPr>
                <w:rFonts w:ascii="Arial" w:cs="Arial" w:eastAsia="Arial" w:hAnsi="Arial"/>
                <w:sz w:val="18"/>
                <w:szCs w:val="18"/>
                <w:color w:val="auto"/>
              </w:rPr>
              <w:t>— %</w:t>
            </w:r>
          </w:p>
        </w:tc>
        <w:tc>
          <w:tcPr>
            <w:tcW w:w="960" w:type="dxa"/>
            <w:vAlign w:val="bottom"/>
          </w:tcPr>
          <w:p>
            <w:pPr>
              <w:jc w:val="right"/>
              <w:ind w:right="410"/>
              <w:spacing w:after="0"/>
              <w:rPr>
                <w:sz w:val="20"/>
                <w:szCs w:val="20"/>
                <w:color w:val="auto"/>
              </w:rPr>
            </w:pPr>
            <w:r>
              <w:rPr>
                <w:rFonts w:ascii="Arial" w:cs="Arial" w:eastAsia="Arial" w:hAnsi="Arial"/>
                <w:sz w:val="18"/>
                <w:szCs w:val="18"/>
                <w:color w:val="auto"/>
              </w:rPr>
              <w:t>0.94</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3 %</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0.94</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3 %</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0.90</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FY16</w:t>
            </w:r>
          </w:p>
        </w:tc>
        <w:tc>
          <w:tcPr>
            <w:tcW w:w="1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0.94</w:t>
            </w:r>
          </w:p>
        </w:tc>
        <w:tc>
          <w:tcPr>
            <w:tcW w:w="15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4 %</w:t>
            </w:r>
          </w:p>
        </w:tc>
        <w:tc>
          <w:tcPr>
            <w:tcW w:w="9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0.91</w:t>
            </w:r>
          </w:p>
        </w:tc>
        <w:tc>
          <w:tcPr>
            <w:tcW w:w="13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w:t>
            </w:r>
          </w:p>
        </w:tc>
        <w:tc>
          <w:tcPr>
            <w:tcW w:w="12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0.85</w:t>
            </w:r>
          </w:p>
        </w:tc>
        <w:tc>
          <w:tcPr>
            <w:tcW w:w="1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w:t>
            </w:r>
          </w:p>
        </w:tc>
        <w:tc>
          <w:tcPr>
            <w:tcW w:w="12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0.79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1700" w:type="dxa"/>
            <w:vAlign w:val="bottom"/>
          </w:tcPr>
          <w:p>
            <w:pPr>
              <w:ind w:left="220"/>
              <w:spacing w:after="0"/>
              <w:rPr>
                <w:sz w:val="20"/>
                <w:szCs w:val="20"/>
                <w:color w:val="auto"/>
              </w:rPr>
            </w:pPr>
            <w:r>
              <w:rPr>
                <w:rFonts w:ascii="Arial" w:cs="Arial" w:eastAsia="Arial" w:hAnsi="Arial"/>
                <w:sz w:val="18"/>
                <w:szCs w:val="18"/>
                <w:color w:val="auto"/>
              </w:rPr>
              <w:t>FY17</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0.76</w:t>
            </w:r>
          </w:p>
        </w:tc>
        <w:tc>
          <w:tcPr>
            <w:tcW w:w="1580" w:type="dxa"/>
            <w:vAlign w:val="bottom"/>
          </w:tcPr>
          <w:p>
            <w:pPr>
              <w:jc w:val="right"/>
              <w:ind w:right="570"/>
              <w:spacing w:after="0"/>
              <w:rPr>
                <w:sz w:val="20"/>
                <w:szCs w:val="20"/>
                <w:color w:val="auto"/>
              </w:rPr>
            </w:pPr>
            <w:r>
              <w:rPr>
                <w:rFonts w:ascii="Arial" w:cs="Arial" w:eastAsia="Arial" w:hAnsi="Arial"/>
                <w:sz w:val="18"/>
                <w:szCs w:val="18"/>
                <w:color w:val="auto"/>
              </w:rPr>
              <w:t>(18)%</w:t>
            </w:r>
          </w:p>
        </w:tc>
        <w:tc>
          <w:tcPr>
            <w:tcW w:w="960" w:type="dxa"/>
            <w:vAlign w:val="bottom"/>
          </w:tcPr>
          <w:p>
            <w:pPr>
              <w:jc w:val="right"/>
              <w:ind w:right="410"/>
              <w:spacing w:after="0"/>
              <w:rPr>
                <w:sz w:val="20"/>
                <w:szCs w:val="20"/>
                <w:color w:val="auto"/>
              </w:rPr>
            </w:pPr>
            <w:r>
              <w:rPr>
                <w:rFonts w:ascii="Arial" w:cs="Arial" w:eastAsia="Arial" w:hAnsi="Arial"/>
                <w:sz w:val="18"/>
                <w:szCs w:val="18"/>
                <w:color w:val="auto"/>
              </w:rPr>
              <w:t>0.73</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(20)%</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0.72</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(15)%</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0.75</w:t>
            </w: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567"/>
        </w:trPr>
        <w:tc>
          <w:tcPr>
            <w:tcW w:w="1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Hedges</w:t>
            </w:r>
          </w:p>
        </w:tc>
        <w:tc>
          <w:tcPr>
            <w:tcW w:w="1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4380" w:type="dxa"/>
            <w:vAlign w:val="bottom"/>
            <w:gridSpan w:val="3"/>
          </w:tcPr>
          <w:p>
            <w:pPr>
              <w:spacing w:after="0"/>
              <w:rPr>
                <w:sz w:val="2"/>
                <w:szCs w:val="2"/>
                <w:color w:val="auto"/>
              </w:rPr>
            </w:pPr>
          </w:p>
        </w:tc>
        <w:tc>
          <w:tcPr>
            <w:tcW w:w="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3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w w:val="96"/>
              </w:rPr>
              <w:t>Canadian Dollar - Hedge Spot Rate (CAD per USD)</w:t>
            </w:r>
          </w:p>
        </w:tc>
        <w:tc>
          <w:tcPr>
            <w:tcW w:w="9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1700" w:type="dxa"/>
            <w:vAlign w:val="bottom"/>
          </w:tcPr>
          <w:p>
            <w:pPr>
              <w:ind w:left="220"/>
              <w:spacing w:after="0"/>
              <w:rPr>
                <w:sz w:val="20"/>
                <w:szCs w:val="20"/>
                <w:color w:val="auto"/>
              </w:rPr>
            </w:pPr>
            <w:r>
              <w:rPr>
                <w:rFonts w:ascii="Arial" w:cs="Arial" w:eastAsia="Arial" w:hAnsi="Arial"/>
                <w:sz w:val="18"/>
                <w:szCs w:val="18"/>
                <w:color w:val="auto"/>
              </w:rPr>
              <w:t>FY14</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1.01</w:t>
            </w:r>
          </w:p>
        </w:tc>
        <w:tc>
          <w:tcPr>
            <w:tcW w:w="1580" w:type="dxa"/>
            <w:vAlign w:val="bottom"/>
          </w:tcPr>
          <w:p>
            <w:pPr>
              <w:jc w:val="right"/>
              <w:ind w:right="570"/>
              <w:spacing w:after="0"/>
              <w:rPr>
                <w:sz w:val="20"/>
                <w:szCs w:val="20"/>
                <w:color w:val="auto"/>
              </w:rPr>
            </w:pPr>
            <w:r>
              <w:rPr>
                <w:rFonts w:ascii="Arial" w:cs="Arial" w:eastAsia="Arial" w:hAnsi="Arial"/>
                <w:sz w:val="18"/>
                <w:szCs w:val="18"/>
                <w:color w:val="auto"/>
              </w:rPr>
              <w:t>3 %</w:t>
            </w:r>
          </w:p>
        </w:tc>
        <w:tc>
          <w:tcPr>
            <w:tcW w:w="960" w:type="dxa"/>
            <w:vAlign w:val="bottom"/>
          </w:tcPr>
          <w:p>
            <w:pPr>
              <w:jc w:val="right"/>
              <w:ind w:right="410"/>
              <w:spacing w:after="0"/>
              <w:rPr>
                <w:sz w:val="20"/>
                <w:szCs w:val="20"/>
                <w:color w:val="auto"/>
              </w:rPr>
            </w:pPr>
            <w:r>
              <w:rPr>
                <w:rFonts w:ascii="Arial" w:cs="Arial" w:eastAsia="Arial" w:hAnsi="Arial"/>
                <w:sz w:val="18"/>
                <w:szCs w:val="18"/>
                <w:color w:val="auto"/>
              </w:rPr>
              <w:t>1.00</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1 %</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1.00</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1.01</w:t>
            </w:r>
          </w:p>
        </w:tc>
        <w:tc>
          <w:tcPr>
            <w:tcW w:w="9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FY15</w:t>
            </w:r>
          </w:p>
        </w:tc>
        <w:tc>
          <w:tcPr>
            <w:tcW w:w="1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1.08</w:t>
            </w:r>
          </w:p>
        </w:tc>
        <w:tc>
          <w:tcPr>
            <w:tcW w:w="13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8 %</w:t>
            </w:r>
          </w:p>
        </w:tc>
        <w:tc>
          <w:tcPr>
            <w:tcW w:w="12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1.09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1700" w:type="dxa"/>
            <w:vAlign w:val="bottom"/>
          </w:tcPr>
          <w:p>
            <w:pPr>
              <w:ind w:left="220"/>
              <w:spacing w:after="0"/>
              <w:rPr>
                <w:sz w:val="20"/>
                <w:szCs w:val="20"/>
                <w:color w:val="auto"/>
              </w:rPr>
            </w:pPr>
            <w:r>
              <w:rPr>
                <w:rFonts w:ascii="Arial" w:cs="Arial" w:eastAsia="Arial" w:hAnsi="Arial"/>
                <w:sz w:val="18"/>
                <w:szCs w:val="18"/>
                <w:color w:val="auto"/>
              </w:rPr>
              <w:t>FY16</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1.13</w:t>
            </w:r>
          </w:p>
        </w:tc>
        <w:tc>
          <w:tcPr>
            <w:tcW w:w="1580" w:type="dxa"/>
            <w:vAlign w:val="bottom"/>
          </w:tcPr>
          <w:p>
            <w:pPr>
              <w:jc w:val="right"/>
              <w:ind w:right="570"/>
              <w:spacing w:after="0"/>
              <w:rPr>
                <w:sz w:val="20"/>
                <w:szCs w:val="20"/>
                <w:color w:val="auto"/>
              </w:rPr>
            </w:pPr>
            <w:r>
              <w:rPr>
                <w:rFonts w:ascii="Arial" w:cs="Arial" w:eastAsia="Arial" w:hAnsi="Arial"/>
                <w:sz w:val="18"/>
                <w:szCs w:val="18"/>
                <w:color w:val="auto"/>
              </w:rPr>
              <w:t>— %</w:t>
            </w:r>
          </w:p>
        </w:tc>
        <w:tc>
          <w:tcPr>
            <w:tcW w:w="960" w:type="dxa"/>
            <w:vAlign w:val="bottom"/>
          </w:tcPr>
          <w:p>
            <w:pPr>
              <w:jc w:val="right"/>
              <w:ind w:right="410"/>
              <w:spacing w:after="0"/>
              <w:rPr>
                <w:sz w:val="20"/>
                <w:szCs w:val="20"/>
                <w:color w:val="auto"/>
              </w:rPr>
            </w:pPr>
            <w:r>
              <w:rPr>
                <w:rFonts w:ascii="Arial" w:cs="Arial" w:eastAsia="Arial" w:hAnsi="Arial"/>
                <w:sz w:val="18"/>
                <w:szCs w:val="18"/>
                <w:color w:val="auto"/>
              </w:rPr>
              <w:t>1.14</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1.17</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9 %</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1.25</w:t>
            </w:r>
          </w:p>
        </w:tc>
        <w:tc>
          <w:tcPr>
            <w:tcW w:w="98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1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FY17</w:t>
            </w:r>
          </w:p>
        </w:tc>
        <w:tc>
          <w:tcPr>
            <w:tcW w:w="11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1.24</w:t>
            </w:r>
          </w:p>
        </w:tc>
        <w:tc>
          <w:tcPr>
            <w:tcW w:w="15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10 %</w:t>
            </w:r>
          </w:p>
        </w:tc>
        <w:tc>
          <w:tcPr>
            <w:tcW w:w="9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1.31</w:t>
            </w: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15 %</w:t>
            </w:r>
          </w:p>
        </w:tc>
        <w:tc>
          <w:tcPr>
            <w:tcW w:w="12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1.35</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15 %</w:t>
            </w:r>
          </w:p>
        </w:tc>
        <w:tc>
          <w:tcPr>
            <w:tcW w:w="12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1.32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17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British Pound - Hedge Spot Rate (USD per GBP)</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FY14</w:t>
            </w:r>
          </w:p>
        </w:tc>
        <w:tc>
          <w:tcPr>
            <w:tcW w:w="15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1.59</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2 %</w:t>
            </w: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1.55</w:t>
            </w:r>
          </w:p>
        </w:tc>
        <w:tc>
          <w:tcPr>
            <w:tcW w:w="13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5 %</w:t>
            </w: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1.52</w:t>
            </w: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5 %</w:t>
            </w:r>
          </w:p>
        </w:tc>
        <w:tc>
          <w:tcPr>
            <w:tcW w:w="12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1320" w:type="dxa"/>
            <w:vAlign w:val="bottom"/>
          </w:tcPr>
          <w:p>
            <w:pPr>
              <w:ind w:left="220"/>
              <w:spacing w:after="0"/>
              <w:rPr>
                <w:sz w:val="20"/>
                <w:szCs w:val="20"/>
                <w:color w:val="auto"/>
              </w:rPr>
            </w:pPr>
            <w:r>
              <w:rPr>
                <w:rFonts w:ascii="Arial" w:cs="Arial" w:eastAsia="Arial" w:hAnsi="Arial"/>
                <w:sz w:val="18"/>
                <w:szCs w:val="18"/>
                <w:color w:val="auto"/>
              </w:rPr>
              <w:t>FY15</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1.56</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2 %</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1.57</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1.62</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1.65</w:t>
            </w: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FY16</w:t>
            </w:r>
          </w:p>
        </w:tc>
        <w:tc>
          <w:tcPr>
            <w:tcW w:w="15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1.64</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w:t>
            </w:r>
          </w:p>
        </w:tc>
        <w:tc>
          <w:tcPr>
            <w:tcW w:w="12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1.57</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 %</w:t>
            </w:r>
          </w:p>
        </w:tc>
        <w:tc>
          <w:tcPr>
            <w:tcW w:w="12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1.57</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3 %</w:t>
            </w:r>
          </w:p>
        </w:tc>
        <w:tc>
          <w:tcPr>
            <w:tcW w:w="12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1.53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1320" w:type="dxa"/>
            <w:vAlign w:val="bottom"/>
          </w:tcPr>
          <w:p>
            <w:pPr>
              <w:ind w:left="220"/>
              <w:spacing w:after="0"/>
              <w:rPr>
                <w:sz w:val="20"/>
                <w:szCs w:val="20"/>
                <w:color w:val="auto"/>
              </w:rPr>
            </w:pPr>
            <w:r>
              <w:rPr>
                <w:rFonts w:ascii="Arial" w:cs="Arial" w:eastAsia="Arial" w:hAnsi="Arial"/>
                <w:sz w:val="18"/>
                <w:szCs w:val="18"/>
                <w:color w:val="auto"/>
              </w:rPr>
              <w:t>FY17</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1.55</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5 %</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 %</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 %</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Swiss Franc - Hedge Spot Rate (CHF per USD)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ind w:left="220"/>
              <w:spacing w:after="0"/>
              <w:rPr>
                <w:sz w:val="20"/>
                <w:szCs w:val="20"/>
                <w:color w:val="auto"/>
              </w:rPr>
            </w:pPr>
            <w:r>
              <w:rPr>
                <w:rFonts w:ascii="Arial" w:cs="Arial" w:eastAsia="Arial" w:hAnsi="Arial"/>
                <w:sz w:val="18"/>
                <w:szCs w:val="18"/>
                <w:color w:val="auto"/>
              </w:rPr>
              <w:t>FY14</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0.96</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17 %</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0.95</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12 %</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0.92</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 %</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0.93</w:t>
            </w:r>
          </w:p>
        </w:tc>
        <w:tc>
          <w:tcPr>
            <w:tcW w:w="94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1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FY15</w:t>
            </w:r>
          </w:p>
        </w:tc>
        <w:tc>
          <w:tcPr>
            <w:tcW w:w="15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0.94</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w:t>
            </w:r>
          </w:p>
        </w:tc>
        <w:tc>
          <w:tcPr>
            <w:tcW w:w="12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0.92</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w:t>
            </w:r>
          </w:p>
        </w:tc>
        <w:tc>
          <w:tcPr>
            <w:tcW w:w="12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0.90</w:t>
            </w:r>
          </w:p>
        </w:tc>
        <w:tc>
          <w:tcPr>
            <w:tcW w:w="13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0.89</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320" w:type="dxa"/>
            <w:vAlign w:val="bottom"/>
          </w:tcPr>
          <w:p>
            <w:pPr>
              <w:ind w:left="220"/>
              <w:spacing w:after="0"/>
              <w:rPr>
                <w:sz w:val="20"/>
                <w:szCs w:val="20"/>
                <w:color w:val="auto"/>
              </w:rPr>
            </w:pPr>
            <w:r>
              <w:rPr>
                <w:rFonts w:ascii="Arial" w:cs="Arial" w:eastAsia="Arial" w:hAnsi="Arial"/>
                <w:sz w:val="18"/>
                <w:szCs w:val="18"/>
                <w:color w:val="auto"/>
              </w:rPr>
              <w:t>FY16</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0.90</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0.95</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3 %</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0.94</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4 %</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0.92</w:t>
            </w:r>
          </w:p>
        </w:tc>
        <w:tc>
          <w:tcPr>
            <w:tcW w:w="94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1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1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FY17</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0.93</w:t>
            </w:r>
          </w:p>
        </w:tc>
        <w:tc>
          <w:tcPr>
            <w:tcW w:w="13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4 %</w:t>
            </w: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0.97</w:t>
            </w:r>
          </w:p>
        </w:tc>
        <w:tc>
          <w:tcPr>
            <w:tcW w:w="13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2 %</w:t>
            </w: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1.01</w:t>
            </w: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7 %</w:t>
            </w:r>
          </w:p>
        </w:tc>
        <w:tc>
          <w:tcPr>
            <w:tcW w:w="12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0.98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13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Mexican Peso - Hedge Spot Rate (MXN per USD)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FY14</w:t>
            </w:r>
          </w:p>
        </w:tc>
        <w:tc>
          <w:tcPr>
            <w:tcW w:w="15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12.34</w:t>
            </w: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2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12.35</w:t>
            </w: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2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12.22</w:t>
            </w: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 %</w:t>
            </w:r>
          </w:p>
        </w:tc>
        <w:tc>
          <w:tcPr>
            <w:tcW w:w="13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12.20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1280" w:type="dxa"/>
            <w:vAlign w:val="bottom"/>
          </w:tcPr>
          <w:p>
            <w:pPr>
              <w:ind w:left="220"/>
              <w:spacing w:after="0"/>
              <w:rPr>
                <w:sz w:val="20"/>
                <w:szCs w:val="20"/>
                <w:color w:val="auto"/>
              </w:rPr>
            </w:pPr>
            <w:r>
              <w:rPr>
                <w:rFonts w:ascii="Arial" w:cs="Arial" w:eastAsia="Arial" w:hAnsi="Arial"/>
                <w:sz w:val="18"/>
                <w:szCs w:val="18"/>
                <w:color w:val="auto"/>
              </w:rPr>
              <w:t>FY15</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12.40</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1 %</w:t>
            </w:r>
          </w:p>
        </w:tc>
        <w:tc>
          <w:tcPr>
            <w:tcW w:w="1280" w:type="dxa"/>
            <w:vAlign w:val="bottom"/>
          </w:tcPr>
          <w:p>
            <w:pPr>
              <w:jc w:val="right"/>
              <w:ind w:right="430"/>
              <w:spacing w:after="0"/>
              <w:rPr>
                <w:sz w:val="20"/>
                <w:szCs w:val="20"/>
                <w:color w:val="auto"/>
              </w:rPr>
            </w:pPr>
            <w:r>
              <w:rPr>
                <w:rFonts w:ascii="Arial" w:cs="Arial" w:eastAsia="Arial" w:hAnsi="Arial"/>
                <w:sz w:val="18"/>
                <w:szCs w:val="18"/>
                <w:color w:val="auto"/>
              </w:rPr>
              <w:t>13.06</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6 %</w:t>
            </w:r>
          </w:p>
        </w:tc>
        <w:tc>
          <w:tcPr>
            <w:tcW w:w="1280" w:type="dxa"/>
            <w:vAlign w:val="bottom"/>
          </w:tcPr>
          <w:p>
            <w:pPr>
              <w:jc w:val="right"/>
              <w:ind w:right="430"/>
              <w:spacing w:after="0"/>
              <w:rPr>
                <w:sz w:val="20"/>
                <w:szCs w:val="20"/>
                <w:color w:val="auto"/>
              </w:rPr>
            </w:pPr>
            <w:r>
              <w:rPr>
                <w:rFonts w:ascii="Arial" w:cs="Arial" w:eastAsia="Arial" w:hAnsi="Arial"/>
                <w:sz w:val="18"/>
                <w:szCs w:val="18"/>
                <w:color w:val="auto"/>
              </w:rPr>
              <w:t>13.09</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7 %</w:t>
            </w: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13.08</w:t>
            </w:r>
          </w:p>
        </w:tc>
        <w:tc>
          <w:tcPr>
            <w:tcW w:w="94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1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FY16</w:t>
            </w:r>
          </w:p>
        </w:tc>
        <w:tc>
          <w:tcPr>
            <w:tcW w:w="15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13.10</w:t>
            </w:r>
          </w:p>
        </w:tc>
        <w:tc>
          <w:tcPr>
            <w:tcW w:w="12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6 %</w:t>
            </w:r>
          </w:p>
        </w:tc>
        <w:tc>
          <w:tcPr>
            <w:tcW w:w="12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13.07</w:t>
            </w:r>
          </w:p>
        </w:tc>
        <w:tc>
          <w:tcPr>
            <w:tcW w:w="12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2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13.63</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4 %</w:t>
            </w:r>
          </w:p>
        </w:tc>
        <w:tc>
          <w:tcPr>
            <w:tcW w:w="13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14.46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1280" w:type="dxa"/>
            <w:vAlign w:val="bottom"/>
          </w:tcPr>
          <w:p>
            <w:pPr>
              <w:ind w:left="220"/>
              <w:spacing w:after="0"/>
              <w:rPr>
                <w:sz w:val="20"/>
                <w:szCs w:val="20"/>
                <w:color w:val="auto"/>
              </w:rPr>
            </w:pPr>
            <w:r>
              <w:rPr>
                <w:rFonts w:ascii="Arial" w:cs="Arial" w:eastAsia="Arial" w:hAnsi="Arial"/>
                <w:sz w:val="18"/>
                <w:szCs w:val="18"/>
                <w:color w:val="auto"/>
              </w:rPr>
              <w:t>FY17</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15.20</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16 %</w:t>
            </w:r>
          </w:p>
        </w:tc>
        <w:tc>
          <w:tcPr>
            <w:tcW w:w="1280" w:type="dxa"/>
            <w:vAlign w:val="bottom"/>
          </w:tcPr>
          <w:p>
            <w:pPr>
              <w:jc w:val="right"/>
              <w:ind w:right="430"/>
              <w:spacing w:after="0"/>
              <w:rPr>
                <w:sz w:val="20"/>
                <w:szCs w:val="20"/>
                <w:color w:val="auto"/>
              </w:rPr>
            </w:pPr>
            <w:r>
              <w:rPr>
                <w:rFonts w:ascii="Arial" w:cs="Arial" w:eastAsia="Arial" w:hAnsi="Arial"/>
                <w:sz w:val="18"/>
                <w:szCs w:val="18"/>
                <w:color w:val="auto"/>
              </w:rPr>
              <w:t>15.73</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20 %</w:t>
            </w:r>
          </w:p>
        </w:tc>
        <w:tc>
          <w:tcPr>
            <w:tcW w:w="1280" w:type="dxa"/>
            <w:vAlign w:val="bottom"/>
          </w:tcPr>
          <w:p>
            <w:pPr>
              <w:jc w:val="right"/>
              <w:ind w:right="430"/>
              <w:spacing w:after="0"/>
              <w:rPr>
                <w:sz w:val="20"/>
                <w:szCs w:val="20"/>
                <w:color w:val="auto"/>
              </w:rPr>
            </w:pPr>
            <w:r>
              <w:rPr>
                <w:rFonts w:ascii="Arial" w:cs="Arial" w:eastAsia="Arial" w:hAnsi="Arial"/>
                <w:sz w:val="18"/>
                <w:szCs w:val="18"/>
                <w:color w:val="auto"/>
              </w:rPr>
              <w:t>16.71</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23 %</w:t>
            </w: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17.27</w:t>
            </w:r>
          </w:p>
        </w:tc>
        <w:tc>
          <w:tcPr>
            <w:tcW w:w="94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70"/>
        </w:trPr>
        <w:tc>
          <w:tcPr>
            <w:tcW w:w="1280" w:type="dxa"/>
            <w:vAlign w:val="bottom"/>
          </w:tcPr>
          <w:p>
            <w:pPr>
              <w:ind w:left="220"/>
              <w:spacing w:after="0"/>
              <w:rPr>
                <w:sz w:val="20"/>
                <w:szCs w:val="20"/>
                <w:color w:val="auto"/>
              </w:rPr>
            </w:pPr>
            <w:r>
              <w:rPr>
                <w:rFonts w:ascii="Arial" w:cs="Arial" w:eastAsia="Arial" w:hAnsi="Arial"/>
                <w:sz w:val="18"/>
                <w:szCs w:val="18"/>
                <w:color w:val="auto"/>
              </w:rPr>
              <w:t>FY18</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17.44</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15 %</w:t>
            </w:r>
          </w:p>
        </w:tc>
        <w:tc>
          <w:tcPr>
            <w:tcW w:w="12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12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 %</w:t>
            </w: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generally place our cash flow hedge contracts on a rolling twelve month basis.</w:t>
      </w:r>
    </w:p>
    <w:p>
      <w:pPr>
        <w:sectPr>
          <w:pgSz w:w="11900" w:h="16838" w:orient="portrait"/>
          <w:cols w:equalWidth="0" w:num="1">
            <w:col w:w="11420"/>
          </w:cols>
          <w:pgMar w:left="240" w:top="130"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30" w:right="239" w:bottom="1440" w:gutter="0" w:footer="0" w:header="0"/>
          <w:type w:val="continuous"/>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consolidated financial statements contained in Item 8 of this Annual Report on Form 10-K for additional information on Standards Implemented and Standards to be Implemented.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significant accounting policies are summarized in Note 2 of our consolidated financial statements. While all of these significant accounting policies impact our financial condition and results of operations, we view certain of these policies as critical. Policies determined to be critical are those policies that have the most significant impact on our financial statements and require management to use a greater degree of judgment and/or estimates. Actual results may differ from those estimates.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policies identified as critical are as follows: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13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Our revenue recognition policy is to recognize revenues from product sales, software and services in accordance with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ASC Topic 985-605, </w:t>
      </w:r>
      <w:r>
        <w:rPr>
          <w:rFonts w:ascii="Arial" w:cs="Arial" w:eastAsia="Arial" w:hAnsi="Arial"/>
          <w:sz w:val="17"/>
          <w:szCs w:val="17"/>
          <w:i w:val="1"/>
          <w:iCs w:val="1"/>
          <w:color w:val="auto"/>
        </w:rPr>
        <w:t>Software</w:t>
      </w:r>
      <w:r>
        <w:rPr>
          <w:rFonts w:ascii="Arial" w:cs="Arial" w:eastAsia="Arial" w:hAnsi="Arial"/>
          <w:sz w:val="17"/>
          <w:szCs w:val="17"/>
          <w:color w:val="auto"/>
        </w:rPr>
        <w:t xml:space="preserve">. These standards require that revenues are recognized when persuasive evidence of an arrangement exists, product delivery, including customer acceptance, has occurred or services have been rendered, the price is fixed or determinable and collectability is reasonably assured. We may have multiple contracts with the same customer and each contract is typically treated as a separate arrangement. When more than one element such as equipment, disposables, and services are contained in a single arrangement, we allocate revenue between the elements based on each element’s relative selling price, provided that each element meets the criteria for treatment as a separate unit of accounting. An item is considered a separate unit of accounting if it has value to the customer on a stand-alone basis. The selling price of the undelivered elements is determined by the price charged when the element is sold separately, or in cases when the item is not sold separately, by third-party evidence of selling price or by management's best estimate of selling price. For our software arrangements accounted for under the provisions of ASC 985-605, </w:t>
      </w:r>
      <w:r>
        <w:rPr>
          <w:rFonts w:ascii="Arial" w:cs="Arial" w:eastAsia="Arial" w:hAnsi="Arial"/>
          <w:sz w:val="17"/>
          <w:szCs w:val="17"/>
          <w:i w:val="1"/>
          <w:iCs w:val="1"/>
          <w:color w:val="auto"/>
        </w:rPr>
        <w:t>Software</w:t>
      </w:r>
      <w:r>
        <w:rPr>
          <w:rFonts w:ascii="Arial" w:cs="Arial" w:eastAsia="Arial" w:hAnsi="Arial"/>
          <w:sz w:val="17"/>
          <w:szCs w:val="17"/>
          <w:color w:val="auto"/>
        </w:rPr>
        <w:t>, we establish fair value of undelivered elements based upon vendor specific objective evidence.</w:t>
      </w:r>
    </w:p>
    <w:p>
      <w:pPr>
        <w:spacing w:after="0" w:line="8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generally do not allow our customers to return products. We offer sales rebates and discounts to certain customers. We treat sales rebates and discounts as a reduction of revenue and classify the corresponding liability as current. We estimate rebates for products where there is sufficient historical information available to predict the volume of expected future rebates. If we are unable to estimate the expected rebates reasonably, we record a liability for the maximum potential rebate or discount that could be earned. In circumstances where we provide upfront rebate payments to customers, we capitalize the rebate payments and amortize the resulting asset as a reduction of revenue using a systematic method over the life of the contract.</w:t>
      </w:r>
    </w:p>
    <w:p>
      <w:pPr>
        <w:spacing w:after="0" w:line="6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generally recognize revenue from the sale of perpetual licenses on a percentage-of-completion basis which requires us to make reasonable estimates of the extent of progress toward completion of the contract. These arrangements most often include providing customized implementation services to our customer. We also provide other services, including in some instances hosting, technical support, and maintenance, for the payment of periodic, monthly, or quarterly fees. We recognize these fees and charges as earned, typically as these services are provided during the contract period.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Intangible Assets</w:t>
      </w:r>
    </w:p>
    <w:p>
      <w:pPr>
        <w:spacing w:after="0" w:line="13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Goodwill represents the excess purchase price over the fair value of the net tangible and other identifiable intangible assets acquired. Goodwill is not amortized. Instead goodwill is reviewed for impairment at least annually in accordance with ASC Topic 350, Intangibles - Goodwill and Other ("Topic 350"), or on an interim basis between annual tests when events or circumstances indicate that it is more likely than not that the fair value of a reporting unit is less than its carrying value. We perform our annual impairment test on the first day of the fiscal fourth quarter for each of our reporting units.</w:t>
      </w:r>
    </w:p>
    <w:p>
      <w:pPr>
        <w:spacing w:after="0" w:line="7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performing our goodwill impairment assessment, we utilize the two-step approach prescribed under Topic 350. The first step requires a comparison of the carrying value of the reporting units, as defined, to the fair value of these units. We assess goodwill for impairment at the reporting unit level, which is defined as an operating segment or one level below an operating segment, referred to as a component. We determine our reporting units by first identifying our operating segments, and then assess whether any components of these segments constitute a business for which discrete financial information is available and where segment management regularly reviews the operating results of that component. We aggregate components within an operating segment that have similar economic characteristics. Our reporting units for purposes of assessing goodwill impairment are the same as our operating segments, which are organized primarily based on geography and include: (a) North America Plasma, (b) Americas Blood Center and Hospital, (c) Europe, Middle East, and Africa (collectively "EMEA"), (d) Asia-Pacific and (e) Japan. The North America Plasma reporting unit is a separate operating segment with dedicated segment management due the size and scale of the plasma business.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30" w:right="25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When allocating goodwill from business combinations to our reporting units, we assign goodwill to the reporting units that we expect to benefit from the respective business combination at the time of acquisition. In addition, for purposes of performing our goodwill impairment tests, assets and liabilities, including corporate assets, which relate to a reporting unit’s operations, and would be considered in determining its fair value, are allocated to the individual reporting units. We allocate assets and liabilities not directly related to a specific reporting unit, but from which the reporting unit benefits, based primarily on the respective revenue contribution of each reporting unit.</w:t>
      </w:r>
    </w:p>
    <w:p>
      <w:pPr>
        <w:spacing w:after="0" w:line="9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fiscal 2016, we used the income approach, specifically the discounted cash flow method, to derive the fair value of each of our reporting units in preparing our goodwill impairment assessments. This approach calculates fair value by estimating the after-tax cash flows attributable to a reporting unit and then discounting these after-tax cash flows to a present value using a risk-adjusted discount rate. We selected this method as being the most meaningful in preparing our goodwill assessments because the use of the income approach typically generates a more precise measurement of fair value than the market approach. Due to the increased adverse business conditions impacting multiple Haemonetics reporting units in fiscal 2016, we determined that a more precise measure of fair value was required when performing our goodwill impairment review compared to what was performed in prior years.</w:t>
      </w:r>
    </w:p>
    <w:p>
      <w:pPr>
        <w:spacing w:after="0" w:line="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applying the income approach to our accounting for goodwill, we make assumptions about the amount and timing of future expected cash flows, terminal value growth rates and appropriate discount rates. The amount and timing of future cash flows within our discounted cash flow analysis is based on our most recent operational budgets, long range strategic plans and other estimates. The terminal value growth rate is used to calculate the value of cash flows beyond the last projected period in our discounted cash flow analysis and reflects our best estimates for stable, perpetual growth of our reporting units. We use estimates of market-participant risk adjusted weighted average cost of capital ("WACC") as a basis for determining the discount rates to apply to our reporting units’ future expected cash flows. We corroborated the valuations that arose from the discounted cash flow approach by performing both a market multiple valuation and by reconciling the aggregate fair value of our reporting units to our market capitalization at the time of the test.</w:t>
      </w:r>
    </w:p>
    <w:p>
      <w:pPr>
        <w:spacing w:after="0" w:line="7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fiscal 2015 and 2014, we determined the fair value of our reporting units based on the market approach. We utilized the market approach as we determined relevant comparable information was available, and accordingly such method was an appropriate alternative to the income method. Under the market approach, we estimated the fair value of our reporting units based on a combination of, a) market multiples of projected earnings before interest, taxes, depreciation and amortization (“EBITDA”) and b) market multiples of projected net revenues for each individual reporting unit. For the market approach, we used judgment in identifying the relevant comparable-company market multiples, such as recent divestitures/acquisitions, facts and circumstances surrounding the market and growth rates. Management assessed the relevance and reliability of the multiples by considering factors unique to its reporting units, including recent operating results, business plans, economic projections, anticipated future cash flows, and other data. EBITDA and revenue multiples were also significantly impacted by future growth opportunities for the reporting unit as well as for the company itself, general market and geographic sentiment, and pending or recently completed merger transactions.</w:t>
      </w:r>
    </w:p>
    <w:p>
      <w:pPr>
        <w:spacing w:after="0" w:line="8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If the carrying value of a reporting unit exceeds its fair value, we perform the second step of the goodwill impairment test to measure the amount of impairment, if any. The second step compares the implied fair value of a reporting unit’s goodwill with its carrying value. To determine the implied fair value of goodwill, we allocate the fair value of a reporting unit to all of the assets and liabilities of that unit, including intangible assets, as if the reporting unit had been acquired in a business combination. Any excess of the value of a reporting unit over the amounts assigned to its assets and liabilities represents the implied fair value of goodwill. In the third quarter of fiscal 2016, we concluded that indicators of potential goodwill impairment were present for the EMEA and Americas Blood Center and Hospital reporting units, requiring an interim test. We recorded a preliminary impairment charge of $66.3 million in the EMEA reporting unit during the third quarter of fiscal 2016. During the fourth quarter of fiscal 2016, we completed our second step of the goodwill impairment test and concluded that no adjustment to the estimated $66.3 million impairment loss initially recorded was required, as there was significant intangible value attributed to customer relationships and developed technology based on the theoretical purchase price allocation. Refer to Note 5, </w:t>
      </w:r>
      <w:r>
        <w:rPr>
          <w:rFonts w:ascii="Arial" w:cs="Arial" w:eastAsia="Arial" w:hAnsi="Arial"/>
          <w:sz w:val="17"/>
          <w:szCs w:val="17"/>
          <w:i w:val="1"/>
          <w:iCs w:val="1"/>
          <w:color w:val="auto"/>
        </w:rPr>
        <w:t>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Intangible Assets, </w:t>
      </w:r>
      <w:r>
        <w:rPr>
          <w:rFonts w:ascii="Arial" w:cs="Arial" w:eastAsia="Arial" w:hAnsi="Arial"/>
          <w:sz w:val="17"/>
          <w:szCs w:val="17"/>
          <w:color w:val="auto"/>
        </w:rPr>
        <w:t>to our consolidated financial statements contained in Item 8 of this Annual Report on Form 10-K for additional information regarding</w:t>
      </w:r>
      <w:r>
        <w:rPr>
          <w:rFonts w:ascii="Arial" w:cs="Arial" w:eastAsia="Arial" w:hAnsi="Arial"/>
          <w:sz w:val="17"/>
          <w:szCs w:val="17"/>
          <w:i w:val="1"/>
          <w:iCs w:val="1"/>
          <w:color w:val="auto"/>
        </w:rPr>
        <w:t xml:space="preserve"> </w:t>
      </w:r>
      <w:r>
        <w:rPr>
          <w:rFonts w:ascii="Arial" w:cs="Arial" w:eastAsia="Arial" w:hAnsi="Arial"/>
          <w:sz w:val="17"/>
          <w:szCs w:val="17"/>
          <w:color w:val="auto"/>
        </w:rPr>
        <w:t>this goodwill impairment.</w:t>
      </w:r>
    </w:p>
    <w:p>
      <w:pPr>
        <w:spacing w:after="0" w:line="8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review intangible assets subject to amortization for impairment at least annually or more frequently if certain conditions arise to determine if any adverse conditions exist that would indicate that the carrying value of an asset or asset group may not be recoverable, or that a change in the remaining useful life is required. Conditions indicating that an impairment exists include but are not limited to a change in the competitive landscape, internal decisions to pursue new or different technology strategies, a loss of a significant customer or a significant change in the marketplace including prices paid for our products or the size of the market for our products. During fiscal 2016, 2015 and 2014, we determined that there were potential impairment indicators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30" w:right="25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for certain intangible assets subject to amortization. As such, we performed the recoverability test described below for the relevant asset groups. In fiscal 2015 and 2014, we determined that the expected undiscounted cash flows exceeded the carrying value of the asset groups identified. In fiscal 2016, however, we determined that the undiscounted cash flows did not support the carrying value of the asset groups identified and, accordingly, recorded impairment charges of $25.8 million, of which $18.7 million related to the write down of the SOLX intangible assets and the remaining $7.1 million related to intangible assets that were identified as part of the Company's global strategic review. Refer to Note 5, </w:t>
      </w:r>
      <w:r>
        <w:rPr>
          <w:rFonts w:ascii="Arial" w:cs="Arial" w:eastAsia="Arial" w:hAnsi="Arial"/>
          <w:sz w:val="16"/>
          <w:szCs w:val="16"/>
          <w:i w:val="1"/>
          <w:iCs w:val="1"/>
          <w:color w:val="auto"/>
        </w:rPr>
        <w:t>Goodwill and Intangible Assets,</w:t>
      </w:r>
      <w:r>
        <w:rPr>
          <w:rFonts w:ascii="Arial" w:cs="Arial" w:eastAsia="Arial" w:hAnsi="Arial"/>
          <w:sz w:val="16"/>
          <w:szCs w:val="16"/>
          <w:color w:val="auto"/>
        </w:rPr>
        <w:t xml:space="preserve"> to our consolidated financial statements contained in Item 8 of this Annual Report on Form 10-K for additional information regarding intangible asset impairments recorded.</w:t>
      </w:r>
    </w:p>
    <w:p>
      <w:pPr>
        <w:spacing w:after="0" w:line="7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When an impairment indicator exists, we test the intangible asset for recoverability. For purposes of the recoverability test, we group our amortizable intangible assets with other assets and liabilities at the lowest level of identifiable cash flows if the intangible asset does not generate cash flows independent of other assets and liabilities. If the carrying value of the intangible asset (asset group) exceeds the undiscounted cash flows expected to result from the use and eventual disposition of the intangible asset (asset group), we will write the carrying value down to the fair value in the period identified.</w:t>
      </w:r>
    </w:p>
    <w:p>
      <w:pPr>
        <w:spacing w:after="0" w:line="6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generally calculate fair value of our intangible assets as the present value of estimated future cash flows we expect to generate from the asset using a risk-adjusted discount rate. In determining our estimated future cash flows associated with our intangible assets, we use estimates and assumptions about future revenue contributions, cost structures and remaining useful lives of the asset (asset group).</w:t>
      </w:r>
    </w:p>
    <w:p>
      <w:pPr>
        <w:spacing w:after="0" w:line="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we determine the estimate of an intangible asset's remaining useful life should be reduced based on our expected use of the asset, the remaining carrying amount of the asset is amortized prospectively over the revised estimated useful life.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Inventory Provisions</w:t>
      </w:r>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base our provisions for excess, expired and obsolete inventory primarily on our estimates of forecasted net sales. A significant change in the timing or level of demand for our products as compared to forecasted amounts may result in recording additional provisions for excess, expired and obsolete inventory in the future. Additionally, uncertain timing of next-generation product approvals, variability in product launch strategies, product recalls and variation in product utilization all affect our estimates related to excess, expired and obsolete inventory.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income tax provision is calculated for all jurisdictions in which we operate. The income tax provision process involves calculating current taxes due and assessing temporary differences arising from items which are taxable or deductible in different periods for tax and accounting purposes and are recorded as deferred tax assets and liabilities. Deferred tax assets are evaluated for realizability and a valuation allowance is maintained for the portion of our deferred tax assets that are not more-likely-than-not realizable.</w:t>
      </w:r>
    </w:p>
    <w:p>
      <w:pPr>
        <w:spacing w:after="0" w:line="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file income tax returns in all jurisdictions in which we operate. We record a liability for uncertain tax positions taken or expected to be taken in income tax returns. Our financial statements reflect expected future tax consequences of such positions presuming the taxing authorities' full knowledge of the position and all relevant facts. We record a liability for the portion of unrecognized tax benefits claimed which we have determined are not more-likely-than-not realizable. These tax reserves have been established based on management's assessment as to the potential exposure attributable to our uncertain tax positions as well as interest and penalties attributable to these uncertain tax positions. All tax reserves are analyzed quarterly and adjustments are made as events occur that result in changes in judgment.</w:t>
      </w:r>
    </w:p>
    <w:p>
      <w:pPr>
        <w:spacing w:after="0" w:line="9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evaluate at the end of each reporting period whether some or all of the undistributed earnings of our foreign subsidiaries are permanently reinvested. We recognize deferred income tax liabilities to the extent that management asserts that undistributed earnings of its foreign subsidiaries are not permanently reinvested or will not be permanently reinvested in the future. Our position is based upon several factors including management’s evaluation of the Company and its subsidiaries’ financial requirements, the short term and long-term operational and fiscal objectives of the Company, and the tax consequences associated with the repatriation of earnings.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of Acquisitions</w:t>
      </w:r>
    </w:p>
    <w:p>
      <w:pPr>
        <w:spacing w:after="0" w:line="131"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We allocate the amounts we pay for each acquisition to the assets we acquire and liabilities we assume based on their estimated fair values at the dates of acquisition, including acquired identifiable intangible assets, and purchased research and development. We base the estimated fair value of identifiable intangible assets on detailed valuations that use historical and forecasted information and market assumptions based upon the assumptions of a market participant. We allocate any excess purchase price over the fair value of the net tangible and intangible assets acquired to goodwill.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certain acquisitions, we have earn-out arrangements or contingent consideration to provide potential future payments to the seller for achieving certain agreed-upon financial targets. We record the contingent consideration at its fair value at the acquisition date. Generally, we have entered into arrangements with contingent consideration that require payments in cash. As such, we periodically revalue the contingent consideration obligations associated with certain acquisitions to their current fair value and record the change in the fair value as contingent consideration income or expense within selling, general and administrative expense. Increases or decreases in the fair value of the contingent consideration obligations can result from changes in assumed discount periods and rates, changes in the assumed timing and amount of revenue and expense estimates, and changes in assumed probability adjustments with respect to regulatory approval. Significant judgment is employed in determining the appropriateness of these assumptions as of the acquisition date and for each subsequent period. Accordingly, future business and economic conditions, as well as changes in any of the assumptions described above, can materially impact the amount of contingent consideration income or expense we record in any given period.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Contingencies</w:t>
      </w:r>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may become involved in various legal proceedings that arise in the ordinary course of business, including, without limitation, patent infringement, product liability and environmental matters. Accruals recorded for various contingencies including legal proceedings, employee related litigation, self-insurance and other claims are based on judgment, the probability of losses and, where applicable, the consideration of opinions of internal and/or external legal counsel and actuarially determined estimates. When a loss is probable and a range of loss is established but a best estimate cannot be made, we record the minimum loss contingency amount. These estimates are often initially developed substantially earlier than the ultimate loss is known, and the estimates are reevaluated each accounting period, as additional information is available. When we are initially unable to develop a best estimate of loss, we record the minimum amount of loss, which could be zero. As information becomes known, additional loss provision is recorded when either a best estimate can be made or the minimum loss amount is increased. When events result in an expectation of a more favorable outcome than previously expected, our best estimate is changed to a lower amount.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including: the effects of disruption from the manufacturing transformation making it more difficult to maintain relationships with employees and timely deliver high quality products, technological advances in the medical field and standards for transfusion medicine, our ability to successfully implement products that incorporate such advances and standards, demand for whole blood and blood components, product quality, market acceptance, regulatory uncertainties, the ability of our contract manufacturing vendors to timely supply high quality goods, the effect of economic and political conditions, the impact of competitive products and pricing, blood product reimbursement policies and practices, foreign currency exchange rates, changes in customers’ ordering patterns including single-source tenders, the effect of industry consolidation as seen in the plasma and blood center markets, the effect of communicable diseases and the effect of uncertainties in markets outside the U.S. (including Europe and Asia) in which we operate and such other risks described under Item 1A. Risk Factors included in this report. The foregoing list should not be construed as exhaustive.</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ind w:right="3960"/>
        <w:spacing w:after="0" w:line="462" w:lineRule="auto"/>
        <w:rPr>
          <w:sz w:val="20"/>
          <w:szCs w:val="20"/>
          <w:color w:val="auto"/>
        </w:rPr>
      </w:pPr>
      <w:r>
        <w:rPr>
          <w:rFonts w:ascii="Arial" w:cs="Arial" w:eastAsia="Arial" w:hAnsi="Arial"/>
          <w:sz w:val="17"/>
          <w:szCs w:val="17"/>
          <w:b w:val="1"/>
          <w:bCs w:val="1"/>
          <w:color w:val="auto"/>
        </w:rPr>
        <w:t xml:space="preserve">ITEM 7A. QUANTITATIVE AND QUALITATIVE DISCLOSURES ABOUT MARKET RISK </w:t>
      </w:r>
      <w:r>
        <w:rPr>
          <w:rFonts w:ascii="Arial" w:cs="Arial" w:eastAsia="Arial" w:hAnsi="Arial"/>
          <w:sz w:val="17"/>
          <w:szCs w:val="17"/>
          <w:color w:val="auto"/>
        </w:rPr>
        <w:t>The Company’s exposures relative to market risk are due to foreign exchange risk and interest rate risk.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3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 At April 2, 2016, we had the following significant foreign exchange contracts to hedge the anticipated foreign currency cash flows outstanding.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(BUY)/SELL</w:t>
            </w:r>
          </w:p>
        </w:tc>
        <w:tc>
          <w:tcPr>
            <w:tcW w:w="1720" w:type="dxa"/>
            <w:vAlign w:val="bottom"/>
            <w:gridSpan w:val="2"/>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49"/>
        </w:trPr>
        <w:tc>
          <w:tcPr>
            <w:tcW w:w="1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Hedged Currency</w:t>
            </w:r>
          </w:p>
        </w:tc>
        <w:tc>
          <w:tcPr>
            <w:tcW w:w="12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Spot</w:t>
            </w: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Forward</w:t>
            </w: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Maturity</w:t>
            </w:r>
          </w:p>
        </w:tc>
        <w:tc>
          <w:tcPr>
            <w:tcW w:w="120" w:type="dxa"/>
            <w:vAlign w:val="bottom"/>
            <w:vMerge w:val="restart"/>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to Affect</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Local Currency</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 Rate</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Contract Rate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Gain/(Loss)</w:t>
            </w:r>
          </w:p>
        </w:tc>
        <w:tc>
          <w:tcPr>
            <w:tcW w:w="10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36"/>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EUR</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5,949,000</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1.097</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(186,659)</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w w:val="94"/>
              </w:rPr>
              <w:t>Mar 2016</w:t>
            </w: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May 2016</w:t>
            </w:r>
          </w:p>
        </w:tc>
        <w:tc>
          <w:tcPr>
            <w:tcW w:w="1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6"/>
              </w:rPr>
              <w:t>Q1 FY17</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EUR</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8,096,000</w:t>
            </w:r>
          </w:p>
        </w:tc>
        <w:tc>
          <w:tcPr>
            <w:tcW w:w="1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1.112</w:t>
            </w:r>
          </w:p>
        </w:tc>
        <w:tc>
          <w:tcPr>
            <w:tcW w:w="120" w:type="dxa"/>
            <w:vAlign w:val="bottom"/>
          </w:tcPr>
          <w:p>
            <w:pPr>
              <w:spacing w:after="0"/>
              <w:rPr>
                <w:sz w:val="20"/>
                <w:szCs w:val="20"/>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1.120</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(153,495)</w:t>
            </w:r>
          </w:p>
        </w:tc>
        <w:tc>
          <w:tcPr>
            <w:tcW w:w="100" w:type="dxa"/>
            <w:vAlign w:val="bottom"/>
          </w:tcPr>
          <w:p>
            <w:pPr>
              <w:spacing w:after="0"/>
              <w:rPr>
                <w:sz w:val="20"/>
                <w:szCs w:val="20"/>
                <w:color w:val="auto"/>
              </w:rPr>
            </w:pPr>
          </w:p>
        </w:tc>
        <w:tc>
          <w:tcPr>
            <w:tcW w:w="2040" w:type="dxa"/>
            <w:vAlign w:val="bottom"/>
            <w:gridSpan w:val="3"/>
          </w:tcPr>
          <w:p>
            <w:pPr>
              <w:ind w:left="280"/>
              <w:spacing w:after="0"/>
              <w:rPr>
                <w:sz w:val="20"/>
                <w:szCs w:val="20"/>
                <w:color w:val="auto"/>
              </w:rPr>
            </w:pPr>
            <w:r>
              <w:rPr>
                <w:rFonts w:ascii="Arial" w:cs="Arial" w:eastAsia="Arial" w:hAnsi="Arial"/>
                <w:sz w:val="16"/>
                <w:szCs w:val="16"/>
                <w:color w:val="auto"/>
              </w:rPr>
              <w:t>Jun 2016 - Aug 2016</w:t>
            </w:r>
          </w:p>
        </w:tc>
        <w:tc>
          <w:tcPr>
            <w:tcW w:w="1240" w:type="dxa"/>
            <w:vAlign w:val="bottom"/>
          </w:tcPr>
          <w:p>
            <w:pPr>
              <w:ind w:left="600"/>
              <w:spacing w:after="0"/>
              <w:rPr>
                <w:sz w:val="20"/>
                <w:szCs w:val="20"/>
                <w:color w:val="auto"/>
              </w:rPr>
            </w:pPr>
            <w:r>
              <w:rPr>
                <w:rFonts w:ascii="Arial" w:cs="Arial" w:eastAsia="Arial" w:hAnsi="Arial"/>
                <w:sz w:val="16"/>
                <w:szCs w:val="16"/>
                <w:color w:val="auto"/>
                <w:w w:val="96"/>
              </w:rPr>
              <w:t>Q2 FY17</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EUR</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8,258,000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1.062</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(548,362)</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Sep 2016 - Nov 2016</w:t>
            </w:r>
          </w:p>
        </w:tc>
        <w:tc>
          <w:tcPr>
            <w:tcW w:w="1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6"/>
              </w:rPr>
              <w:t>Q3 FY17</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EUR</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8,941,000</w:t>
            </w:r>
          </w:p>
        </w:tc>
        <w:tc>
          <w:tcPr>
            <w:tcW w:w="1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1.113</w:t>
            </w:r>
          </w:p>
        </w:tc>
        <w:tc>
          <w:tcPr>
            <w:tcW w:w="120" w:type="dxa"/>
            <w:vAlign w:val="bottom"/>
          </w:tcPr>
          <w:p>
            <w:pPr>
              <w:spacing w:after="0"/>
              <w:rPr>
                <w:sz w:val="20"/>
                <w:szCs w:val="20"/>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1.127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(171,066)</w:t>
            </w:r>
          </w:p>
        </w:tc>
        <w:tc>
          <w:tcPr>
            <w:tcW w:w="100" w:type="dxa"/>
            <w:vAlign w:val="bottom"/>
          </w:tcPr>
          <w:p>
            <w:pPr>
              <w:spacing w:after="0"/>
              <w:rPr>
                <w:sz w:val="20"/>
                <w:szCs w:val="20"/>
                <w:color w:val="auto"/>
              </w:rPr>
            </w:pPr>
          </w:p>
        </w:tc>
        <w:tc>
          <w:tcPr>
            <w:tcW w:w="2040" w:type="dxa"/>
            <w:vAlign w:val="bottom"/>
            <w:gridSpan w:val="3"/>
          </w:tcPr>
          <w:p>
            <w:pPr>
              <w:ind w:left="280"/>
              <w:spacing w:after="0"/>
              <w:rPr>
                <w:sz w:val="20"/>
                <w:szCs w:val="20"/>
                <w:color w:val="auto"/>
              </w:rPr>
            </w:pPr>
            <w:r>
              <w:rPr>
                <w:rFonts w:ascii="Arial" w:cs="Arial" w:eastAsia="Arial" w:hAnsi="Arial"/>
                <w:sz w:val="16"/>
                <w:szCs w:val="16"/>
                <w:color w:val="auto"/>
              </w:rPr>
              <w:t>Dec 2016 - Feb 2017</w:t>
            </w:r>
          </w:p>
        </w:tc>
        <w:tc>
          <w:tcPr>
            <w:tcW w:w="1240" w:type="dxa"/>
            <w:vAlign w:val="bottom"/>
          </w:tcPr>
          <w:p>
            <w:pPr>
              <w:ind w:left="600"/>
              <w:spacing w:after="0"/>
              <w:rPr>
                <w:sz w:val="20"/>
                <w:szCs w:val="20"/>
                <w:color w:val="auto"/>
              </w:rPr>
            </w:pPr>
            <w:r>
              <w:rPr>
                <w:rFonts w:ascii="Arial" w:cs="Arial" w:eastAsia="Arial" w:hAnsi="Arial"/>
                <w:sz w:val="16"/>
                <w:szCs w:val="16"/>
                <w:color w:val="auto"/>
                <w:w w:val="96"/>
              </w:rPr>
              <w:t>Q4 FY17</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YEN</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685,671,000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124.00 per USD</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123.08 per USD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(534,393)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w w:val="94"/>
              </w:rPr>
              <w:t>Mar 2016</w:t>
            </w: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May 2016</w:t>
            </w:r>
          </w:p>
        </w:tc>
        <w:tc>
          <w:tcPr>
            <w:tcW w:w="1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6"/>
              </w:rPr>
              <w:t>Q1 FY17</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YEN</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959,900,000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122.18 per USD</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121.17 per USD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(639,086)</w:t>
            </w:r>
          </w:p>
        </w:tc>
        <w:tc>
          <w:tcPr>
            <w:tcW w:w="100" w:type="dxa"/>
            <w:vAlign w:val="bottom"/>
          </w:tcPr>
          <w:p>
            <w:pPr>
              <w:spacing w:after="0"/>
              <w:rPr>
                <w:sz w:val="20"/>
                <w:szCs w:val="20"/>
                <w:color w:val="auto"/>
              </w:rPr>
            </w:pPr>
          </w:p>
        </w:tc>
        <w:tc>
          <w:tcPr>
            <w:tcW w:w="2040" w:type="dxa"/>
            <w:vAlign w:val="bottom"/>
            <w:gridSpan w:val="3"/>
          </w:tcPr>
          <w:p>
            <w:pPr>
              <w:ind w:left="280"/>
              <w:spacing w:after="0"/>
              <w:rPr>
                <w:sz w:val="20"/>
                <w:szCs w:val="20"/>
                <w:color w:val="auto"/>
              </w:rPr>
            </w:pPr>
            <w:r>
              <w:rPr>
                <w:rFonts w:ascii="Arial" w:cs="Arial" w:eastAsia="Arial" w:hAnsi="Arial"/>
                <w:sz w:val="16"/>
                <w:szCs w:val="16"/>
                <w:color w:val="auto"/>
              </w:rPr>
              <w:t>Jun 2016 - Aug 2016</w:t>
            </w:r>
          </w:p>
        </w:tc>
        <w:tc>
          <w:tcPr>
            <w:tcW w:w="1240" w:type="dxa"/>
            <w:vAlign w:val="bottom"/>
          </w:tcPr>
          <w:p>
            <w:pPr>
              <w:ind w:left="600"/>
              <w:spacing w:after="0"/>
              <w:rPr>
                <w:sz w:val="20"/>
                <w:szCs w:val="20"/>
                <w:color w:val="auto"/>
              </w:rPr>
            </w:pPr>
            <w:r>
              <w:rPr>
                <w:rFonts w:ascii="Arial" w:cs="Arial" w:eastAsia="Arial" w:hAnsi="Arial"/>
                <w:sz w:val="16"/>
                <w:szCs w:val="16"/>
                <w:color w:val="auto"/>
                <w:w w:val="96"/>
              </w:rPr>
              <w:t>Q2 FY17</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YEN</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912,121,000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122.99 per USD</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121.63 per USD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(650,628)</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Sep 2016 - Nov 2016</w:t>
            </w:r>
          </w:p>
        </w:tc>
        <w:tc>
          <w:tcPr>
            <w:tcW w:w="1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6"/>
              </w:rPr>
              <w:t>Q3 FY17</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YEN</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879,600,000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113.55 per USD</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112.02 per USD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(62,829)</w:t>
            </w:r>
          </w:p>
        </w:tc>
        <w:tc>
          <w:tcPr>
            <w:tcW w:w="100" w:type="dxa"/>
            <w:vAlign w:val="bottom"/>
          </w:tcPr>
          <w:p>
            <w:pPr>
              <w:spacing w:after="0"/>
              <w:rPr>
                <w:sz w:val="20"/>
                <w:szCs w:val="20"/>
                <w:color w:val="auto"/>
              </w:rPr>
            </w:pPr>
          </w:p>
        </w:tc>
        <w:tc>
          <w:tcPr>
            <w:tcW w:w="2040" w:type="dxa"/>
            <w:vAlign w:val="bottom"/>
            <w:gridSpan w:val="3"/>
          </w:tcPr>
          <w:p>
            <w:pPr>
              <w:ind w:left="280"/>
              <w:spacing w:after="0"/>
              <w:rPr>
                <w:sz w:val="20"/>
                <w:szCs w:val="20"/>
                <w:color w:val="auto"/>
              </w:rPr>
            </w:pPr>
            <w:r>
              <w:rPr>
                <w:rFonts w:ascii="Arial" w:cs="Arial" w:eastAsia="Arial" w:hAnsi="Arial"/>
                <w:sz w:val="16"/>
                <w:szCs w:val="16"/>
                <w:color w:val="auto"/>
              </w:rPr>
              <w:t>Dec 2016 - Feb 2017</w:t>
            </w:r>
          </w:p>
        </w:tc>
        <w:tc>
          <w:tcPr>
            <w:tcW w:w="1240" w:type="dxa"/>
            <w:vAlign w:val="bottom"/>
          </w:tcPr>
          <w:p>
            <w:pPr>
              <w:ind w:left="600"/>
              <w:spacing w:after="0"/>
              <w:rPr>
                <w:sz w:val="20"/>
                <w:szCs w:val="20"/>
                <w:color w:val="auto"/>
              </w:rPr>
            </w:pPr>
            <w:r>
              <w:rPr>
                <w:rFonts w:ascii="Arial" w:cs="Arial" w:eastAsia="Arial" w:hAnsi="Arial"/>
                <w:sz w:val="16"/>
                <w:szCs w:val="16"/>
                <w:color w:val="auto"/>
                <w:w w:val="96"/>
              </w:rPr>
              <w:t>Q4 FY17</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CHF</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(3,754,000)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0.93 per USD</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0.92 per USD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(176,737)</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6"/>
                <w:szCs w:val="16"/>
                <w:color w:val="auto"/>
              </w:rPr>
              <w:t>Apr 2016 - Jun 2016</w:t>
            </w:r>
          </w:p>
        </w:tc>
        <w:tc>
          <w:tcPr>
            <w:tcW w:w="1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6"/>
              </w:rPr>
              <w:t>Q1 FY17</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CHF</w:t>
            </w:r>
          </w:p>
        </w:tc>
        <w:tc>
          <w:tcPr>
            <w:tcW w:w="1500" w:type="dxa"/>
            <w:vAlign w:val="bottom"/>
          </w:tcPr>
          <w:p>
            <w:pPr>
              <w:jc w:val="right"/>
              <w:spacing w:after="0"/>
              <w:rPr>
                <w:sz w:val="20"/>
                <w:szCs w:val="20"/>
                <w:color w:val="auto"/>
              </w:rPr>
            </w:pPr>
            <w:r>
              <w:rPr>
                <w:rFonts w:ascii="Arial" w:cs="Arial" w:eastAsia="Arial" w:hAnsi="Arial"/>
                <w:sz w:val="16"/>
                <w:szCs w:val="16"/>
                <w:color w:val="auto"/>
              </w:rPr>
              <w:t>(5,050,000)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0.97 per USD</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0.95 per USD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(33,273)</w:t>
            </w:r>
          </w:p>
        </w:tc>
        <w:tc>
          <w:tcPr>
            <w:tcW w:w="100" w:type="dxa"/>
            <w:vAlign w:val="bottom"/>
          </w:tcPr>
          <w:p>
            <w:pPr>
              <w:spacing w:after="0"/>
              <w:rPr>
                <w:sz w:val="20"/>
                <w:szCs w:val="20"/>
                <w:color w:val="auto"/>
              </w:rPr>
            </w:pPr>
          </w:p>
        </w:tc>
        <w:tc>
          <w:tcPr>
            <w:tcW w:w="2040" w:type="dxa"/>
            <w:vAlign w:val="bottom"/>
            <w:gridSpan w:val="3"/>
          </w:tcPr>
          <w:p>
            <w:pPr>
              <w:ind w:left="320"/>
              <w:spacing w:after="0"/>
              <w:rPr>
                <w:sz w:val="20"/>
                <w:szCs w:val="20"/>
                <w:color w:val="auto"/>
              </w:rPr>
            </w:pPr>
            <w:r>
              <w:rPr>
                <w:rFonts w:ascii="Arial" w:cs="Arial" w:eastAsia="Arial" w:hAnsi="Arial"/>
                <w:sz w:val="16"/>
                <w:szCs w:val="16"/>
                <w:color w:val="auto"/>
              </w:rPr>
              <w:t>Jul 2016 - Sep 2016</w:t>
            </w:r>
          </w:p>
        </w:tc>
        <w:tc>
          <w:tcPr>
            <w:tcW w:w="1240" w:type="dxa"/>
            <w:vAlign w:val="bottom"/>
          </w:tcPr>
          <w:p>
            <w:pPr>
              <w:ind w:left="600"/>
              <w:spacing w:after="0"/>
              <w:rPr>
                <w:sz w:val="20"/>
                <w:szCs w:val="20"/>
                <w:color w:val="auto"/>
              </w:rPr>
            </w:pPr>
            <w:r>
              <w:rPr>
                <w:rFonts w:ascii="Arial" w:cs="Arial" w:eastAsia="Arial" w:hAnsi="Arial"/>
                <w:sz w:val="16"/>
                <w:szCs w:val="16"/>
                <w:color w:val="auto"/>
                <w:w w:val="96"/>
              </w:rPr>
              <w:t>Q2 FY17</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CHF</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(4,959,000)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1.01 per USD</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0.99 per USD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190,986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2"/>
              </w:rPr>
              <w:t>Oct 2016</w:t>
            </w: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Dec 2016</w:t>
            </w:r>
          </w:p>
        </w:tc>
        <w:tc>
          <w:tcPr>
            <w:tcW w:w="1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6"/>
              </w:rPr>
              <w:t>Q3 FY17</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CHF</w:t>
            </w:r>
          </w:p>
        </w:tc>
        <w:tc>
          <w:tcPr>
            <w:tcW w:w="1500" w:type="dxa"/>
            <w:vAlign w:val="bottom"/>
          </w:tcPr>
          <w:p>
            <w:pPr>
              <w:jc w:val="right"/>
              <w:spacing w:after="0"/>
              <w:rPr>
                <w:sz w:val="20"/>
                <w:szCs w:val="20"/>
                <w:color w:val="auto"/>
              </w:rPr>
            </w:pPr>
            <w:r>
              <w:rPr>
                <w:rFonts w:ascii="Arial" w:cs="Arial" w:eastAsia="Arial" w:hAnsi="Arial"/>
                <w:sz w:val="16"/>
                <w:szCs w:val="16"/>
                <w:color w:val="auto"/>
              </w:rPr>
              <w:t>(4,952,000)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0.98 per USD</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0.96 per USD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67,812</w:t>
            </w:r>
          </w:p>
        </w:tc>
        <w:tc>
          <w:tcPr>
            <w:tcW w:w="100" w:type="dxa"/>
            <w:vAlign w:val="bottom"/>
          </w:tcPr>
          <w:p>
            <w:pPr>
              <w:spacing w:after="0"/>
              <w:rPr>
                <w:sz w:val="20"/>
                <w:szCs w:val="20"/>
                <w:color w:val="auto"/>
              </w:rPr>
            </w:pPr>
          </w:p>
        </w:tc>
        <w:tc>
          <w:tcPr>
            <w:tcW w:w="2040" w:type="dxa"/>
            <w:vAlign w:val="bottom"/>
            <w:gridSpan w:val="3"/>
          </w:tcPr>
          <w:p>
            <w:pPr>
              <w:ind w:left="280"/>
              <w:spacing w:after="0"/>
              <w:rPr>
                <w:sz w:val="20"/>
                <w:szCs w:val="20"/>
                <w:color w:val="auto"/>
              </w:rPr>
            </w:pPr>
            <w:r>
              <w:rPr>
                <w:rFonts w:ascii="Arial" w:cs="Arial" w:eastAsia="Arial" w:hAnsi="Arial"/>
                <w:sz w:val="16"/>
                <w:szCs w:val="16"/>
                <w:color w:val="auto"/>
              </w:rPr>
              <w:t>Jan 2017 - Mar 2017</w:t>
            </w:r>
          </w:p>
        </w:tc>
        <w:tc>
          <w:tcPr>
            <w:tcW w:w="1240" w:type="dxa"/>
            <w:vAlign w:val="bottom"/>
          </w:tcPr>
          <w:p>
            <w:pPr>
              <w:ind w:left="600"/>
              <w:spacing w:after="0"/>
              <w:rPr>
                <w:sz w:val="20"/>
                <w:szCs w:val="20"/>
                <w:color w:val="auto"/>
              </w:rPr>
            </w:pPr>
            <w:r>
              <w:rPr>
                <w:rFonts w:ascii="Arial" w:cs="Arial" w:eastAsia="Arial" w:hAnsi="Arial"/>
                <w:sz w:val="16"/>
                <w:szCs w:val="16"/>
                <w:color w:val="auto"/>
                <w:w w:val="96"/>
              </w:rPr>
              <w:t>Q4 FY17</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(2,564,000)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1.24 per USD</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1.25 per USD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(96,929)</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6"/>
                <w:szCs w:val="16"/>
                <w:color w:val="auto"/>
              </w:rPr>
              <w:t>Apr 2016 - Jun 2016</w:t>
            </w:r>
          </w:p>
        </w:tc>
        <w:tc>
          <w:tcPr>
            <w:tcW w:w="1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6"/>
              </w:rPr>
              <w:t>Q1 FY17</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CAD</w:t>
            </w:r>
          </w:p>
        </w:tc>
        <w:tc>
          <w:tcPr>
            <w:tcW w:w="1500" w:type="dxa"/>
            <w:vAlign w:val="bottom"/>
          </w:tcPr>
          <w:p>
            <w:pPr>
              <w:jc w:val="right"/>
              <w:spacing w:after="0"/>
              <w:rPr>
                <w:sz w:val="20"/>
                <w:szCs w:val="20"/>
                <w:color w:val="auto"/>
              </w:rPr>
            </w:pPr>
            <w:r>
              <w:rPr>
                <w:rFonts w:ascii="Arial" w:cs="Arial" w:eastAsia="Arial" w:hAnsi="Arial"/>
                <w:sz w:val="16"/>
                <w:szCs w:val="16"/>
                <w:color w:val="auto"/>
              </w:rPr>
              <w:t>(1,979,000)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1.31 per USD</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1.32 per USD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6,630</w:t>
            </w:r>
          </w:p>
        </w:tc>
        <w:tc>
          <w:tcPr>
            <w:tcW w:w="100" w:type="dxa"/>
            <w:vAlign w:val="bottom"/>
          </w:tcPr>
          <w:p>
            <w:pPr>
              <w:spacing w:after="0"/>
              <w:rPr>
                <w:sz w:val="20"/>
                <w:szCs w:val="20"/>
                <w:color w:val="auto"/>
              </w:rPr>
            </w:pPr>
          </w:p>
        </w:tc>
        <w:tc>
          <w:tcPr>
            <w:tcW w:w="2040" w:type="dxa"/>
            <w:vAlign w:val="bottom"/>
            <w:gridSpan w:val="3"/>
          </w:tcPr>
          <w:p>
            <w:pPr>
              <w:ind w:left="320"/>
              <w:spacing w:after="0"/>
              <w:rPr>
                <w:sz w:val="20"/>
                <w:szCs w:val="20"/>
                <w:color w:val="auto"/>
              </w:rPr>
            </w:pPr>
            <w:r>
              <w:rPr>
                <w:rFonts w:ascii="Arial" w:cs="Arial" w:eastAsia="Arial" w:hAnsi="Arial"/>
                <w:sz w:val="16"/>
                <w:szCs w:val="16"/>
                <w:color w:val="auto"/>
              </w:rPr>
              <w:t>Jul 2016 - Sep 2016</w:t>
            </w:r>
          </w:p>
        </w:tc>
        <w:tc>
          <w:tcPr>
            <w:tcW w:w="1240" w:type="dxa"/>
            <w:vAlign w:val="bottom"/>
          </w:tcPr>
          <w:p>
            <w:pPr>
              <w:ind w:left="600"/>
              <w:spacing w:after="0"/>
              <w:rPr>
                <w:sz w:val="20"/>
                <w:szCs w:val="20"/>
                <w:color w:val="auto"/>
              </w:rPr>
            </w:pPr>
            <w:r>
              <w:rPr>
                <w:rFonts w:ascii="Arial" w:cs="Arial" w:eastAsia="Arial" w:hAnsi="Arial"/>
                <w:sz w:val="16"/>
                <w:szCs w:val="16"/>
                <w:color w:val="auto"/>
                <w:w w:val="96"/>
              </w:rPr>
              <w:t>Q2 FY17</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(1,730,000)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1.35 per USD</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1.35 per USD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36,257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2"/>
              </w:rPr>
              <w:t>Oct 2016</w:t>
            </w: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Dec 2016</w:t>
            </w:r>
          </w:p>
        </w:tc>
        <w:tc>
          <w:tcPr>
            <w:tcW w:w="1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6"/>
              </w:rPr>
              <w:t>Q3 FY17</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CAD</w:t>
            </w:r>
          </w:p>
        </w:tc>
        <w:tc>
          <w:tcPr>
            <w:tcW w:w="1500" w:type="dxa"/>
            <w:vAlign w:val="bottom"/>
          </w:tcPr>
          <w:p>
            <w:pPr>
              <w:jc w:val="right"/>
              <w:spacing w:after="0"/>
              <w:rPr>
                <w:sz w:val="20"/>
                <w:szCs w:val="20"/>
                <w:color w:val="auto"/>
              </w:rPr>
            </w:pPr>
            <w:r>
              <w:rPr>
                <w:rFonts w:ascii="Arial" w:cs="Arial" w:eastAsia="Arial" w:hAnsi="Arial"/>
                <w:sz w:val="16"/>
                <w:szCs w:val="16"/>
                <w:color w:val="auto"/>
              </w:rPr>
              <w:t>(2,054,000)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1.32 per USD</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1.32 per USD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8,959</w:t>
            </w:r>
          </w:p>
        </w:tc>
        <w:tc>
          <w:tcPr>
            <w:tcW w:w="100" w:type="dxa"/>
            <w:vAlign w:val="bottom"/>
          </w:tcPr>
          <w:p>
            <w:pPr>
              <w:spacing w:after="0"/>
              <w:rPr>
                <w:sz w:val="20"/>
                <w:szCs w:val="20"/>
                <w:color w:val="auto"/>
              </w:rPr>
            </w:pPr>
          </w:p>
        </w:tc>
        <w:tc>
          <w:tcPr>
            <w:tcW w:w="900" w:type="dxa"/>
            <w:vAlign w:val="bottom"/>
          </w:tcPr>
          <w:p>
            <w:pPr>
              <w:ind w:left="300"/>
              <w:spacing w:after="0"/>
              <w:rPr>
                <w:sz w:val="20"/>
                <w:szCs w:val="20"/>
                <w:color w:val="auto"/>
              </w:rPr>
            </w:pPr>
            <w:r>
              <w:rPr>
                <w:rFonts w:ascii="Arial" w:cs="Arial" w:eastAsia="Arial" w:hAnsi="Arial"/>
                <w:sz w:val="16"/>
                <w:szCs w:val="16"/>
                <w:color w:val="auto"/>
                <w:w w:val="88"/>
              </w:rPr>
              <w:t>Jan 2017</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 Feb 2017</w:t>
            </w:r>
          </w:p>
        </w:tc>
        <w:tc>
          <w:tcPr>
            <w:tcW w:w="1240" w:type="dxa"/>
            <w:vAlign w:val="bottom"/>
          </w:tcPr>
          <w:p>
            <w:pPr>
              <w:ind w:left="600"/>
              <w:spacing w:after="0"/>
              <w:rPr>
                <w:sz w:val="20"/>
                <w:szCs w:val="20"/>
                <w:color w:val="auto"/>
              </w:rPr>
            </w:pPr>
            <w:r>
              <w:rPr>
                <w:rFonts w:ascii="Arial" w:cs="Arial" w:eastAsia="Arial" w:hAnsi="Arial"/>
                <w:sz w:val="16"/>
                <w:szCs w:val="16"/>
                <w:color w:val="auto"/>
                <w:w w:val="96"/>
              </w:rPr>
              <w:t>Q4 FY17</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MXN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(11,176,000)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15.40 per USD</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15.78 per USD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(66,733)</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Feb 2016 - Apr 2016</w:t>
            </w:r>
          </w:p>
        </w:tc>
        <w:tc>
          <w:tcPr>
            <w:tcW w:w="1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6"/>
              </w:rPr>
              <w:t>Q1 FY17</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MXN</w:t>
            </w:r>
          </w:p>
        </w:tc>
        <w:tc>
          <w:tcPr>
            <w:tcW w:w="1500" w:type="dxa"/>
            <w:vAlign w:val="bottom"/>
          </w:tcPr>
          <w:p>
            <w:pPr>
              <w:jc w:val="right"/>
              <w:spacing w:after="0"/>
              <w:rPr>
                <w:sz w:val="20"/>
                <w:szCs w:val="20"/>
                <w:color w:val="auto"/>
              </w:rPr>
            </w:pPr>
            <w:r>
              <w:rPr>
                <w:rFonts w:ascii="Arial" w:cs="Arial" w:eastAsia="Arial" w:hAnsi="Arial"/>
                <w:sz w:val="16"/>
                <w:szCs w:val="16"/>
                <w:color w:val="auto"/>
              </w:rPr>
              <w:t>(39,249,000)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15.73 per USD</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16.17 per USD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(184,500)</w:t>
            </w:r>
          </w:p>
        </w:tc>
        <w:tc>
          <w:tcPr>
            <w:tcW w:w="100" w:type="dxa"/>
            <w:vAlign w:val="bottom"/>
          </w:tcPr>
          <w:p>
            <w:pPr>
              <w:spacing w:after="0"/>
              <w:rPr>
                <w:sz w:val="20"/>
                <w:szCs w:val="20"/>
                <w:color w:val="auto"/>
              </w:rPr>
            </w:pPr>
          </w:p>
        </w:tc>
        <w:tc>
          <w:tcPr>
            <w:tcW w:w="2040" w:type="dxa"/>
            <w:vAlign w:val="bottom"/>
            <w:gridSpan w:val="3"/>
          </w:tcPr>
          <w:p>
            <w:pPr>
              <w:ind w:left="280"/>
              <w:spacing w:after="0"/>
              <w:rPr>
                <w:sz w:val="20"/>
                <w:szCs w:val="20"/>
                <w:color w:val="auto"/>
              </w:rPr>
            </w:pPr>
            <w:r>
              <w:rPr>
                <w:rFonts w:ascii="Arial" w:cs="Arial" w:eastAsia="Arial" w:hAnsi="Arial"/>
                <w:sz w:val="16"/>
                <w:szCs w:val="16"/>
                <w:color w:val="auto"/>
              </w:rPr>
              <w:t>May 2016 - Jul 2016</w:t>
            </w:r>
          </w:p>
        </w:tc>
        <w:tc>
          <w:tcPr>
            <w:tcW w:w="1240" w:type="dxa"/>
            <w:vAlign w:val="bottom"/>
          </w:tcPr>
          <w:p>
            <w:pPr>
              <w:ind w:left="600"/>
              <w:spacing w:after="0"/>
              <w:rPr>
                <w:sz w:val="20"/>
                <w:szCs w:val="20"/>
                <w:color w:val="auto"/>
              </w:rPr>
            </w:pPr>
            <w:r>
              <w:rPr>
                <w:rFonts w:ascii="Arial" w:cs="Arial" w:eastAsia="Arial" w:hAnsi="Arial"/>
                <w:sz w:val="16"/>
                <w:szCs w:val="16"/>
                <w:color w:val="auto"/>
                <w:w w:val="96"/>
              </w:rPr>
              <w:t>Q2 FY17</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MXN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(42,000,000)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16.71 per USD</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17.17 per USD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(66,786)</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Aug 2016 - Oct 2016</w:t>
            </w:r>
          </w:p>
        </w:tc>
        <w:tc>
          <w:tcPr>
            <w:tcW w:w="1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6"/>
              </w:rPr>
              <w:t>Q3 FY17</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MXN</w:t>
            </w:r>
          </w:p>
        </w:tc>
        <w:tc>
          <w:tcPr>
            <w:tcW w:w="1500" w:type="dxa"/>
            <w:vAlign w:val="bottom"/>
          </w:tcPr>
          <w:p>
            <w:pPr>
              <w:jc w:val="right"/>
              <w:spacing w:after="0"/>
              <w:rPr>
                <w:sz w:val="20"/>
                <w:szCs w:val="20"/>
                <w:color w:val="auto"/>
              </w:rPr>
            </w:pPr>
            <w:r>
              <w:rPr>
                <w:rFonts w:ascii="Arial" w:cs="Arial" w:eastAsia="Arial" w:hAnsi="Arial"/>
                <w:sz w:val="16"/>
                <w:szCs w:val="16"/>
                <w:color w:val="auto"/>
              </w:rPr>
              <w:t>(44,453,000)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17.27 per USD</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17.71 per USD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(12,751)</w:t>
            </w:r>
          </w:p>
        </w:tc>
        <w:tc>
          <w:tcPr>
            <w:tcW w:w="100" w:type="dxa"/>
            <w:vAlign w:val="bottom"/>
          </w:tcPr>
          <w:p>
            <w:pPr>
              <w:spacing w:after="0"/>
              <w:rPr>
                <w:sz w:val="20"/>
                <w:szCs w:val="20"/>
                <w:color w:val="auto"/>
              </w:rPr>
            </w:pPr>
          </w:p>
        </w:tc>
        <w:tc>
          <w:tcPr>
            <w:tcW w:w="2040" w:type="dxa"/>
            <w:vAlign w:val="bottom"/>
            <w:gridSpan w:val="3"/>
          </w:tcPr>
          <w:p>
            <w:pPr>
              <w:ind w:left="280"/>
              <w:spacing w:after="0"/>
              <w:rPr>
                <w:sz w:val="20"/>
                <w:szCs w:val="20"/>
                <w:color w:val="auto"/>
              </w:rPr>
            </w:pPr>
            <w:r>
              <w:rPr>
                <w:rFonts w:ascii="Arial" w:cs="Arial" w:eastAsia="Arial" w:hAnsi="Arial"/>
                <w:sz w:val="16"/>
                <w:szCs w:val="16"/>
                <w:color w:val="auto"/>
              </w:rPr>
              <w:t>Nov 2016 - Jan 2017</w:t>
            </w:r>
          </w:p>
        </w:tc>
        <w:tc>
          <w:tcPr>
            <w:tcW w:w="1240" w:type="dxa"/>
            <w:vAlign w:val="bottom"/>
          </w:tcPr>
          <w:p>
            <w:pPr>
              <w:ind w:left="600"/>
              <w:spacing w:after="0"/>
              <w:rPr>
                <w:sz w:val="20"/>
                <w:szCs w:val="20"/>
                <w:color w:val="auto"/>
              </w:rPr>
            </w:pPr>
            <w:r>
              <w:rPr>
                <w:rFonts w:ascii="Arial" w:cs="Arial" w:eastAsia="Arial" w:hAnsi="Arial"/>
                <w:sz w:val="16"/>
                <w:szCs w:val="16"/>
                <w:color w:val="auto"/>
                <w:w w:val="96"/>
              </w:rPr>
              <w:t>Q4 FY17</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MXN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(32,529,000)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17.44 per USD</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17.97 per USD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4,738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88"/>
              </w:rPr>
              <w:t>Feb 2017</w:t>
            </w: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Mar 2017</w:t>
            </w:r>
          </w:p>
        </w:tc>
        <w:tc>
          <w:tcPr>
            <w:tcW w:w="1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6"/>
              </w:rPr>
              <w:t>Q1 FY18</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AUD</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2,228,000</w:t>
            </w:r>
          </w:p>
        </w:tc>
        <w:tc>
          <w:tcPr>
            <w:tcW w:w="1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0.765</w:t>
            </w:r>
          </w:p>
        </w:tc>
        <w:tc>
          <w:tcPr>
            <w:tcW w:w="120" w:type="dxa"/>
            <w:vAlign w:val="bottom"/>
          </w:tcPr>
          <w:p>
            <w:pPr>
              <w:spacing w:after="0"/>
              <w:rPr>
                <w:sz w:val="20"/>
                <w:szCs w:val="20"/>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0.752</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(22,700)</w:t>
            </w:r>
          </w:p>
        </w:tc>
        <w:tc>
          <w:tcPr>
            <w:tcW w:w="100" w:type="dxa"/>
            <w:vAlign w:val="bottom"/>
          </w:tcPr>
          <w:p>
            <w:pPr>
              <w:spacing w:after="0"/>
              <w:rPr>
                <w:sz w:val="20"/>
                <w:szCs w:val="20"/>
                <w:color w:val="auto"/>
              </w:rPr>
            </w:pPr>
          </w:p>
        </w:tc>
        <w:tc>
          <w:tcPr>
            <w:tcW w:w="2040" w:type="dxa"/>
            <w:vAlign w:val="bottom"/>
            <w:gridSpan w:val="3"/>
          </w:tcPr>
          <w:p>
            <w:pPr>
              <w:ind w:left="280"/>
              <w:spacing w:after="0"/>
              <w:rPr>
                <w:sz w:val="20"/>
                <w:szCs w:val="20"/>
                <w:color w:val="auto"/>
              </w:rPr>
            </w:pPr>
            <w:r>
              <w:rPr>
                <w:rFonts w:ascii="Arial" w:cs="Arial" w:eastAsia="Arial" w:hAnsi="Arial"/>
                <w:sz w:val="16"/>
                <w:szCs w:val="16"/>
                <w:color w:val="auto"/>
              </w:rPr>
              <w:t>Jan 2016 - Mar 2016</w:t>
            </w:r>
          </w:p>
        </w:tc>
        <w:tc>
          <w:tcPr>
            <w:tcW w:w="1240" w:type="dxa"/>
            <w:vAlign w:val="bottom"/>
          </w:tcPr>
          <w:p>
            <w:pPr>
              <w:ind w:left="600"/>
              <w:spacing w:after="0"/>
              <w:rPr>
                <w:sz w:val="20"/>
                <w:szCs w:val="20"/>
                <w:color w:val="auto"/>
              </w:rPr>
            </w:pPr>
            <w:r>
              <w:rPr>
                <w:rFonts w:ascii="Arial" w:cs="Arial" w:eastAsia="Arial" w:hAnsi="Arial"/>
                <w:sz w:val="16"/>
                <w:szCs w:val="16"/>
                <w:color w:val="auto"/>
                <w:w w:val="96"/>
              </w:rPr>
              <w:t>Q1 FY17</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AUD</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2,610,000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0.727</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0.715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(114,844)</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6"/>
                <w:szCs w:val="16"/>
                <w:color w:val="auto"/>
              </w:rPr>
              <w:t>Apr 2016 - Jun 2016</w:t>
            </w:r>
          </w:p>
        </w:tc>
        <w:tc>
          <w:tcPr>
            <w:tcW w:w="1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6"/>
              </w:rPr>
              <w:t>Q2 FY17</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AUD</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2,979,000</w:t>
            </w:r>
          </w:p>
        </w:tc>
        <w:tc>
          <w:tcPr>
            <w:tcW w:w="1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0.719</w:t>
            </w:r>
          </w:p>
        </w:tc>
        <w:tc>
          <w:tcPr>
            <w:tcW w:w="120" w:type="dxa"/>
            <w:vAlign w:val="bottom"/>
          </w:tcPr>
          <w:p>
            <w:pPr>
              <w:spacing w:after="0"/>
              <w:rPr>
                <w:sz w:val="20"/>
                <w:szCs w:val="20"/>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0.708</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(139,481)</w:t>
            </w:r>
          </w:p>
        </w:tc>
        <w:tc>
          <w:tcPr>
            <w:tcW w:w="100" w:type="dxa"/>
            <w:vAlign w:val="bottom"/>
          </w:tcPr>
          <w:p>
            <w:pPr>
              <w:spacing w:after="0"/>
              <w:rPr>
                <w:sz w:val="20"/>
                <w:szCs w:val="20"/>
                <w:color w:val="auto"/>
              </w:rPr>
            </w:pPr>
          </w:p>
        </w:tc>
        <w:tc>
          <w:tcPr>
            <w:tcW w:w="2040" w:type="dxa"/>
            <w:vAlign w:val="bottom"/>
            <w:gridSpan w:val="3"/>
          </w:tcPr>
          <w:p>
            <w:pPr>
              <w:ind w:left="320"/>
              <w:spacing w:after="0"/>
              <w:rPr>
                <w:sz w:val="20"/>
                <w:szCs w:val="20"/>
                <w:color w:val="auto"/>
              </w:rPr>
            </w:pPr>
            <w:r>
              <w:rPr>
                <w:rFonts w:ascii="Arial" w:cs="Arial" w:eastAsia="Arial" w:hAnsi="Arial"/>
                <w:sz w:val="16"/>
                <w:szCs w:val="16"/>
                <w:color w:val="auto"/>
              </w:rPr>
              <w:t>Jul 2016 - Sep 2016</w:t>
            </w:r>
          </w:p>
        </w:tc>
        <w:tc>
          <w:tcPr>
            <w:tcW w:w="1240" w:type="dxa"/>
            <w:vAlign w:val="bottom"/>
          </w:tcPr>
          <w:p>
            <w:pPr>
              <w:ind w:left="600"/>
              <w:spacing w:after="0"/>
              <w:rPr>
                <w:sz w:val="20"/>
                <w:szCs w:val="20"/>
                <w:color w:val="auto"/>
              </w:rPr>
            </w:pPr>
            <w:r>
              <w:rPr>
                <w:rFonts w:ascii="Arial" w:cs="Arial" w:eastAsia="Arial" w:hAnsi="Arial"/>
                <w:sz w:val="16"/>
                <w:szCs w:val="16"/>
                <w:color w:val="auto"/>
                <w:w w:val="96"/>
              </w:rPr>
              <w:t>Q3 FY17</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AUD</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3,320,000</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0.755</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0.745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(28,687)</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2"/>
              </w:rPr>
              <w:t>Oct 2016</w:t>
            </w: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Dec 2016</w:t>
            </w:r>
          </w:p>
        </w:tc>
        <w:tc>
          <w:tcPr>
            <w:tcW w:w="1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6"/>
              </w:rPr>
              <w:t>Q4 FY17</w:t>
            </w:r>
          </w:p>
        </w:tc>
        <w:tc>
          <w:tcPr>
            <w:tcW w:w="0" w:type="dxa"/>
            <w:vAlign w:val="bottom"/>
          </w:tcPr>
          <w:p>
            <w:pPr>
              <w:spacing w:after="0"/>
              <w:rPr>
                <w:sz w:val="1"/>
                <w:szCs w:val="1"/>
                <w:color w:val="auto"/>
              </w:rPr>
            </w:pPr>
          </w:p>
        </w:tc>
      </w:tr>
      <w:tr>
        <w:trPr>
          <w:trHeight w:val="217"/>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(3,574,557)</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$6.2 million increase in the fair value of the forward contracts; whereas a 10% weakening of the U.S. dollar would result in a $6.2 million decrease in the fair value of the forward contracts.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exposure to changes in interest rates is associated with borrowings on our Credit Agreement, all of which is variable rate debt. Total outstanding debt under our Credit Facilities for the fiscal year ended April 2, 2016 was $408.1 million with an interest rate of 1.875% based on prevailing Adjusted LIBOR rates. An increase of 100 basis points in Adjusted LIBOR rates would result in additional annual interest expense of $4.1 million. On December 21, 2012, we entered into interest rate swap</w:t>
      </w:r>
    </w:p>
    <w:p>
      <w:pPr>
        <w:sectPr>
          <w:pgSz w:w="11900" w:h="16838" w:orient="portrait"/>
          <w:cols w:equalWidth="0" w:num="1">
            <w:col w:w="11420"/>
          </w:cols>
          <w:pgMar w:left="240" w:top="130"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30" w:right="239" w:bottom="1440" w:gutter="0" w:footer="0" w:header="0"/>
          <w:type w:val="continuous"/>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agreements to effectively convert $250.0 million of borrowings from a variable rate to a fixed rate. The interest rate swaps qualify for hedge accounting treatment as cash flow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40"/>
          </w:cols>
          <w:pgMar w:left="240" w:top="130" w:right="71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Haemonetics Corporation</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audited the accompanying consolidated balance sheets of Haemonetics Corporation and subsidiaries as of April 2, 2016 and March 28, 2015, and the related consolidated statements of (loss) income, comprehensive (loss) income, stockholders' equity and cash flows for each of the three years in the period ended April 2, 2016. Our audits also included the financial statement schedule listed in the Index at Item 15(a). These financial statements are the responsibility of the Company's management. Our responsibility is to express an opinion on these financial statements based on our audits.</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Haemonetics Corporation and subsidiaries at April 2, 2016 and March 28, 2015, and the consolidated results of their operations and their cash flows for each of the three years in the period ended April 2, 2016,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88"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Haemonetics Corporation's internal control over financial reporting as of April 2, 2016, based on criteria established in Internal Control-Integrated Framework issued by the Committee of Sponsoring Organizations of the Treadway Commission (2013 framework), and our report dated June 1, 2016 expressed an adverse opinion thereon.</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 2016</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30" w:right="25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(LOSS)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13"/>
                <w:szCs w:val="13"/>
                <w:color w:val="auto"/>
              </w:rPr>
            </w:pPr>
          </w:p>
        </w:tc>
        <w:tc>
          <w:tcPr>
            <w:tcW w:w="13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March 28,</w:t>
            </w:r>
          </w:p>
        </w:tc>
        <w:tc>
          <w:tcPr>
            <w:tcW w:w="260" w:type="dxa"/>
            <w:vAlign w:val="bottom"/>
          </w:tcPr>
          <w:p>
            <w:pPr>
              <w:spacing w:after="0"/>
              <w:rPr>
                <w:sz w:val="13"/>
                <w:szCs w:val="13"/>
                <w:color w:val="auto"/>
              </w:rPr>
            </w:pPr>
          </w:p>
        </w:tc>
        <w:tc>
          <w:tcPr>
            <w:tcW w:w="1220" w:type="dxa"/>
            <w:vAlign w:val="bottom"/>
          </w:tcPr>
          <w:p>
            <w:pPr>
              <w:jc w:val="right"/>
              <w:ind w:right="352"/>
              <w:spacing w:after="0" w:line="153" w:lineRule="exact"/>
              <w:rPr>
                <w:sz w:val="20"/>
                <w:szCs w:val="20"/>
                <w:color w:val="auto"/>
              </w:rPr>
            </w:pPr>
            <w:r>
              <w:rPr>
                <w:rFonts w:ascii="Arial" w:cs="Arial" w:eastAsia="Arial" w:hAnsi="Arial"/>
                <w:sz w:val="14"/>
                <w:szCs w:val="14"/>
                <w:b w:val="1"/>
                <w:bCs w:val="1"/>
                <w:color w:val="auto"/>
              </w:rPr>
              <w:t>March 29,</w:t>
            </w:r>
          </w:p>
        </w:tc>
      </w:t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70"/>
        </w:trPr>
        <w:tc>
          <w:tcPr>
            <w:tcW w:w="6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908,832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910,373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938,509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502,918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475,955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470,144</w:t>
            </w:r>
          </w:p>
        </w:tc>
      </w:tr>
      <w:tr>
        <w:trPr>
          <w:trHeight w:val="27"/>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405,914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434,418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468,365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44,965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54,187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317,223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337,168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365,977</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92,395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Contingent consideration (income) expense</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45</w:t>
            </w:r>
          </w:p>
        </w:tc>
      </w:tr>
      <w:tr>
        <w:trPr>
          <w:trHeight w:val="27"/>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449,856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393,878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421,933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(43,942)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40,540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46,432</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(Loss) income before provision for income taxes</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(53,416)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31,165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36,401</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1,253</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(loss)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(55,579)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16,897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35,148</w:t>
            </w:r>
          </w:p>
        </w:tc>
      </w:tr>
      <w:tr>
        <w:trPr>
          <w:trHeight w:val="257"/>
        </w:trPr>
        <w:tc>
          <w:tcPr>
            <w:tcW w:w="67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(loss) income per share - 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0.68</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 per share - 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0.67</w:t>
            </w:r>
          </w:p>
        </w:tc>
      </w:tr>
      <w:tr>
        <w:trPr>
          <w:trHeight w:val="324"/>
        </w:trPr>
        <w:tc>
          <w:tcPr>
            <w:tcW w:w="6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50,910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51,533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51,611</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50,910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52,089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52,377</w:t>
            </w:r>
          </w:p>
        </w:tc>
      </w:tr>
      <w:tr>
        <w:trPr>
          <w:trHeight w:val="27"/>
        </w:trPr>
        <w:tc>
          <w:tcPr>
            <w:tcW w:w="6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2, 2016</w:t>
            </w:r>
          </w:p>
        </w:tc>
        <w:tc>
          <w:tcPr>
            <w:tcW w:w="200" w:type="dxa"/>
            <w:vAlign w:val="bottom"/>
          </w:tcPr>
          <w:p>
            <w:pPr>
              <w:spacing w:after="0"/>
              <w:rPr>
                <w:sz w:val="22"/>
                <w:szCs w:val="22"/>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March 28, 2015</w:t>
            </w:r>
          </w:p>
        </w:tc>
        <w:tc>
          <w:tcPr>
            <w:tcW w:w="200" w:type="dxa"/>
            <w:vAlign w:val="bottom"/>
          </w:tcPr>
          <w:p>
            <w:pPr>
              <w:spacing w:after="0"/>
              <w:rPr>
                <w:sz w:val="22"/>
                <w:szCs w:val="22"/>
                <w:color w:val="auto"/>
              </w:rPr>
            </w:pPr>
          </w:p>
        </w:tc>
        <w:tc>
          <w:tcPr>
            <w:tcW w:w="1280" w:type="dxa"/>
            <w:vAlign w:val="bottom"/>
          </w:tcPr>
          <w:p>
            <w:pPr>
              <w:jc w:val="right"/>
              <w:ind w:right="172"/>
              <w:spacing w:after="0"/>
              <w:rPr>
                <w:sz w:val="20"/>
                <w:szCs w:val="20"/>
                <w:color w:val="auto"/>
              </w:rPr>
            </w:pPr>
            <w:r>
              <w:rPr>
                <w:rFonts w:ascii="Arial" w:cs="Arial" w:eastAsia="Arial" w:hAnsi="Arial"/>
                <w:sz w:val="14"/>
                <w:szCs w:val="14"/>
                <w:b w:val="1"/>
                <w:bCs w:val="1"/>
                <w:color w:val="auto"/>
              </w:rPr>
              <w:t>March 29, 2014</w:t>
            </w:r>
          </w:p>
        </w:tc>
      </w:tr>
      <w:tr>
        <w:trPr>
          <w:trHeight w:val="324"/>
        </w:trPr>
        <w:tc>
          <w:tcPr>
            <w:tcW w:w="67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35,148</w:t>
            </w:r>
          </w:p>
        </w:tc>
      </w:tr>
      <w:tr>
        <w:trPr>
          <w:trHeight w:val="324"/>
        </w:trPr>
        <w:tc>
          <w:tcPr>
            <w:tcW w:w="6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Impact of defined benefit plans, net of tax</w:t>
            </w:r>
          </w:p>
        </w:tc>
        <w:tc>
          <w:tcPr>
            <w:tcW w:w="2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481</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Unrealized (loss) gain on cash flow hedges, net of tax</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11,371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5,001</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 into earnings of cash flow hedge gains,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(13,316)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(23,134)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(4,023)</w:t>
            </w: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(68,895)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31,125</w:t>
            </w: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14"/>
                <w:szCs w:val="14"/>
                <w:color w:val="auto"/>
              </w:rPr>
            </w:pPr>
          </w:p>
        </w:tc>
        <w:tc>
          <w:tcPr>
            <w:tcW w:w="1200" w:type="dxa"/>
            <w:vAlign w:val="bottom"/>
          </w:tcPr>
          <w:p>
            <w:pPr>
              <w:jc w:val="right"/>
              <w:ind w:right="360"/>
              <w:spacing w:after="0"/>
              <w:rPr>
                <w:sz w:val="20"/>
                <w:szCs w:val="20"/>
                <w:color w:val="auto"/>
              </w:rPr>
            </w:pPr>
            <w:r>
              <w:rPr>
                <w:rFonts w:ascii="Arial" w:cs="Arial" w:eastAsia="Arial" w:hAnsi="Arial"/>
                <w:sz w:val="14"/>
                <w:szCs w:val="14"/>
                <w:b w:val="1"/>
                <w:bCs w:val="1"/>
                <w:color w:val="auto"/>
              </w:rPr>
              <w:t>March 28,</w:t>
            </w:r>
          </w:p>
        </w:tc>
      </w:t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521"/>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115,123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160,662</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less allowance of $2,253 at April 2, 2016 and $1,749 at March 28, 2015</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157,093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145,827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Inventories, net</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187,028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211,077</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28,842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40,103</w:t>
            </w: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488,086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557,669</w:t>
            </w:r>
          </w:p>
        </w:tc>
      </w:tr>
      <w:tr>
        <w:trPr>
          <w:trHeight w:val="33"/>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337,634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321,948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Intangible assets, less accumulated amortization of $190,816 at April 2, 2016 and $133,175 at March 28, 2015</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204,458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244,588</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267,840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334,310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asset, long term</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7,055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15,631</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assets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14,055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11,271</w:t>
            </w:r>
          </w:p>
        </w:tc>
      </w:tr>
      <w:tr>
        <w:trPr>
          <w:trHeight w:val="28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6"/>
                <w:szCs w:val="16"/>
                <w:b w:val="1"/>
                <w:bCs w:val="1"/>
                <w:color w:val="auto"/>
              </w:rPr>
              <w:t>Total assets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1,319,128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1,485,417</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payable and current maturities of long-term debt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43,471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21,522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39,674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48,425</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payroll and related costs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35,798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51,115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66,608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67,622</w:t>
            </w:r>
          </w:p>
        </w:tc>
      </w:tr>
      <w:tr>
        <w:trPr>
          <w:trHeight w:val="33"/>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185,551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188,684</w:t>
            </w:r>
          </w:p>
        </w:tc>
      </w:tr>
      <w:tr>
        <w:trPr>
          <w:trHeight w:val="217"/>
        </w:trPr>
        <w:tc>
          <w:tcPr>
            <w:tcW w:w="8340" w:type="dxa"/>
            <w:vAlign w:val="bottom"/>
          </w:tcPr>
          <w:p>
            <w:pPr>
              <w:ind w:left="180"/>
              <w:spacing w:after="0"/>
              <w:rPr>
                <w:sz w:val="20"/>
                <w:szCs w:val="20"/>
                <w:color w:val="auto"/>
              </w:rPr>
            </w:pPr>
            <w:r>
              <w:rPr>
                <w:rFonts w:ascii="Arial" w:cs="Arial" w:eastAsia="Arial" w:hAnsi="Arial"/>
                <w:sz w:val="16"/>
                <w:szCs w:val="16"/>
                <w:color w:val="auto"/>
              </w:rPr>
              <w:t>Long-term debt, net of current maturities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364,529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406,369</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deferred tax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32,505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26,106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31,737</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0"/>
        </w:trPr>
        <w:tc>
          <w:tcPr>
            <w:tcW w:w="8340" w:type="dxa"/>
            <w:vAlign w:val="bottom"/>
          </w:tcPr>
          <w:p>
            <w:pPr>
              <w:ind w:left="180"/>
              <w:spacing w:after="0"/>
              <w:rPr>
                <w:sz w:val="20"/>
                <w:szCs w:val="20"/>
                <w:color w:val="auto"/>
              </w:rPr>
            </w:pPr>
            <w:r>
              <w:rPr>
                <w:rFonts w:ascii="Arial" w:cs="Arial" w:eastAsia="Arial" w:hAnsi="Arial"/>
                <w:sz w:val="16"/>
                <w:szCs w:val="16"/>
                <w:color w:val="auto"/>
                <w:w w:val="92"/>
              </w:rPr>
              <w:t>Common stock, $0.01 par value; Authorized — 150,000,000 shares; Issued and outstanding — 50,932,348 shares at April 2,</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8340" w:type="dxa"/>
            <w:vAlign w:val="bottom"/>
          </w:tcPr>
          <w:p>
            <w:pPr>
              <w:ind w:left="180"/>
              <w:spacing w:after="0"/>
              <w:rPr>
                <w:sz w:val="20"/>
                <w:szCs w:val="20"/>
                <w:color w:val="auto"/>
              </w:rPr>
            </w:pPr>
            <w:r>
              <w:rPr>
                <w:rFonts w:ascii="Arial" w:cs="Arial" w:eastAsia="Arial" w:hAnsi="Arial"/>
                <w:sz w:val="16"/>
                <w:szCs w:val="16"/>
                <w:color w:val="auto"/>
              </w:rPr>
              <w:t>2016 and 51,670,969 shares at March 28, 2015</w:t>
            </w:r>
          </w:p>
        </w:tc>
        <w:tc>
          <w:tcPr>
            <w:tcW w:w="300" w:type="dxa"/>
            <w:vAlign w:val="bottom"/>
          </w:tcPr>
          <w:p>
            <w:pPr>
              <w:spacing w:after="0"/>
              <w:rPr>
                <w:sz w:val="17"/>
                <w:szCs w:val="17"/>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517</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439,912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426,964</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316,184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420,365</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(21,724)</w:t>
            </w: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721,565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826,122</w:t>
            </w:r>
          </w:p>
        </w:tc>
      </w:tr>
      <w:tr>
        <w:trPr>
          <w:trHeight w:val="33"/>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1,319,128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1,485,417</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880" w:type="dxa"/>
            <w:vAlign w:val="bottom"/>
            <w:gridSpan w:val="5"/>
            <w:vMerge w:val="restart"/>
          </w:tcPr>
          <w:p>
            <w:pPr>
              <w:jc w:val="center"/>
              <w:ind w:right="100"/>
              <w:spacing w:after="0"/>
              <w:rPr>
                <w:sz w:val="20"/>
                <w:szCs w:val="20"/>
                <w:color w:val="auto"/>
              </w:rPr>
            </w:pPr>
            <w:r>
              <w:rPr>
                <w:rFonts w:ascii="Arial" w:cs="Arial" w:eastAsia="Arial" w:hAnsi="Arial"/>
                <w:sz w:val="13"/>
                <w:szCs w:val="13"/>
                <w:b w:val="1"/>
                <w:bCs w:val="1"/>
                <w:color w:val="auto"/>
                <w:w w:val="85"/>
              </w:rPr>
              <w:t>Common Stock</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24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92"/>
              </w:rPr>
              <w:t>Other</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42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tcPr>
          <w:p>
            <w:pPr>
              <w:jc w:val="center"/>
              <w:ind w:right="280"/>
              <w:spacing w:after="0" w:line="110" w:lineRule="exact"/>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tcPr>
          <w:p>
            <w:pPr>
              <w:jc w:val="center"/>
              <w:ind w:right="280"/>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280" w:type="dxa"/>
            <w:vAlign w:val="bottom"/>
          </w:tcPr>
          <w:p>
            <w:pPr>
              <w:spacing w:after="0"/>
              <w:rPr>
                <w:sz w:val="9"/>
                <w:szCs w:val="9"/>
                <w:color w:val="auto"/>
              </w:rPr>
            </w:pPr>
          </w:p>
        </w:tc>
        <w:tc>
          <w:tcPr>
            <w:tcW w:w="960" w:type="dxa"/>
            <w:vAlign w:val="bottom"/>
          </w:tcPr>
          <w:p>
            <w:pPr>
              <w:jc w:val="right"/>
              <w:ind w:right="409"/>
              <w:spacing w:after="0" w:line="110"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82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b w:val="1"/>
                <w:bCs w:val="1"/>
                <w:color w:val="auto"/>
              </w:rPr>
              <w:t>Par Value</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Paid-in Capital</w:t>
            </w:r>
          </w:p>
        </w:tc>
        <w:tc>
          <w:tcPr>
            <w:tcW w:w="10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 Earnings</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Income/(Loss)</w:t>
            </w:r>
          </w:p>
        </w:tc>
        <w:tc>
          <w:tcPr>
            <w:tcW w:w="124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Stockholders’ Equity</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30, 2013</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51,032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365,040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398,199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5,433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769,182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5,227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5,229</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 and related tax benefit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19,263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19,270</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Stock-based compensation adjustment related to acquisition</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repurchased</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compensation expense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13,081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13,081</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35,148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35,148</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(4,023)</w:t>
            </w:r>
          </w:p>
        </w:tc>
        <w:tc>
          <w:tcPr>
            <w:tcW w:w="0" w:type="dxa"/>
            <w:vAlign w:val="bottom"/>
          </w:tcPr>
          <w:p>
            <w:pPr>
              <w:spacing w:after="0"/>
              <w:rPr>
                <w:sz w:val="1"/>
                <w:szCs w:val="1"/>
                <w:color w:val="auto"/>
              </w:rPr>
            </w:pPr>
          </w:p>
        </w:tc>
      </w:tr>
      <w:tr>
        <w:trPr>
          <w:trHeight w:val="283"/>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March 29, 2014</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52,041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520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402,611</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433,347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1,410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837,888</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4,761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4,763</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Exercise of stock options and related tax benefit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14,640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14,645</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repurchased</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(1,174)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(29,879)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(39,033)</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compensation expense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14,095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14,095</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16,897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16,897</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(23,134)</w:t>
            </w:r>
          </w:p>
        </w:tc>
        <w:tc>
          <w:tcPr>
            <w:tcW w:w="0" w:type="dxa"/>
            <w:vAlign w:val="bottom"/>
          </w:tcPr>
          <w:p>
            <w:pPr>
              <w:spacing w:after="0"/>
              <w:rPr>
                <w:sz w:val="1"/>
                <w:szCs w:val="1"/>
                <w:color w:val="auto"/>
              </w:rPr>
            </w:pPr>
          </w:p>
        </w:tc>
      </w:tr>
      <w:tr>
        <w:trPr>
          <w:trHeight w:val="283"/>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March 28, 2015</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51,671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517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426,964</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420,365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(21,724)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826,122</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4,340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4,341</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Exercise of stock options and related tax benefit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492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14,026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14,032</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repurchased</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(1,488)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(48,602)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(60,984)</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compensation expense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6,949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6,949</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(55,579)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(55,579)</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Balance, April 2, 2016</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50,932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509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439,912</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316,184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(35,040)</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721,565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April 2,</w:t>
            </w:r>
          </w:p>
        </w:tc>
        <w:tc>
          <w:tcPr>
            <w:tcW w:w="240" w:type="dxa"/>
            <w:vAlign w:val="bottom"/>
          </w:tcPr>
          <w:p>
            <w:pPr>
              <w:spacing w:after="0"/>
              <w:rPr>
                <w:sz w:val="13"/>
                <w:szCs w:val="13"/>
                <w:color w:val="auto"/>
              </w:rPr>
            </w:pPr>
          </w:p>
        </w:tc>
        <w:tc>
          <w:tcPr>
            <w:tcW w:w="13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March 28,</w:t>
            </w:r>
          </w:p>
        </w:tc>
        <w:tc>
          <w:tcPr>
            <w:tcW w:w="260" w:type="dxa"/>
            <w:vAlign w:val="bottom"/>
          </w:tcPr>
          <w:p>
            <w:pPr>
              <w:spacing w:after="0"/>
              <w:rPr>
                <w:sz w:val="13"/>
                <w:szCs w:val="13"/>
                <w:color w:val="auto"/>
              </w:rPr>
            </w:pPr>
          </w:p>
        </w:tc>
        <w:tc>
          <w:tcPr>
            <w:tcW w:w="120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Net (loss)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(55,579)</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16,897</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35,148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Adjustments to reconcile net (loss)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Non-cash items: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89,911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86,053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81,740</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Impairment of assets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101,243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5,877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2,587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14,095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13,082</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Deferred tax (benefit) expense</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4,230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1,736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Unrealized (gain)/loss from hedging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Changes in fair value of contingent consideration</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losses on accounts receivable and inventory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3,020</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Other non-cash operating activities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899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5,367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Change in accounts receivable, net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(10,328)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8,446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6,063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(15,613)</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Change in prepaid income taxes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10,662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other assets and other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3,176</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Tax benefit of exercise of stock options</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3,786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1,649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accounts payable and accrued expenses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121,865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127,178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139,524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(102,405)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(122,220)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(73,648)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Acquisition of Hemerus</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(23,124)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acquisitions and investments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(9,546)</w:t>
            </w:r>
          </w:p>
        </w:tc>
        <w:tc>
          <w:tcPr>
            <w:tcW w:w="0" w:type="dxa"/>
            <w:vAlign w:val="bottom"/>
          </w:tcPr>
          <w:p>
            <w:pPr>
              <w:spacing w:after="0"/>
              <w:rPr>
                <w:sz w:val="1"/>
                <w:szCs w:val="1"/>
                <w:color w:val="auto"/>
              </w:rPr>
            </w:pP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(104,768)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(121,768)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(105,830)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Payments on long-term real estate mortgage</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increase (decrease) in short-term loans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(5,521)</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Repayment of term loan borrowings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(21,342)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(37,063)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5,229</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14,032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9,290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15,225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 repurchases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(60,984)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Other financing activities</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2,395</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(62,624)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(33,160)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(20,699)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(45,539)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13,349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160,662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192,469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179,120</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Year</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115,123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160,662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192,469</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paid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8,942</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Income taxes paid</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7,829</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11,211</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7,261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Transfers from inventory to fixed assets for placement of Haemonetics equipment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9,663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7,458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10,584</w:t>
            </w:r>
          </w:p>
        </w:tc>
        <w:tc>
          <w:tcPr>
            <w:tcW w:w="0" w:type="dxa"/>
            <w:vAlign w:val="bottom"/>
          </w:tcPr>
          <w:p>
            <w:pPr>
              <w:spacing w:after="0"/>
              <w:rPr>
                <w:sz w:val="1"/>
                <w:szCs w:val="1"/>
                <w:color w:val="auto"/>
              </w:rPr>
            </w:pPr>
          </w:p>
        </w:tc>
      </w:tr>
      <w:tr>
        <w:trPr>
          <w:trHeight w:val="33"/>
        </w:trPr>
        <w:tc>
          <w:tcPr>
            <w:tcW w:w="6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3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30" w:right="239" w:bottom="1440" w:gutter="0" w:footer="0" w:header="0"/>
          <w:type w:val="continuous"/>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 AND BASIS OF PRESENTATION</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Haemonetics is a global healthcare company dedicated to providing innovative products to customers involved in the processing, handling and analysis of blood. We offer a comprehensive portfolio of integrated devices and information management tools with the goal of helping improve clinical outcomes and reduce costs for blood and plasma collectors, hospitals, and patients around the world.</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Blood and its components (plasma, platelets, and red cells) have many vital - and frequently life-saving - clinical applications. Plasma is used for patients with major blood loss and is manufactured into pharmaceuticals to treat a variety of illnesses and hereditary disorders such as hemophilia. Red cells treat trauma patients or patients undergoing surgery with high blood loss, such as open heart surgery or organ transplant. Platelets treat cancer patients undergoing chemotherapy. Blood is essential to a modern healthcare system.</w:t>
      </w:r>
    </w:p>
    <w:p>
      <w:pPr>
        <w:spacing w:after="0" w:line="18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Haemonetics develops and markets a wide range of devices and solutions to serve our customers. We provide plasma collection systems and software which enable plasma fractionators to make life saving pharmaceuticals. We provide analytical devices for measuring hemostasis which enable healthcare providers to better manage their patients’ bleeding risk. Haemonetics makes blood processing systems and software which make blood donation more efficient and track life giving blood components. Finally, Haemonetics supplies systems and software which facilitate blood transfusions and cell processing.</w:t>
      </w:r>
    </w:p>
    <w:p>
      <w:pPr>
        <w:spacing w:after="0" w:line="154"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(“U.S. GAAP”). The accompanying consolidated financial statements present separately our financial position, results of operations, cash flows, and changes in shareholders’ equity. All amounts presented, except per share amounts, are stated in thousands of U.S. dollars, unless otherwise indicated.</w:t>
      </w:r>
    </w:p>
    <w:p>
      <w:pPr>
        <w:spacing w:after="0" w:line="16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We consider events or transactions that occur after the balance sheet date but prior to the issuance of the financial statements to provide additional evidence relative to certain estimates or to identify matters that require additional disclosure. Refer to Note 15,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for information pertaining to our new restructuring initiative, which was approved after the balance sheet date but prior to the issuance of the financial statements. There were no other material subsequent events identified.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13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fiscal year ends on the Saturday closest to the last day of March. Fiscal year 2016 includes 53 weeks with each of the first three quarters having 13 weeks and the fourth quarter having 14 weeks. Fiscal year 2015 and 2014 included 52 weeks with each quarter having 13 weeks.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3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accompanying consolidated financial statements include all accounts including those of our subsidiaries. All significant intercompany accounts and transactions have been eliminated in consolidation.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vary from the amounts derived from our estimates and assumptions. We consider estimates to be critical if we are required to make assumptions about material matters that are uncertain at the time of estimation or if materially different estimates could have been made or it is reasonably likely that the accounting estimate will change from period to period. The following are areas considered to be critical and require management’s judgment: revenue recognition, allowance for doubtful accounts, inventory provisions, intangible asset and goodwill valuation, legal and other judgmental accruals, and income taxes.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 years' amounts to conform to the current year's presentation.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3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may become involved in various legal proceedings that arise in the ordinary course of business, including, without limitation, patent infringement, product liability and environmental matters. Accruals recorded for various contingencies including legal proceedings, employee related litigation, self-insurance and other claims are based on judgment, the probability of losses and, where applicable, the consideration of opinions of internal and/or external legal counsel and actuarially determined estimates. When a loss is probable and a range of loss is established but a best estimate cannot be made, we record the minimum loss contingency amount, which could be zero. These estimates are often initially developed substantially earlier than the ultimate loss is known, and the estimates are reevaluated each accounting period, as additional information is available. As information becomes known, an additional loss provision is recorded when either a best estimate can be made or the minimum loss amount is increased. When events result in an expectation of a more favorable outcome than previously expected, our best estimate is changed to a lower amount.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Our revenue recognition policy is to recognize revenues from product sales, software and services in accordance with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ASC Topic 985-605, </w:t>
      </w:r>
      <w:r>
        <w:rPr>
          <w:rFonts w:ascii="Arial" w:cs="Arial" w:eastAsia="Arial" w:hAnsi="Arial"/>
          <w:sz w:val="17"/>
          <w:szCs w:val="17"/>
          <w:i w:val="1"/>
          <w:iCs w:val="1"/>
          <w:color w:val="auto"/>
        </w:rPr>
        <w:t>Software</w:t>
      </w:r>
      <w:r>
        <w:rPr>
          <w:rFonts w:ascii="Arial" w:cs="Arial" w:eastAsia="Arial" w:hAnsi="Arial"/>
          <w:sz w:val="17"/>
          <w:szCs w:val="17"/>
          <w:color w:val="auto"/>
        </w:rPr>
        <w:t xml:space="preserve">. These standards require that revenues are recognized when persuasive evidence of an arrangement exists, product delivery, including customer acceptance, has occurred or services have been rendered, the price is fixed or determinable and collectability is reasonably assured. We may have multiple contracts with the same customer and each contract is typically treated as a separate arrangement. When more than one element such as equipment, disposables, and services are contained in a single arrangement, we allocate revenue between the elements based on each element’s relative selling price, provided that each element meets the criteria for treatment as a separate unit of accounting. An item is considered a separate unit of accounting if it has value to the customer on a stand-alone basis. The selling price of the undelivered elements is determined by the price charged when the element is sold separately, or in cases when the item is not sold separately, by third-party evidence of selling price or by management's best estimate of selling price. For our software arrangements accounted for under the provisions of ASC 985-605, </w:t>
      </w:r>
      <w:r>
        <w:rPr>
          <w:rFonts w:ascii="Arial" w:cs="Arial" w:eastAsia="Arial" w:hAnsi="Arial"/>
          <w:sz w:val="17"/>
          <w:szCs w:val="17"/>
          <w:i w:val="1"/>
          <w:iCs w:val="1"/>
          <w:color w:val="auto"/>
        </w:rPr>
        <w:t>Software</w:t>
      </w:r>
      <w:r>
        <w:rPr>
          <w:rFonts w:ascii="Arial" w:cs="Arial" w:eastAsia="Arial" w:hAnsi="Arial"/>
          <w:sz w:val="17"/>
          <w:szCs w:val="17"/>
          <w:color w:val="auto"/>
        </w:rPr>
        <w:t>, we establish fair value of undelivered elements based upon vendor specific objective evidence.</w:t>
      </w:r>
    </w:p>
    <w:p>
      <w:pPr>
        <w:spacing w:after="0" w:line="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offer sales rebates and discounts to certain customers. We treat sales rebates and discounts as a reduction of revenue and classify the corresponding liability as current. We estimate rebates for products where there is sufficient historical information available to predict the volume of expected future rebates. If we are unable to estimate the expected rebates reasonably, we record a liability for the maximum potential rebate or discount that could be earned. In circumstances where we provide upfront rebate payments to customers, we capitalize the rebate payments and amortize the resulting asset as a reduction of revenue using a systematic method over the life of the contract.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Revenues</w:t>
      </w:r>
    </w:p>
    <w:p>
      <w:pPr>
        <w:spacing w:after="0" w:line="13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Product sales consist of the sale of our disposable blood component collection and processing sets and the related equipment. On product sales to end customers, revenue is recognized when both the title and risk of loss have transferred to the customer as determined by the shipping terms and all obligations have been completed. For product sales to distributors, we recognize revenue for both equipment and disposables upon shipment of these products to our distributors. Our standard contracts with our distributors state that title to the equipment passes to the distributors at point of shipment to a distributor’s location. The distributors are responsible for shipment to the end customer along with installation, training and acceptance of the equipment by the end customer. Payments from distributors are not contingent upon resale of the product. We also place equipment at customer sites. While we retain ownership of this equipment, the customer has the right to use it for a period of time provided they meet certain agreed to conditions. We recover the cost of providing the equipment from the sale of disposables.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Revenues</w:t>
      </w:r>
    </w:p>
    <w:p>
      <w:pPr>
        <w:spacing w:after="0" w:line="13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software solutions business provides support to our plasma, blood collection and hospital customers. We provide information technology platforms and technical support for donor recruitment, blood and plasma testing laboratories, and for efficient and compliant operations of blood and plasma collection centers. For plasma customers, we also provide information technology platforms for managing distribution of plasma from collection centers to plasma fractionation facilities. For hospitals, we provide solutions to help improve patient safety, reduce cost and ensure compliance.</w:t>
      </w:r>
    </w:p>
    <w:p>
      <w:pPr>
        <w:spacing w:after="0" w:line="6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Our software solutions revenues also include revenue from software sales which includes per collection or monthly subscription fees for the license and support of the software as well as hosting services. A significant portion of our software sales are perpetual licenses typically accompanied with significant implementation service fees related to software customization as well as other professional and technical service fees.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6" w:right="2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generally recognize revenue from the sale of perpetual licenses on a percentage-of-completion basis which requires us to make reasonable estimates of the extent of progress toward completion of the contract. These arrangements most often include providing customized implementation services to our customer. We also provide other services, including in some instances hosting, technical support, and maintenance, for the payment of periodic, monthly, or quarterly fees. We recognize these fees and charges as earned, typically as these services are provided during the contract period.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Non-Income Taxes</w:t>
      </w:r>
    </w:p>
    <w:p>
      <w:pPr>
        <w:spacing w:after="0" w:line="13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required to collect sales or valued added taxes in connection with the sale of certain of our products. We report revenues net of these amounts as they are promptly remitted to the relevant taxing authority.</w:t>
      </w:r>
    </w:p>
    <w:p>
      <w:pPr>
        <w:spacing w:after="0" w:line="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also required to pay a medical device excise tax relating to U.S. sales of Class I, II and III medical devices. This excise tax went into effect January 1, 2013, established as part of the March 2010 U.S. healthcare reform legislation, and has been included in selling, general and administrative expenses. In December 2015, this tax was suspended for two years, beginning on January 1, 2016. This tax may be imposed again beginning on January 1, 2018, unless the suspension is extended or the medical device excise tax is permanently repealed.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 of Foreign Currencies</w:t>
      </w:r>
    </w:p>
    <w:p>
      <w:pPr>
        <w:spacing w:after="0" w:line="13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All assets and liabilities of foreign subsidiaries are translated at the rate of exchange at year-end while sales and expenses are translated at an average rate in effect during the year. The net effect of these translation adjustments is shown in the accompanying financial statements as a component of stockholders' equity. Foreign currency transaction gains and losses, including those resulting from intercompany transactions, are charged directly to earnings and included in other expense, net on the consolidated statements of (loss) income. The impact of foreign exchange on long-term intercompany loans, for which repayment has not been scheduled or planned, are recorded in accumulated other comprehensive loss on the consolidated balance sheet.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Cash equivalents include various instruments such as money market funds, U.S. government obligations and commercial paper with maturities of three months or less at date of acquisition. Cash and cash equivalents are recorded at cost, which approximates fair market value. As of April 2, 2016, our cash and cash equivalents consisted of investments in United States Government Agency and institutional money market funds.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establish a specific allowance for customers when it is probable that they will not be able to meet their financial obligation. Customer accounts are reviewed individually on a regular basis and appropriate reserves are established as deemed appropriate. We also maintain a general reserve using a percentage that is established based upon the age of our receivables and our collection history. We establish allowances for balances not yet due and past due accounts based on past experience.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3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Inventories are stated at the lower of cost or market and include the cost of material, labor and manufacturing overhead. Cost is determined with the first-in, first-out method. We have based our provisions for excess, expired and obsolete inventory primarily on our estimates of forecasted net sales. Significant changes in the timing or level of demand for our products results in recording additional provisions for excess, expired and obsolete inventory. Additionally, uncertain timing of next-generation product approvals, variability in product launch strategies, non-cancelable purchase commitments, product recalls and variation in product utilization all affect our estimates related to excess, expired and obsolete inventory.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3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Property, plant and equipment is recorded at historical cost. We provide for depreciation and amortization by charges to operations using the straight-line method in amounts estimated to recover the cost of the building and improvements, equipment, and furniture and fixtures over their estimated useful lives as follows: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6" w:right="259" w:bottom="1440" w:gutter="0" w:footer="0" w:header="0"/>
        </w:sectPr>
      </w:pPr>
    </w:p>
    <w:bookmarkStart w:id="57" w:name="page58"/>
    <w:bookmarkEnd w:id="57"/>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bl>
      <w:tblPr>
        <w:tblLayout w:type="fixed"/>
        <w:tblInd w:w="0" w:type="dxa"/>
        <w:tblCellMar>
          <w:top w:w="0" w:type="dxa"/>
          <w:left w:w="0" w:type="dxa"/>
          <w:bottom w:w="0" w:type="dxa"/>
          <w:right w:w="0" w:type="dxa"/>
        </w:tblCellMar>
      </w:tblPr>
      <w:tr>
        <w:trPr>
          <w:trHeight w:val="254"/>
        </w:trPr>
        <w:tc>
          <w:tcPr>
            <w:tcW w:w="1220" w:type="dxa"/>
            <w:vAlign w:val="bottom"/>
            <w:tcBorders>
              <w:top w:val="single" w:sz="8" w:color="0000EE"/>
            </w:tcBorders>
          </w:tcPr>
          <w:p>
            <w:pPr>
              <w:spacing w:after="0"/>
              <w:rPr>
                <w:sz w:val="22"/>
                <w:szCs w:val="22"/>
                <w:color w:val="auto"/>
              </w:rPr>
            </w:pPr>
          </w:p>
        </w:tc>
        <w:tc>
          <w:tcPr>
            <w:tcW w:w="8340" w:type="dxa"/>
            <w:vAlign w:val="bottom"/>
          </w:tcPr>
          <w:p>
            <w:pPr>
              <w:jc w:val="center"/>
              <w:ind w:left="570"/>
              <w:spacing w:after="0"/>
              <w:rPr>
                <w:sz w:val="20"/>
                <w:szCs w:val="20"/>
                <w:color w:val="auto"/>
              </w:rPr>
            </w:pPr>
            <w:r>
              <w:rPr>
                <w:rFonts w:ascii="Arial" w:cs="Arial" w:eastAsia="Arial" w:hAnsi="Arial"/>
                <w:sz w:val="18"/>
                <w:szCs w:val="18"/>
                <w:b w:val="1"/>
                <w:bCs w:val="1"/>
                <w:color w:val="auto"/>
              </w:rPr>
              <w:t>HAEMONETICS CORPORATION AND SUBSIDIARIES</w:t>
            </w:r>
          </w:p>
        </w:tc>
        <w:tc>
          <w:tcPr>
            <w:tcW w:w="1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1220" w:type="dxa"/>
            <w:vAlign w:val="bottom"/>
          </w:tcPr>
          <w:p>
            <w:pPr>
              <w:spacing w:after="0"/>
              <w:rPr>
                <w:sz w:val="24"/>
                <w:szCs w:val="24"/>
                <w:color w:val="auto"/>
              </w:rPr>
            </w:pPr>
          </w:p>
        </w:tc>
        <w:tc>
          <w:tcPr>
            <w:tcW w:w="8340" w:type="dxa"/>
            <w:vAlign w:val="bottom"/>
          </w:tcPr>
          <w:p>
            <w:pPr>
              <w:jc w:val="center"/>
              <w:ind w:left="570"/>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9"/>
        </w:trPr>
        <w:tc>
          <w:tcPr>
            <w:tcW w:w="9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Asset Classification</w:t>
            </w:r>
          </w:p>
        </w:tc>
        <w:tc>
          <w:tcPr>
            <w:tcW w:w="1860" w:type="dxa"/>
            <w:vAlign w:val="bottom"/>
          </w:tcPr>
          <w:p>
            <w:pPr>
              <w:jc w:val="center"/>
              <w:ind w:left="635"/>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9560" w:type="dxa"/>
            <w:vAlign w:val="bottom"/>
            <w:tcBorders>
              <w:bottom w:val="single" w:sz="8" w:color="auto"/>
            </w:tcBorders>
            <w:gridSpan w:val="2"/>
            <w:vMerge w:val="continue"/>
          </w:tcPr>
          <w:p>
            <w:pPr>
              <w:spacing w:after="0"/>
              <w:rPr>
                <w:sz w:val="16"/>
                <w:szCs w:val="16"/>
                <w:color w:val="auto"/>
              </w:rPr>
            </w:pPr>
          </w:p>
        </w:tc>
        <w:tc>
          <w:tcPr>
            <w:tcW w:w="1860" w:type="dxa"/>
            <w:vAlign w:val="bottom"/>
            <w:tcBorders>
              <w:bottom w:val="single" w:sz="8" w:color="auto"/>
            </w:tcBorders>
          </w:tcPr>
          <w:p>
            <w:pPr>
              <w:jc w:val="center"/>
              <w:ind w:left="655"/>
              <w:spacing w:after="0"/>
              <w:rPr>
                <w:sz w:val="20"/>
                <w:szCs w:val="20"/>
                <w:color w:val="auto"/>
              </w:rPr>
            </w:pPr>
            <w:r>
              <w:rPr>
                <w:rFonts w:ascii="Arial" w:cs="Arial" w:eastAsia="Arial" w:hAnsi="Arial"/>
                <w:sz w:val="14"/>
                <w:szCs w:val="14"/>
                <w:b w:val="1"/>
                <w:bCs w:val="1"/>
                <w:color w:val="auto"/>
                <w:w w:val="92"/>
              </w:rPr>
              <w:t>Useful Lives</w:t>
            </w:r>
          </w:p>
        </w:tc>
        <w:tc>
          <w:tcPr>
            <w:tcW w:w="0" w:type="dxa"/>
            <w:vAlign w:val="bottom"/>
          </w:tcPr>
          <w:p>
            <w:pPr>
              <w:spacing w:after="0"/>
              <w:rPr>
                <w:sz w:val="1"/>
                <w:szCs w:val="1"/>
                <w:color w:val="auto"/>
              </w:rPr>
            </w:pPr>
          </w:p>
        </w:tc>
      </w:tr>
      <w:tr>
        <w:trPr>
          <w:trHeight w:val="25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Building</w:t>
            </w:r>
          </w:p>
        </w:tc>
        <w:tc>
          <w:tcPr>
            <w:tcW w:w="1860" w:type="dxa"/>
            <w:vAlign w:val="bottom"/>
            <w:tcBorders>
              <w:bottom w:val="single" w:sz="8" w:color="CCEEFF"/>
            </w:tcBorders>
            <w:shd w:val="clear" w:color="auto" w:fill="CCEEFF"/>
          </w:tcPr>
          <w:p>
            <w:pPr>
              <w:jc w:val="center"/>
              <w:ind w:left="635"/>
              <w:spacing w:after="0"/>
              <w:rPr>
                <w:sz w:val="20"/>
                <w:szCs w:val="20"/>
                <w:color w:val="auto"/>
              </w:rPr>
            </w:pPr>
            <w:r>
              <w:rPr>
                <w:rFonts w:ascii="Arial" w:cs="Arial" w:eastAsia="Arial" w:hAnsi="Arial"/>
                <w:sz w:val="18"/>
                <w:szCs w:val="18"/>
                <w:color w:val="auto"/>
                <w:w w:val="85"/>
              </w:rPr>
              <w:t>30 Years</w:t>
            </w:r>
          </w:p>
        </w:tc>
        <w:tc>
          <w:tcPr>
            <w:tcW w:w="0" w:type="dxa"/>
            <w:vAlign w:val="bottom"/>
          </w:tcPr>
          <w:p>
            <w:pPr>
              <w:spacing w:after="0"/>
              <w:rPr>
                <w:sz w:val="1"/>
                <w:szCs w:val="1"/>
                <w:color w:val="auto"/>
              </w:rPr>
            </w:pP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Building improvements</w:t>
            </w:r>
          </w:p>
        </w:tc>
        <w:tc>
          <w:tcPr>
            <w:tcW w:w="1860" w:type="dxa"/>
            <w:vAlign w:val="bottom"/>
          </w:tcPr>
          <w:p>
            <w:pPr>
              <w:jc w:val="center"/>
              <w:ind w:left="635"/>
              <w:spacing w:after="0"/>
              <w:rPr>
                <w:sz w:val="20"/>
                <w:szCs w:val="20"/>
                <w:color w:val="auto"/>
              </w:rPr>
            </w:pPr>
            <w:r>
              <w:rPr>
                <w:rFonts w:ascii="Arial" w:cs="Arial" w:eastAsia="Arial" w:hAnsi="Arial"/>
                <w:sz w:val="18"/>
                <w:szCs w:val="18"/>
                <w:color w:val="auto"/>
                <w:w w:val="88"/>
              </w:rPr>
              <w:t>5-20 Years</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Plant equipment and machinery</w:t>
            </w:r>
          </w:p>
        </w:tc>
        <w:tc>
          <w:tcPr>
            <w:tcW w:w="1860" w:type="dxa"/>
            <w:vAlign w:val="bottom"/>
            <w:tcBorders>
              <w:bottom w:val="single" w:sz="8" w:color="CCEEFF"/>
            </w:tcBorders>
            <w:shd w:val="clear" w:color="auto" w:fill="CCEEFF"/>
          </w:tcPr>
          <w:p>
            <w:pPr>
              <w:jc w:val="center"/>
              <w:ind w:left="635"/>
              <w:spacing w:after="0"/>
              <w:rPr>
                <w:sz w:val="20"/>
                <w:szCs w:val="20"/>
                <w:color w:val="auto"/>
              </w:rPr>
            </w:pPr>
            <w:r>
              <w:rPr>
                <w:rFonts w:ascii="Arial" w:cs="Arial" w:eastAsia="Arial" w:hAnsi="Arial"/>
                <w:sz w:val="18"/>
                <w:szCs w:val="18"/>
                <w:color w:val="auto"/>
                <w:w w:val="88"/>
              </w:rPr>
              <w:t>3-15 Years</w:t>
            </w:r>
          </w:p>
        </w:tc>
        <w:tc>
          <w:tcPr>
            <w:tcW w:w="0" w:type="dxa"/>
            <w:vAlign w:val="bottom"/>
          </w:tcPr>
          <w:p>
            <w:pPr>
              <w:spacing w:after="0"/>
              <w:rPr>
                <w:sz w:val="1"/>
                <w:szCs w:val="1"/>
                <w:color w:val="auto"/>
              </w:rPr>
            </w:pP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Office equipment and information technology</w:t>
            </w:r>
          </w:p>
        </w:tc>
        <w:tc>
          <w:tcPr>
            <w:tcW w:w="1860" w:type="dxa"/>
            <w:vAlign w:val="bottom"/>
          </w:tcPr>
          <w:p>
            <w:pPr>
              <w:jc w:val="center"/>
              <w:ind w:left="635"/>
              <w:spacing w:after="0"/>
              <w:rPr>
                <w:sz w:val="20"/>
                <w:szCs w:val="20"/>
                <w:color w:val="auto"/>
              </w:rPr>
            </w:pPr>
            <w:r>
              <w:rPr>
                <w:rFonts w:ascii="Arial" w:cs="Arial" w:eastAsia="Arial" w:hAnsi="Arial"/>
                <w:sz w:val="18"/>
                <w:szCs w:val="18"/>
                <w:color w:val="auto"/>
                <w:w w:val="88"/>
              </w:rPr>
              <w:t>2-10 Years</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Haemonetics equipment</w:t>
            </w:r>
          </w:p>
        </w:tc>
        <w:tc>
          <w:tcPr>
            <w:tcW w:w="1860" w:type="dxa"/>
            <w:vAlign w:val="bottom"/>
            <w:shd w:val="clear" w:color="auto" w:fill="CCEEFF"/>
          </w:tcPr>
          <w:p>
            <w:pPr>
              <w:jc w:val="center"/>
              <w:ind w:left="635"/>
              <w:spacing w:after="0"/>
              <w:rPr>
                <w:sz w:val="20"/>
                <w:szCs w:val="20"/>
                <w:color w:val="auto"/>
              </w:rPr>
            </w:pPr>
            <w:r>
              <w:rPr>
                <w:rFonts w:ascii="Arial" w:cs="Arial" w:eastAsia="Arial" w:hAnsi="Arial"/>
                <w:sz w:val="18"/>
                <w:szCs w:val="18"/>
                <w:color w:val="auto"/>
                <w:w w:val="89"/>
              </w:rPr>
              <w:t>3-7 Years</w:t>
            </w:r>
          </w:p>
        </w:tc>
        <w:tc>
          <w:tcPr>
            <w:tcW w:w="0" w:type="dxa"/>
            <w:vAlign w:val="bottom"/>
          </w:tcPr>
          <w:p>
            <w:pPr>
              <w:spacing w:after="0"/>
              <w:rPr>
                <w:sz w:val="1"/>
                <w:szCs w:val="1"/>
                <w:color w:val="auto"/>
              </w:rPr>
            </w:pPr>
          </w:p>
        </w:tc>
      </w:tr>
      <w:tr>
        <w:trPr>
          <w:trHeight w:val="27"/>
        </w:trPr>
        <w:tc>
          <w:tcPr>
            <w:tcW w:w="1220" w:type="dxa"/>
            <w:vAlign w:val="bottom"/>
            <w:shd w:val="clear" w:color="auto" w:fill="CCEEFF"/>
          </w:tcPr>
          <w:p>
            <w:pPr>
              <w:spacing w:after="0"/>
              <w:rPr>
                <w:sz w:val="2"/>
                <w:szCs w:val="2"/>
                <w:color w:val="auto"/>
              </w:rPr>
            </w:pPr>
          </w:p>
        </w:tc>
        <w:tc>
          <w:tcPr>
            <w:tcW w:w="83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evaluate the depreciation periods of property, plant and equipment to determine whether events or circumstances warrant revised estimates of useful lives. All property, plant and equipment are also tested for impairment whenever events or changes in circumstances indicate that their carrying amount may not be recoverable.</w:t>
      </w:r>
    </w:p>
    <w:p>
      <w:pPr>
        <w:spacing w:after="0" w:line="8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Our installed base of devices includes devices owned by us and devices sold to the customer. The asset on our balance sheet classified as Haemonetics equipment consists of medical devices installed at customer sites but owned by Haemonetics. Generally the customer has the right to use it for a period of time as long as they meet the conditions we have established, which among other things, generally include one or more of the following:</w:t>
      </w:r>
    </w:p>
    <w:p>
      <w:pPr>
        <w:spacing w:after="0" w:line="5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 and consumption of a certain level of disposable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 of monthly rental fees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Consistent with the impairment tests noted below for other intangible assets subject to amortization, we review Haemonetics equipment and their related useful lives at least once a year, or more frequently if certain conditions arise, to determine if any adverse conditions exist that would indicate the carrying value of these assets may not be recoverable. To conduct these reviews we estimate the future amount and timing of demand for disposables used with these devices, from which we generate revenues. We also consider product life cycle in our evaluation of useful life and recoverability. Changes in expected demand can result in additional depreciation expense, which is classified as cost of goods sold. Any significant unanticipated changes in demand could impact the value of our devices and our reported operating results.</w:t>
      </w:r>
    </w:p>
    <w:p>
      <w:pPr>
        <w:spacing w:after="0" w:line="9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Leasehold improvements are depreciated over the lesser of their useful lives or the term of the lease. Maintenance and repairs are generally expensed to operations as incurred. When the repair or maintenance costs significantly extend the life of the asset, these costs may be capitalized. When equipment and improvements are sold or otherwise disposed of, the asset cost and accumulated depreciation are removed from the accounts, and the resulting gain or loss, if any, is included in the statements of income.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3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Goodwill represents the excess purchase price over the fair value of the net tangible and other identifiable intangible assets acquired. Goodwill is not amortized. Instead goodwill is reviewed for impairment at least annually in accordance with ASC Topic 350, Intangibles - Goodwill and Other ("Topic 350"), or on an interim basis between annual tests when events or circumstances indicate that it is more likely than not that the fair value of a reporting unit is less than its carrying value. We perform our annual impairment test on the first day of the fiscal fourth quarter for each of our reporting units.</w:t>
      </w:r>
    </w:p>
    <w:p>
      <w:pPr>
        <w:spacing w:after="0" w:line="17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performing our goodwill impairment assessment, we utilize the two-step approach prescribed under Topic 350. The first step requires a comparison of the carrying value of the reporting units, as defined, to the fair value of these units. We assess goodwill for impairment at the reporting unit level, which is defined as an operating segment or one level below an operating segment, referred to as a component. We determine our reporting units by first identifying our operating segments, and then by assessing whether any components of these segments constitute a business for which discrete financial information is available and where segment management regularly reviews the operating results of that component. We aggregate components within an operating segment that have similar economic characteristics. Our reporting units for purposes of assessing goodwill impairment are the same as our operating segments, which are organized primarily based on geography and include: (a) North America Plasma, (b) Americas Blood Center and Hospital, (c) Europe, Middle East, and Africa (collectively "EMEA"), (d) Asia-Pacific and (e) Japan. The North America Plasma reporting unit is a separate operating segment with dedicated segment management due the size and scale of the plasma business.</w:t>
      </w:r>
    </w:p>
    <w:p>
      <w:pPr>
        <w:spacing w:after="0" w:line="18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When allocating goodwill from business combinations to our reporting units, we assign goodwill to the reporting units that we expect to benefit from the respective business combination at the time of acquisition. In addition, for purposes of performing our goodwill impairment tests, assets and liabilities, including corporate assets, which relate to a reporting unit’s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and would be considered in determining its fair value, are allocated to the individual reporting units. We allocate assets and liabilities not directly related to a specific reporting unit, but from which the reporting unit benefits, based primarily on the respective revenue contribution of each reporting unit.</w:t>
      </w:r>
    </w:p>
    <w:p>
      <w:pPr>
        <w:spacing w:after="0" w:line="12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fiscal 2016, we used the income approach, specifically the discounted cash flow method, to derive the fair value of each of our reporting units in preparing our goodwill impairment assessments. This approach calculates fair value by estimating the after-tax cash flows attributable to a reporting unit and then discounting these after-tax cash flows to a present value using a risk-adjusted discount rate. We selected this method as being the most meaningful in preparing our goodwill assessments because the use of the income approach typically generates a more precise measurement of fair value than the market approach. Due to the increased adverse business conditions impacting multiple Haemonetics reporting units in fiscal 2016, we determined that a more precise measure of fair value was required when performing our goodwill impairment review compared to what was performed in prior years.</w:t>
      </w:r>
    </w:p>
    <w:p>
      <w:pPr>
        <w:spacing w:after="0" w:line="16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applying the income approach to our accounting for goodwill, we make assumptions about the amount and timing of future expected cash flows, terminal value growth rates and appropriate discount rates. The amount and timing of future cash flows within our discounted cash flow analysis is based on our most recent operational budgets, long range strategic plans and other estimates. The terminal value growth rate is used to calculate the value of cash flows beyond the last projected period in our discounted cash flow analysis and reflects our best estimates for stable, perpetual growth of our reporting units. We use estimates of market-participant risk adjusted weighted average cost of capital ("WACC") as a basis for determining the discount rates to apply to our reporting units’ future expected cash flows. We corroborated the valuations that arose from the discounted cash flow approach by performing both a market multiple valuation and by reconciling the aggregate fair value of our reporting units to our market capitalization at the time of the test.</w:t>
      </w:r>
    </w:p>
    <w:p>
      <w:pPr>
        <w:spacing w:after="0" w:line="7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fiscal 2015 and 2014, we determined the fair value of our reporting units based on the market approach. We utilized the market approach as we determined relevant comparable information was available, and accordingly such method was an appropriate alternative to the income method. Under the market approach, we estimated the fair value of our reporting units based on a combination of, a) market multiples of projected earnings before interest, taxes, depreciation and amortization (“EBITDA”) and b) market multiples of projected net revenues for each individual reporting unit. For the market approach, we used judgment in identifying the relevant comparable-company market multiples, such as recent divestitures/acquisitions, facts and circumstances surrounding the market and growth rates. Management assessed the relevance and reliability of the multiples by considering factors unique to its reporting units, including recent operating results, business plans, economic projections, anticipated future cash flows, and other data. EBITDA and revenue multiples were also significantly impacted by future growth opportunities for the reporting unit as well as for the company itself, general market and geographic sentiment, and pending or recently completed merger transactions.</w:t>
      </w:r>
    </w:p>
    <w:p>
      <w:pPr>
        <w:spacing w:after="0" w:line="18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If the carrying value of a reporting unit exceeds its fair value, we perform the second step of the goodwill impairment test to measure the amount of impairment, if any. The second step compares the implied fair value of a reporting unit’s goodwill with its carrying value. To determine the implied fair value of goodwill, we allocate the fair value of a reporting unit to all of the assets and liabilities of that unit, including intangible assets, as if the reporting unit had been acquired in a business combination. Any excess of the value of a reporting unit over the amounts assigned to its assets and liabilities represents the implied fair value of goodwill. In the third quarter of fiscal 2016, we concluded that indicators of potential goodwill impairment were present for the EMEA and Americas Blood Center and Hospital reporting units, requiring an interim test. We recorded a preliminary impairment charge of $66.3 million in the EMEA reporting unit during the third quarter of fiscal 2016. During the fourth quarter of fiscal 2016, we completed our second step of the goodwill impairment test and concluded that no adjustment to the estimated $66.3 million impairment loss initially recorded was required, as there was significant intangible value attributed to customer relationships and developed technology based on the theoretical purchase price allocation. Refer to Note 5, </w:t>
      </w:r>
      <w:r>
        <w:rPr>
          <w:rFonts w:ascii="Arial" w:cs="Arial" w:eastAsia="Arial" w:hAnsi="Arial"/>
          <w:sz w:val="17"/>
          <w:szCs w:val="17"/>
          <w:i w:val="1"/>
          <w:iCs w:val="1"/>
          <w:color w:val="auto"/>
        </w:rPr>
        <w:t>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Intangible Assets, </w:t>
      </w:r>
      <w:r>
        <w:rPr>
          <w:rFonts w:ascii="Arial" w:cs="Arial" w:eastAsia="Arial" w:hAnsi="Arial"/>
          <w:sz w:val="17"/>
          <w:szCs w:val="17"/>
          <w:color w:val="auto"/>
        </w:rPr>
        <w:t>for additional details regarding goodwill impairment.</w:t>
      </w:r>
    </w:p>
    <w:p>
      <w:pPr>
        <w:spacing w:after="0" w:line="21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review intangible assets subject to amortization for impairment at least annually or more frequently if certain conditions arise to determine if any adverse conditions exist that would indicate that the carrying value of an asset or asset group may not be recoverable, or that a change in the remaining useful life is required. Conditions indicating that an impairment exists include but are not limited to a change in the competitive landscape, internal decisions to pursue new or different technology strategies, a loss of a significant customer or a significant change in the marketplace including prices paid for our products or the size of the market for our products. During fiscal 2016, 2015 and 2014, we determined that there were potential impairment indicators for certain intangible assets subject to amortization. As such, we performed the recoverability test described below for the relevant asset groups. In fiscal 2015 and 2014, we determined that the expected undiscounted cash flows exceeded the carrying value of the asset groups identified. In fiscal 2016, however, we determined that the undiscounted cash flows did not support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6" w:right="25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 xml:space="preserve">the carrying value of the asset groups identified and, accordingly, recorded impairment charges of $25.8 million, of which $18.7 million related to the write down of the SOLX intangible assets and the remaining $7.1 million related to intangible assets that were identified as part of the Company's global strategic review. Refer to Note 5, </w:t>
      </w:r>
      <w:r>
        <w:rPr>
          <w:rFonts w:ascii="Arial" w:cs="Arial" w:eastAsia="Arial" w:hAnsi="Arial"/>
          <w:sz w:val="17"/>
          <w:szCs w:val="17"/>
          <w:i w:val="1"/>
          <w:iCs w:val="1"/>
          <w:color w:val="auto"/>
        </w:rPr>
        <w:t>Goodwill and Intangible Assets,</w:t>
      </w:r>
      <w:r>
        <w:rPr>
          <w:rFonts w:ascii="Arial" w:cs="Arial" w:eastAsia="Arial" w:hAnsi="Arial"/>
          <w:sz w:val="17"/>
          <w:szCs w:val="17"/>
          <w:color w:val="auto"/>
        </w:rPr>
        <w:t xml:space="preserve"> for additional details regarding intangible asset impairments recorded.</w:t>
      </w:r>
    </w:p>
    <w:p>
      <w:pPr>
        <w:spacing w:after="0" w:line="7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When an impairment indicator exists, we test the intangible asset for recoverability. For purposes of the recoverability test, we group our amortizable intangible assets with other assets and liabilities at the lowest level of identifiable cash flows if the intangible asset does not generate cash flows independent of other assets and liabilities. If the carrying value of the intangible asset (asset group) exceeds the undiscounted cash flows expected to result from the use and eventual disposition of the intangible asset (asset group), we will write the carrying value down to the fair value in the period identified.</w:t>
      </w:r>
    </w:p>
    <w:p>
      <w:pPr>
        <w:spacing w:after="0" w:line="6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generally calculate fair value of our intangible assets as the present value of estimated future cash flows we expect to generate from the asset using a risk-adjusted discount rate. In determining our estimated future cash flows associated with our intangible assets, we use estimates and assumptions about future revenue contributions, cost structures and remaining useful lives of the asset (asset group).</w:t>
      </w:r>
    </w:p>
    <w:p>
      <w:pPr>
        <w:spacing w:after="0" w:line="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we determine the estimate of an intangible asset's remaining useful life should be reduced based on our expected use of the asset, the remaining carrying amount of the asset is amortized prospectively over the revised estimated useful life.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the Costs of Computer Software to be Sold, Leased, or Otherwise Marketed</w:t>
      </w:r>
    </w:p>
    <w:p>
      <w:pPr>
        <w:spacing w:after="0" w:line="1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ASC Topic 985-20, </w:t>
      </w:r>
      <w:r>
        <w:rPr>
          <w:rFonts w:ascii="Arial" w:cs="Arial" w:eastAsia="Arial" w:hAnsi="Arial"/>
          <w:sz w:val="18"/>
          <w:szCs w:val="18"/>
          <w:i w:val="1"/>
          <w:iCs w:val="1"/>
          <w:color w:val="auto"/>
        </w:rPr>
        <w:t>Software</w:t>
      </w:r>
      <w:r>
        <w:rPr>
          <w:rFonts w:ascii="Arial" w:cs="Arial" w:eastAsia="Arial" w:hAnsi="Arial"/>
          <w:sz w:val="18"/>
          <w:szCs w:val="18"/>
          <w:color w:val="auto"/>
        </w:rPr>
        <w:t>,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 at which point capitalized costs are amortized over their estimated useful life of five to 10 years. Technological feasibility is established when we have a detailed design of the software and when research and development activities on the underlying device, if applicable, are completed. We capitalize costs associated with both software that we sell as a separate product and software that is embedded in a device.</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review the net realizable value of capitalized assets periodically to assess the recoverability of amounts capitalized. During the fourth quarter of fiscal 2016, we recorded $6.0 million of impairment charges related to the discontinuance of certain capitalized software projects as a result of our global strategic review. In the future, the net realizable value may be adversely affected by the loss of a significant customer or a significant change in the market place, which could result in an impairment being recorded.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Other current liabilities represent items payable or expected to settle within the next twelve months. The items included in the fiscal year end balances were: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92"/>
        </w:trPr>
        <w:tc>
          <w:tcPr>
            <w:tcW w:w="34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48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VAT liabilities</w:t>
            </w:r>
          </w:p>
        </w:tc>
        <w:tc>
          <w:tcPr>
            <w:tcW w:w="5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Forward contracts</w:t>
            </w:r>
          </w:p>
        </w:tc>
        <w:tc>
          <w:tcPr>
            <w:tcW w:w="4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4,210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4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22,362</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Accrued taxes</w:t>
            </w:r>
          </w:p>
        </w:tc>
        <w:tc>
          <w:tcPr>
            <w:tcW w:w="4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48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30,180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34,579</w:t>
            </w:r>
          </w:p>
        </w:tc>
        <w:tc>
          <w:tcPr>
            <w:tcW w:w="0" w:type="dxa"/>
            <w:vAlign w:val="bottom"/>
          </w:tcPr>
          <w:p>
            <w:pPr>
              <w:spacing w:after="0"/>
              <w:rPr>
                <w:sz w:val="1"/>
                <w:szCs w:val="1"/>
                <w:color w:val="auto"/>
              </w:rPr>
            </w:pPr>
          </w:p>
        </w:tc>
      </w:tr>
      <w:tr>
        <w:trPr>
          <w:trHeight w:val="257"/>
        </w:trPr>
        <w:tc>
          <w:tcPr>
            <w:tcW w:w="34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48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66,608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67,622</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4860" w:type="dxa"/>
            <w:vAlign w:val="bottom"/>
            <w:vMerge w:val="restart"/>
          </w:tcPr>
          <w:p>
            <w:pPr>
              <w:jc w:val="right"/>
              <w:ind w:right="2450"/>
              <w:spacing w:after="0"/>
              <w:rPr>
                <w:sz w:val="20"/>
                <w:szCs w:val="20"/>
                <w:color w:val="auto"/>
              </w:rPr>
            </w:pPr>
            <w:r>
              <w:rPr>
                <w:rFonts w:ascii="Arial" w:cs="Arial" w:eastAsia="Arial" w:hAnsi="Arial"/>
                <w:sz w:val="18"/>
                <w:szCs w:val="18"/>
                <w:color w:val="auto"/>
              </w:rPr>
              <w:t>58</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48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13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Other long-term liabilities represent items that are not payable or expected to settle within the next twelve months. The items included in the fiscal year end balances were: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14"/>
                <w:szCs w:val="14"/>
                <w:color w:val="auto"/>
              </w:rPr>
            </w:pPr>
          </w:p>
        </w:tc>
        <w:tc>
          <w:tcPr>
            <w:tcW w:w="1220" w:type="dxa"/>
            <w:vAlign w:val="bottom"/>
          </w:tcPr>
          <w:p>
            <w:pPr>
              <w:jc w:val="right"/>
              <w:ind w:right="356"/>
              <w:spacing w:after="0"/>
              <w:rPr>
                <w:sz w:val="20"/>
                <w:szCs w:val="20"/>
                <w:color w:val="auto"/>
              </w:rPr>
            </w:pPr>
            <w:r>
              <w:rPr>
                <w:rFonts w:ascii="Arial" w:cs="Arial" w:eastAsia="Arial" w:hAnsi="Arial"/>
                <w:sz w:val="14"/>
                <w:szCs w:val="14"/>
                <w:b w:val="1"/>
                <w:bCs w:val="1"/>
                <w:color w:val="auto"/>
              </w:rPr>
              <w:t>March 28,</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Unfunded pension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18,067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17,402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Unrecognized tax benefit</w:t>
            </w:r>
          </w:p>
        </w:tc>
        <w:tc>
          <w:tcPr>
            <w:tcW w:w="30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3,992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10,343</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26,106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31,737</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All research and development costs are expensed as incurred.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All advertising costs are expensed as incurred and are included in selling, general and administrative expenses in the consolidated statements of (loss)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Advertising expenses were $3.9 million, $4.5 million, and $3.6 million for 2016, 2015 and 2014,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Shipping and Handling Costs</w:t>
      </w:r>
    </w:p>
    <w:p>
      <w:pPr>
        <w:spacing w:after="0" w:line="13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Shipping and handling costs are included in selling, general and administrative expenses. Freight is classified in cost of goods sold when the customer is charged for freight and in selling, general and administration when the customer is not explicitly charged for freight.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income tax provision is calculated for all jurisdictions in which we operate. The income tax provision process involves calculating current taxes due and assessing temporary differences arising from items which are taxable or deductible in different periods for tax and accounting purposes and are recorded as deferred tax assets and liabilities. Deferred tax assets are evaluated for realizability and a valuation allowance is maintained for the portion of our deferred tax assets that are not more-likely-than-not realizable.</w:t>
      </w:r>
    </w:p>
    <w:p>
      <w:pPr>
        <w:spacing w:after="0" w:line="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file income tax returns in all jurisdictions in which we operate. We record a liability for uncertain tax positions taken or expected to be taken in income tax returns. Our financial statements reflect expected future tax consequences of such positions presuming the taxing authorities' full knowledge of the position and all relevant facts. We record a liability for the portion of unrecognized tax benefits claimed which we have determined are not more-likely-than-not realizable. These tax reserves have been established based on management's assessment as to the potential exposure attributable to our uncertain tax positions as well as interest and penalties attributable to these uncertain tax positions. All tax reserves are analyzed quarterly and adjustments are made when necessary. Tax reserves are reversed when the statute of limitations expires or the matter is considered effectively settled.</w:t>
      </w:r>
    </w:p>
    <w:p>
      <w:pPr>
        <w:spacing w:after="0" w:line="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evaluate at the end of each reporting period whether some or all of the undistributed earnings of our foreign subsidiaries are permanently reinvested. We recognize deferred income tax liabilities to the extent that management asserts that undistributed earnings of its foreign subsidiaries are not permanently reinvested or will not be permanently reinvested in the future. Our position is based upon several factors including management’s evaluation of the Company and its subsidiaries’ financial requirements, the short term and long-term operational and fiscal objectives of the Company, and the tax consequences associated with the repatriation of earnings.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3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account for our derivative financial instruments in accordance with ASC Topic 815, Derivatives and Hedging (“ASC 815”) and ASC Topic 820, Fair Value Measurements and Disclosures (“ASC 820”). In accordance with ASC 815, we record all derivatives on the balance sheet at fair value. The accounting for the change in the fair value of derivatives depends on the intended use of the derivative, whether we have elected to designate a derivative as a hedging instrument for accounting purposes, and whether the hedging relationship has satisfied the criteria necessary to apply hedge accounting. In addition, ASC 815 provides that, for derivative instruments that qualify for hedge accounting, changes in the fair value are either (a) offset against the change in fair value of the hedged assets, liabilities, or firm commitments through earnings or (b) recognized 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6" w:right="2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equity until the hedged item is recognized in earnings, depending on whether the derivative is being used to hedge changes in fair value or cash flows. The ineffective portion of a derivative’s change in fair value is immediately recognized in earnings. We do not use derivative financial instruments for trading or speculation purposes.</w:t>
      </w:r>
    </w:p>
    <w:p>
      <w:pPr>
        <w:spacing w:after="0" w:line="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When the underlying hedged transaction affects earnings, the gains or losses on the forward foreign exchange rate contracts designated as hedges are recorded in net revenues, cost of goods sold, operating expenses and other expense, net in our consolidated statements of (loss) income, depending on the nature of the underlying hedged transactions. The cash flows related to the gains and losses are classified in the consolidated statements of cash flows as part of cash flows from operating activities. For those derivative instruments that are not designated as part of a hedging relationship we record the gains or losses in earnings currently. These gains and losses are intended to offset the gains and losses recorded on net monetary assets or liabilities that are denominated in foreign currencies. We recorded foreign currency losses of $1.4 million, $1.1 million, and $0.5 million in fiscal 2016, 2015 and 2014, respectively.</w:t>
      </w:r>
    </w:p>
    <w:p>
      <w:pPr>
        <w:spacing w:after="0" w:line="70"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On a quarterly basis, we assess whether the cash flow hedges are highly effective in offsetting changes in the cash flow of the hedged item. We manage the credit risk of the counterparties by dealing only with institutions that we consider financially sound and consider the risk of non-performance to be remote.</w:t>
      </w:r>
    </w:p>
    <w:p>
      <w:pPr>
        <w:spacing w:after="0" w:line="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Our derivative instruments do not subject our earnings or cash flows to material risk, as gains and losses on these derivatives are intended to offset losses and gains on the item being hedged. We do not enter into derivative transactions for speculative purposes and we do not have any non-derivative instruments that are designated as hedging instruments pursuant to ASC Topic 815.</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expense the fair value of stock-based awards granted to employees, board members and others, net of estimated forfeitures. To calculate the grant-date fair value of our stock options we use the Black-Scholes option-pricing model and for performance share units and market stock units we use Monte Carlo simulation models.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Acquisitions</w:t>
      </w:r>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allocate the amounts we pay for each acquisition to the assets acquired and liabilities assumed based on their estimated fair values at the dates of acquisition, including acquired identifiable intangible assets. We base the estimated fair value of identifiable intangible assets on detailed valuations that use historical information and market assumptions based upon the assumptions of a market participant. We allocate any excess purchase price over the fair value of the net tangible and intangible assets acquired to goodwill.</w:t>
      </w:r>
    </w:p>
    <w:p>
      <w:pPr>
        <w:spacing w:after="0" w:line="9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certain acquisitions, we have earn-out arrangements or contingent consideration to provide potential future payments to the seller for achieving certain agreed-upon targets. We record the contingent consideration at its fair value at the acquisition date. Generally, we have entered into arrangements with contingent consideration that require payments in cash. As such, we periodically revalue the contingent consideration obligations associated with certain acquisitions to their current fair value and record the change in the fair value as contingent consideration income or expense within selling, general and administrative expense. These changes are recorded in selling, general and administrative expense. Increases or decreases in the fair value of the contingent consideration obligations can result from changes in assumed discount periods and rates, changes in the assumed timing and amount of revenue and expense estimates, and changes in assumed probability with respect to regulatory approval. Significant judgment is employed in determining the appropriateness of these assumptions as of the acquisition date and for each subsequent period. Accordingly, future business and economic conditions, as well as changes in any of the assumptions described above, can materially impact the amount of contingent consideration income or expense we record in any given period.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3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equivalents and accounts receivable. In fiscal 2016, 2015, and 2014 no customer accounted for more than 10% of our revenues.</w:t>
      </w:r>
    </w:p>
    <w:p>
      <w:pPr>
        <w:spacing w:after="0" w:line="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Certain other markets and industries can expose us to concentrations of credit risk. For example, in our plasma business, our sales are concentrated with several large customers. As a result, our accounts receivable extended to any one of these bio-pharmaceutical customers can be significant at any point in time. Also, a portion of our trade accounts receivable outside the United States include sales to government-owned or supported healthcare systems in several countries, which are subject to payment delays. Payment is dependent upon the financial stability and creditworthiness of those countries’ national economies. We have not incurred significant losses on government receivables. We continually evaluate all government receivables for potential collection risks associated with the availability of government funding and reimbursement practices. If the financial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6" w:right="2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condition of customers or the countries’ healthcare systems deteriorate such that their ability to make payments is uncertain, allowances may be required in future periods.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Implemented</w:t>
      </w:r>
    </w:p>
    <w:p>
      <w:pPr>
        <w:spacing w:after="0" w:line="13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April 2014, the Financial Accounting Standards Board (“FASB”) issued Accounting Standards Update (“ASU”) No. 2014-08, </w:t>
      </w:r>
      <w:r>
        <w:rPr>
          <w:rFonts w:ascii="Arial" w:cs="Arial" w:eastAsia="Arial" w:hAnsi="Arial"/>
          <w:sz w:val="17"/>
          <w:szCs w:val="17"/>
          <w:i w:val="1"/>
          <w:iCs w:val="1"/>
          <w:color w:val="auto"/>
        </w:rPr>
        <w:t>Presentation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 (Topic 205) and Property, Plant, and Equipment (Topic 360): Reporting Discontinued Operations and Disclosures of Disposals of Components of an Entity</w:t>
      </w:r>
      <w:r>
        <w:rPr>
          <w:rFonts w:ascii="Arial" w:cs="Arial" w:eastAsia="Arial" w:hAnsi="Arial"/>
          <w:sz w:val="17"/>
          <w:szCs w:val="17"/>
          <w:color w:val="auto"/>
        </w:rPr>
        <w:t>. ASU No. 2014-08 limits the requirement to report discontinued operations to disposals of components of an entity that represent strategic shifts that</w:t>
      </w:r>
      <w:r>
        <w:rPr>
          <w:rFonts w:ascii="Arial" w:cs="Arial" w:eastAsia="Arial" w:hAnsi="Arial"/>
          <w:sz w:val="17"/>
          <w:szCs w:val="17"/>
          <w:i w:val="1"/>
          <w:iCs w:val="1"/>
          <w:color w:val="auto"/>
        </w:rPr>
        <w:t xml:space="preserve"> </w:t>
      </w:r>
      <w:r>
        <w:rPr>
          <w:rFonts w:ascii="Arial" w:cs="Arial" w:eastAsia="Arial" w:hAnsi="Arial"/>
          <w:sz w:val="17"/>
          <w:szCs w:val="17"/>
          <w:color w:val="auto"/>
        </w:rPr>
        <w:t>have (or will have) a major effect on an entity’s operations and financial results. The amendments also require expanded disclosures concerning discontinued operations and disclosures of certain financial results attributable to a disposal of a significant component of an entity that does not qualify for discontinued operations reporting. The amendments in ASU No. 2014-08 are effective prospectively for reporting periods beginning on or after December 15, 2014, with early adoption permitted. We adopted ASU No. 2014-08 beginning in the first quarter of fiscal 2016. The adoption of ASU No. 2014-08 did not impact our financial position or results of operations.</w:t>
      </w:r>
    </w:p>
    <w:p>
      <w:pPr>
        <w:spacing w:after="0" w:line="84"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 xml:space="preserve">In April 2015, the FASB issued ASU No. 2015-03, </w:t>
      </w:r>
      <w:r>
        <w:rPr>
          <w:rFonts w:ascii="Arial" w:cs="Arial" w:eastAsia="Arial" w:hAnsi="Arial"/>
          <w:sz w:val="16"/>
          <w:szCs w:val="16"/>
          <w:i w:val="1"/>
          <w:iCs w:val="1"/>
          <w:color w:val="auto"/>
        </w:rPr>
        <w:t>Interest—Imputation of Interest (Subtopic 835-30): Simplifying the Presentation of Debt Issuance Costs.</w:t>
      </w:r>
      <w:r>
        <w:rPr>
          <w:rFonts w:ascii="Arial" w:cs="Arial" w:eastAsia="Arial" w:hAnsi="Arial"/>
          <w:sz w:val="16"/>
          <w:szCs w:val="16"/>
          <w:color w:val="auto"/>
        </w:rPr>
        <w:t xml:space="preserve"> ASU No. 2015-03 requires that debt issuance costs related to a recognized debt liability be presented in the balance sheet as a direct deduction from the carrying amount of that debt liability, consistent with debt discounts. This guidance simplifies the presentation of debt issuance costs but does not address presentation or subsequent measurement of debt issue costs related to line of credit arrangements. In August 2015, the FASB issued ASU No. 2015-15, </w:t>
      </w:r>
      <w:r>
        <w:rPr>
          <w:rFonts w:ascii="Arial" w:cs="Arial" w:eastAsia="Arial" w:hAnsi="Arial"/>
          <w:sz w:val="16"/>
          <w:szCs w:val="16"/>
          <w:i w:val="1"/>
          <w:iCs w:val="1"/>
          <w:color w:val="auto"/>
        </w:rPr>
        <w:t xml:space="preserve">Interest—Imputation of Interest (Subtopic 835-30): Presentation and Subsequent Measurement of Debt Issuance Costs Associated with Line-of-Credit Arrangements. </w:t>
      </w:r>
      <w:r>
        <w:rPr>
          <w:rFonts w:ascii="Arial" w:cs="Arial" w:eastAsia="Arial" w:hAnsi="Arial"/>
          <w:sz w:val="16"/>
          <w:szCs w:val="16"/>
          <w:color w:val="auto"/>
        </w:rPr>
        <w:t>ASU No. 2015-15 indicates that the SEC staff would not object to an entity deferring and presenting debt issuance costs related to line of</w:t>
      </w:r>
      <w:r>
        <w:rPr>
          <w:rFonts w:ascii="Arial" w:cs="Arial" w:eastAsia="Arial" w:hAnsi="Arial"/>
          <w:sz w:val="16"/>
          <w:szCs w:val="16"/>
          <w:i w:val="1"/>
          <w:iCs w:val="1"/>
          <w:color w:val="auto"/>
        </w:rPr>
        <w:t xml:space="preserve"> </w:t>
      </w:r>
      <w:r>
        <w:rPr>
          <w:rFonts w:ascii="Arial" w:cs="Arial" w:eastAsia="Arial" w:hAnsi="Arial"/>
          <w:sz w:val="16"/>
          <w:szCs w:val="16"/>
          <w:color w:val="auto"/>
        </w:rPr>
        <w:t>credit arrangements as an asset and subsequently amortizing the deferred debt issuance costs over the term of the line of credit arrangement, regardless of whether there are any outstanding borrowings on the line of credit arrangement. ASU No. 2015-03 is effective for annual periods beginning after December 15, 2015, and interim periods within those annual periods. Early adoption is permitted. We early adopted ASU No. 2015-03 in the fourth quarter of fiscal 2016. Our debt issuance costs related to a recognized debt liability are presented in the balance sheet as a direct deduction from the carrying amount of that debt liability. The adoption of ASU No. 2015-03 did not have a material impact our financial position or results of operations.</w:t>
      </w:r>
    </w:p>
    <w:p>
      <w:pPr>
        <w:spacing w:after="0" w:line="7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In November 2015, the FASB issued ASU No. 2015-17, </w:t>
      </w:r>
      <w:r>
        <w:rPr>
          <w:rFonts w:ascii="Arial" w:cs="Arial" w:eastAsia="Arial" w:hAnsi="Arial"/>
          <w:sz w:val="17"/>
          <w:szCs w:val="17"/>
          <w:i w:val="1"/>
          <w:iCs w:val="1"/>
          <w:color w:val="auto"/>
        </w:rPr>
        <w:t>Income Taxes (Topic 740): Balance Sheet Classification of Deferred Taxes</w:t>
      </w:r>
      <w:r>
        <w:rPr>
          <w:rFonts w:ascii="Arial" w:cs="Arial" w:eastAsia="Arial" w:hAnsi="Arial"/>
          <w:sz w:val="17"/>
          <w:szCs w:val="17"/>
          <w:color w:val="auto"/>
        </w:rPr>
        <w:t>. ASU No. 2015-17 simplifies the presentation of deferred taxes on a classified balance sheet. Currently under U.S. GAAP, deferred income tax assets and liabilities are separated into current and non-current amounts in the balance sheet. ASU No. 2015-17 requires that all deferred tax assets and liabilities be classified as non-current in the balance sheet. ASU No. 2015-17 is effective for annual periods beginning after December 15, 2016, and interim periods within those annual periods, with early adoption permitted. We early adopted ASU No. 2015-17 in the fourth quarter of fiscal 2016. ASU No. 2015-17 was adopted retrospectively and, as a result, the consolidated balance sheet as of March 28, 2015 was adjusted. The March 28, 2015 current deferred tax assets and liabilities of $12.6 million and $0.4 million, respectively, were reclassified as long-term. The adoption of ASU No. 2015-17 had an impact on the presentation of our consolidated balance sheet, but did not impact our financial position or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to be Implemented</w:t>
      </w:r>
    </w:p>
    <w:p>
      <w:pPr>
        <w:spacing w:after="0" w:line="13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ASU No. 2014-09 stipulates that an entity should recognize revenue to depict the transfer of promised goods or services to customers in an amount that reflects the consideration to which the entity expects to be entitled in exchange for those goods or services. To achieve this core principle,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ASU No. 2014-09 will be effective for annual reporting periods beginning after December 15, 2017, including interim periods within those reporting periods. Early adoption is permitted for annual reporting periods beginning after December 15, 2016, including interim reporting periods within that reporting period. The impact of adopting ASU No.</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2014-09 on our financial position and results of operations is being assessed by management.</w:t>
      </w:r>
    </w:p>
    <w:p>
      <w:pPr>
        <w:spacing w:after="0" w:line="11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 xml:space="preserve">In June 2014, the FASB issued ASU No. 2014-12, </w:t>
      </w:r>
      <w:r>
        <w:rPr>
          <w:rFonts w:ascii="Arial" w:cs="Arial" w:eastAsia="Arial" w:hAnsi="Arial"/>
          <w:sz w:val="18"/>
          <w:szCs w:val="18"/>
          <w:i w:val="1"/>
          <w:iCs w:val="1"/>
          <w:color w:val="auto"/>
        </w:rPr>
        <w:t>Compensation—Stock Compensation (Topic 718): Accounting for Share-Based Payments When the Terms</w:t>
      </w:r>
      <w:r>
        <w:rPr>
          <w:rFonts w:ascii="Arial" w:cs="Arial" w:eastAsia="Arial" w:hAnsi="Arial"/>
          <w:sz w:val="18"/>
          <w:szCs w:val="18"/>
          <w:color w:val="auto"/>
        </w:rPr>
        <w:t xml:space="preserve"> </w:t>
      </w:r>
      <w:r>
        <w:rPr>
          <w:rFonts w:ascii="Arial" w:cs="Arial" w:eastAsia="Arial" w:hAnsi="Arial"/>
          <w:sz w:val="18"/>
          <w:szCs w:val="18"/>
          <w:i w:val="1"/>
          <w:iCs w:val="1"/>
          <w:color w:val="auto"/>
        </w:rPr>
        <w:t>of an Award Provide That a Performance Target Could Be Achieved after the Requisite Service Period</w:t>
      </w:r>
      <w:r>
        <w:rPr>
          <w:rFonts w:ascii="Arial" w:cs="Arial" w:eastAsia="Arial" w:hAnsi="Arial"/>
          <w:sz w:val="18"/>
          <w:szCs w:val="18"/>
          <w:color w:val="auto"/>
        </w:rPr>
        <w:t>. ASU No. 2014-12 requires that a performance target</w:t>
      </w:r>
      <w:r>
        <w:rPr>
          <w:rFonts w:ascii="Arial" w:cs="Arial" w:eastAsia="Arial" w:hAnsi="Arial"/>
          <w:sz w:val="18"/>
          <w:szCs w:val="18"/>
          <w:i w:val="1"/>
          <w:iCs w:val="1"/>
          <w:color w:val="auto"/>
        </w:rPr>
        <w:t xml:space="preserve"> </w:t>
      </w:r>
      <w:r>
        <w:rPr>
          <w:rFonts w:ascii="Arial" w:cs="Arial" w:eastAsia="Arial" w:hAnsi="Arial"/>
          <w:sz w:val="18"/>
          <w:szCs w:val="18"/>
          <w:color w:val="auto"/>
        </w:rPr>
        <w:t>that affects vesting and could be achieved after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6" w:right="2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requisite service period be treated as a performance condition. A reporting entity should apply existing guidance in ASC 718, Compensation—Stock Compensation, as it relates to such awards. ASU No. 2014-12 is effective in our first quarter of fiscal 2017 with early adoption permitted using either of two methods: (i) prospective to all awards granted or modified after the effective date; or (ii) retrospective to all awards with performance targets that are outstanding as of the beginning of the earliest annual period presented in the financial statements and to all new or modified awards thereafter, with the cumulative effect of applying ASU No. 2014-12 as an adjustment to the opening retained earnings balance as of the beginning of the earliest annual period presented in the financial statements. Management does not believe that the adoption of ASU No. 2014-12 will have a material effect on our financial position or results of operations.</w:t>
      </w:r>
    </w:p>
    <w:p>
      <w:pPr>
        <w:spacing w:after="0" w:line="9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Presentation of Financial Statements—Going Concern (Subtopic 205-40): Disclosure of Uncertainties</w:t>
      </w:r>
      <w:r>
        <w:rPr>
          <w:rFonts w:ascii="Arial" w:cs="Arial" w:eastAsia="Arial" w:hAnsi="Arial"/>
          <w:sz w:val="18"/>
          <w:szCs w:val="18"/>
          <w:color w:val="auto"/>
        </w:rPr>
        <w:t xml:space="preserve"> </w:t>
      </w:r>
      <w:r>
        <w:rPr>
          <w:rFonts w:ascii="Arial" w:cs="Arial" w:eastAsia="Arial" w:hAnsi="Arial"/>
          <w:sz w:val="18"/>
          <w:szCs w:val="18"/>
          <w:i w:val="1"/>
          <w:iCs w:val="1"/>
          <w:color w:val="auto"/>
        </w:rPr>
        <w:t>about an Entity’s Ability to Continue as a Going Concern</w:t>
      </w:r>
      <w:r>
        <w:rPr>
          <w:rFonts w:ascii="Arial" w:cs="Arial" w:eastAsia="Arial" w:hAnsi="Arial"/>
          <w:sz w:val="18"/>
          <w:szCs w:val="18"/>
          <w:color w:val="auto"/>
        </w:rPr>
        <w:t>. ASU No. 2014-15 defines management's responsibility to assess an entity's ability to continue as a</w:t>
      </w:r>
      <w:r>
        <w:rPr>
          <w:rFonts w:ascii="Arial" w:cs="Arial" w:eastAsia="Arial" w:hAnsi="Arial"/>
          <w:sz w:val="18"/>
          <w:szCs w:val="18"/>
          <w:i w:val="1"/>
          <w:iCs w:val="1"/>
          <w:color w:val="auto"/>
        </w:rPr>
        <w:t xml:space="preserve"> </w:t>
      </w:r>
      <w:r>
        <w:rPr>
          <w:rFonts w:ascii="Arial" w:cs="Arial" w:eastAsia="Arial" w:hAnsi="Arial"/>
          <w:sz w:val="18"/>
          <w:szCs w:val="18"/>
          <w:color w:val="auto"/>
        </w:rPr>
        <w:t>going concern, and to provide related footnote disclosures in certain circumstances. This guidance will be effective for all entities in the first annual period ending after December 15, 2016; however, early adoption is permitted. Management does not believe that the adoption of ASU No. 2014-15 will have a material effect on our financial position or results of operations.</w:t>
      </w:r>
    </w:p>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August 2015, the FASB issued ASU No. 2015-12, </w:t>
      </w:r>
      <w:r>
        <w:rPr>
          <w:rFonts w:ascii="Arial" w:cs="Arial" w:eastAsia="Arial" w:hAnsi="Arial"/>
          <w:sz w:val="17"/>
          <w:szCs w:val="17"/>
          <w:i w:val="1"/>
          <w:iCs w:val="1"/>
          <w:color w:val="auto"/>
        </w:rPr>
        <w:t>Plan Accounting: Defined Benefit Pension Plans (Topic 960), Defined Contribution Pension Plans</w:t>
      </w:r>
      <w:r>
        <w:rPr>
          <w:rFonts w:ascii="Arial" w:cs="Arial" w:eastAsia="Arial" w:hAnsi="Arial"/>
          <w:sz w:val="17"/>
          <w:szCs w:val="17"/>
          <w:color w:val="auto"/>
        </w:rPr>
        <w:t xml:space="preserve"> </w:t>
      </w:r>
      <w:r>
        <w:rPr>
          <w:rFonts w:ascii="Arial" w:cs="Arial" w:eastAsia="Arial" w:hAnsi="Arial"/>
          <w:sz w:val="17"/>
          <w:szCs w:val="17"/>
          <w:i w:val="1"/>
          <w:iCs w:val="1"/>
          <w:color w:val="auto"/>
        </w:rPr>
        <w:t>(Topic 962), Health and Welfare Benefit Plans (Topic 965): (Part I) Fully Benefit-Responsive Investment Contracts, (Part II) Plan Investment Disclosures, (Part III) Measurement Date Practical Expedient</w:t>
      </w:r>
      <w:r>
        <w:rPr>
          <w:rFonts w:ascii="Arial" w:cs="Arial" w:eastAsia="Arial" w:hAnsi="Arial"/>
          <w:sz w:val="17"/>
          <w:szCs w:val="17"/>
          <w:color w:val="auto"/>
        </w:rPr>
        <w:t>. Part I of ASU No. 2015-12 designates contract value as the only required measure for fully benefit-responsive investment contracts. Part II simplifies the investment disclosure requirements under Topics 820, 960, 962, and 965 for employee benefits plans and Part III provides a measurement date practical expedient for fiscal periods that do not coincide with a month-end date. ASU No. 2015-12 is effective for fiscal years beginning after December 15, 2015, with early adoption permitted. Management does not believe that the adoption of ASU No. 2015-12 will have a material effect on our financial position or results of operations.</w:t>
      </w:r>
    </w:p>
    <w:p>
      <w:pPr>
        <w:spacing w:after="0" w:line="8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Instruments-Overall (Subtopic 825-10): Recognition and Measurement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and Financial Liabilities</w:t>
      </w:r>
      <w:r>
        <w:rPr>
          <w:rFonts w:ascii="Arial" w:cs="Arial" w:eastAsia="Arial" w:hAnsi="Arial"/>
          <w:sz w:val="16"/>
          <w:szCs w:val="16"/>
          <w:color w:val="auto"/>
        </w:rPr>
        <w:t>. ASU No. 2016-01 requires entities to measure equity investments that do not result in consolidation and are not accounted for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equity method at fair value with changes recognized in net income. However,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It also simplifies the impairment assessment of equity investments without readily determinable fair values by requiring a qualitative assessment to identify impairment. ASU No. 2016-01 also requires separate presentation of financial assets and financial liabilities by measurement category and form of financial asset and liability. ASU No. 2016-01 is effective for fiscal years beginning after December 15, 2017, including interim periods within those fiscal years. Early adoption of certain provisions is permitted. Management does not believe that the adoption of ASU No. 2016-01 will have a material effect on our financial position or results of operations.</w:t>
      </w:r>
    </w:p>
    <w:p>
      <w:pPr>
        <w:spacing w:after="0" w:line="7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ASU No. 2016-02 is intended to increase the transparency and comparability among organizations by recognizing lease asset and lease liabilities on the balance sheet, including those previously classified as operating leases under current U.S. GAAP, and disclosing key information about leasing arrangements. ASU No. 2016-02 is effective for fiscal years beginning after December 15, 2018, including interim periods within those fiscal years. Earlier adoption is permitted. The impact of adopting ASU No. 2016-02 on our financial position and results of operations is being assessed by management.</w:t>
      </w:r>
    </w:p>
    <w:p>
      <w:pPr>
        <w:spacing w:after="0" w:line="9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In March 2016, the FASB issued ASU No. 2016-08, </w:t>
      </w:r>
      <w:r>
        <w:rPr>
          <w:rFonts w:ascii="Arial" w:cs="Arial" w:eastAsia="Arial" w:hAnsi="Arial"/>
          <w:sz w:val="17"/>
          <w:szCs w:val="17"/>
          <w:i w:val="1"/>
          <w:iCs w:val="1"/>
          <w:color w:val="auto"/>
        </w:rPr>
        <w:t>Revenue from Contracts with Customers (Topic 606): Principal versus Agent Considerations (Reporting</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Gross versus Net)</w:t>
      </w:r>
      <w:r>
        <w:rPr>
          <w:rFonts w:ascii="Arial" w:cs="Arial" w:eastAsia="Arial" w:hAnsi="Arial"/>
          <w:sz w:val="17"/>
          <w:szCs w:val="17"/>
          <w:color w:val="auto"/>
        </w:rPr>
        <w:t>. The purpose of ASU No. 2016-08 is to clarify the guidance on principal versus agent considerations. It includes indicators that</w:t>
      </w:r>
      <w:r>
        <w:rPr>
          <w:rFonts w:ascii="Arial" w:cs="Arial" w:eastAsia="Arial" w:hAnsi="Arial"/>
          <w:sz w:val="17"/>
          <w:szCs w:val="17"/>
          <w:i w:val="1"/>
          <w:iCs w:val="1"/>
          <w:color w:val="auto"/>
        </w:rPr>
        <w:t xml:space="preserve"> </w:t>
      </w:r>
      <w:r>
        <w:rPr>
          <w:rFonts w:ascii="Arial" w:cs="Arial" w:eastAsia="Arial" w:hAnsi="Arial"/>
          <w:sz w:val="17"/>
          <w:szCs w:val="17"/>
          <w:color w:val="auto"/>
        </w:rPr>
        <w:t>help to determine whether an entity controls the specified good or service before it is transferred to the customer and to assist in determining when the entity satisfied the performance obligation and as such, whether to recognize a gross or a net amount of consideration in their consolidated statement of operations. The effective date and transition requirements are consistent with ASU No. 2014-09. The impact of adopting ASU No. 2016-08 on our financial position and results of operations is being assessed by management.</w:t>
      </w:r>
    </w:p>
    <w:p>
      <w:pPr>
        <w:spacing w:after="0" w:line="8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 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The purpose of the update is to simplify several areas of the accounting for share-based payment transactions, including the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consequences, classification of awards as either equity or liabilities, and classification on the statement of cash flows. ASU No. 2016-09 is effective for annual reporting periods after December 15, 2016, including interim periods within those fiscal periods. Early adoption is permitted. The impact of adopting ASU No. 2016-09 on our financial position and results of operations is being assessed by management.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6" w:right="2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April 2016, the FASB issued ASU No. 2016-10,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 The guidance clarifies that entities are not required to assess whether promised goods or services are performance obligations if they are immaterial in the context of the contract. ASU No. 2016-10 also addresses how to determine whether promised goods or services are separately identifiable and permits entities to make a policy election to treat shipping and handling costs as fulfillment activities. In addition, it clarifies key provisions in Topic 606 related to licensing. The effective date and transition requirements are consistent with ASU No. 2014-09. The impact of adopting ASU No. 2016-10 on our financial position and results of operations is being assessed by management.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PRODUCT WARRANTIES</w:t>
      </w:r>
    </w:p>
    <w:p>
      <w:pPr>
        <w:spacing w:after="0" w:line="135"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We generally provide a warranty on parts and labor for one year after the sale and installation of each device. We also warrant our disposables products through their use or expiration. We estimate our potential warranty expense based on our historical warranty experience, and we periodically assess the adequacy of our warranty accrual and make adjustments as necessary.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14"/>
                <w:szCs w:val="14"/>
                <w:color w:val="auto"/>
              </w:rPr>
            </w:pPr>
          </w:p>
        </w:tc>
        <w:tc>
          <w:tcPr>
            <w:tcW w:w="1220" w:type="dxa"/>
            <w:vAlign w:val="bottom"/>
          </w:tcPr>
          <w:p>
            <w:pPr>
              <w:jc w:val="right"/>
              <w:ind w:right="356"/>
              <w:spacing w:after="0"/>
              <w:rPr>
                <w:sz w:val="20"/>
                <w:szCs w:val="20"/>
                <w:color w:val="auto"/>
              </w:rPr>
            </w:pPr>
            <w:r>
              <w:rPr>
                <w:rFonts w:ascii="Arial" w:cs="Arial" w:eastAsia="Arial" w:hAnsi="Arial"/>
                <w:sz w:val="14"/>
                <w:szCs w:val="14"/>
                <w:b w:val="1"/>
                <w:bCs w:val="1"/>
                <w:color w:val="auto"/>
              </w:rPr>
              <w:t>March 28,</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accrual as of the beginning of the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Warranty provision</w:t>
            </w:r>
          </w:p>
        </w:tc>
        <w:tc>
          <w:tcPr>
            <w:tcW w:w="30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1,199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spending</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Warranty accrual as of the end of the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420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531</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3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with the first-in, first-out method.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14"/>
                <w:szCs w:val="14"/>
                <w:color w:val="auto"/>
              </w:rPr>
            </w:pPr>
          </w:p>
        </w:tc>
        <w:tc>
          <w:tcPr>
            <w:tcW w:w="1220" w:type="dxa"/>
            <w:vAlign w:val="bottom"/>
          </w:tcPr>
          <w:p>
            <w:pPr>
              <w:jc w:val="right"/>
              <w:ind w:right="356"/>
              <w:spacing w:after="0"/>
              <w:rPr>
                <w:sz w:val="20"/>
                <w:szCs w:val="20"/>
                <w:color w:val="auto"/>
              </w:rPr>
            </w:pPr>
            <w:r>
              <w:rPr>
                <w:rFonts w:ascii="Arial" w:cs="Arial" w:eastAsia="Arial" w:hAnsi="Arial"/>
                <w:sz w:val="14"/>
                <w:szCs w:val="14"/>
                <w:b w:val="1"/>
                <w:bCs w:val="1"/>
                <w:color w:val="auto"/>
              </w:rPr>
              <w:t>March 28,</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62,062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71,794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13,180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12,462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111,786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126,821</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Inventories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187,028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211,077</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During the fourth quarter of fiscal 2016, we recorded $9.4 million of inventory charges and reserves, of which $5.3 million resulted from changes in demand for Blood Center products.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 Testing and Charges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ASC Topic 350, Intangibles - Goodwill and Other, goodwill and intangible assets determined to have indefinite useful lives are not amortized. Instead these assets are evaluated for impairment at least annually, or on an interim basis between annual tests when events or circumstances indicate that it is more likely than not that the fair value of a reporting unit is less than its carrying value. We perform our annual impairment test on the first day of the fiscal fourth quarter for each of our reporting units. Our reporting units for purposes of assessing goodwill impairment are the same as our operating segments, which are organized primarily based on geography and include: (a) North America Plasma, (b) Americas Blood Center and Hospital, (c) EMEA, (d) Asia-Pacific and (e) Japan. The North America Plasma reporting unit is a separate operating segment with dedicated segment management due the size and scale of the plasma business.</w:t>
      </w:r>
    </w:p>
    <w:p>
      <w:pPr>
        <w:spacing w:after="0" w:line="18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During the third quarter of each fiscal year, we prepare our long term projections for net revenues, income and operating cash flows. The economic weakness in EMEA and declines in our U.S. blood center collections have negatively impacted earnings before interest, taxes, depreciation, and amortization ("EBITDA") and net revenues for our EMEA and Americas Blood Center and Hospital reporting units. Because of these market conditions and key uncertainties, including the market rate of adoption of our new products and the negative impact of intense competitive pressure on pricing and market share, we lowered our expectations in terms of the timing and amount of our future revenue, income and cash flows. As a result, we concluded in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6" w:right="2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third quarter of fiscal 2016 that indicators of potential goodwill impairment were present for the EMEA and Americas Blood Center and Hospital reporting units, therefore requiring an interim test for goodwill impairment.</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accordance with ASC Topic 350, we prepared a “Step 1” Test that compared the estimated fair value of each reporting unit to its carrying value. We utilized a discounted cash flow approach in order to value our reporting units for the Step 1 Test, which required that we forecast future cash flows of the reporting units and discount the cash flow stream based upon a weighted average cost of capital that was derived, in part, from comparable companies within similar industries. The discounted cash flow calculations also included a terminal value calculation that was based upon an expected long-term growth rate for the applicable reporting unit. We believe that our procedures for estimating discounted future cash flows, including the terminal valuation, were reasonable and consistent with market conditions at the time of estimation. We corroborated the valuations that arose from the discounted cash flow approach by performing both a market multiple valuation and by reconciling the aggregate fair value of our reporting units to our market capitalization at the time of the test.</w:t>
      </w:r>
    </w:p>
    <w:p>
      <w:pPr>
        <w:spacing w:after="0" w:line="19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results of the Step 1 Test performed in the third quarter of fiscal 2016 indicated that the estimated fair value of all of our reporting units exceeded their respective carrying values, with the exception of EMEA, for which we recorded an estimated goodwill impairment charge, as discussed below. Based on this Step 1 analysis, the reporting unit that is most at risk of impairment in future periods is the Americas Blood Center and Hospital, which has an excess fair value over carrying value of approximately 25.8% and has allocated goodwill of $175.9 million. We believe that our assumptions used to determine the fair value of the Americas Blood Center and Hospital reporting unit were reasonable. If different assumptions were to be used, particularly with respect to estimating future cash flows, or if actual operating results and cash flows of the Americas Blood Center and Hospital differ from the estimated operating results and related cash flows, there is the potential that an impairment charge could result in future periods. Additionally, changes to the discount rate or the long-term growth rate could also give rise to an impairment in future periods.</w:t>
      </w:r>
    </w:p>
    <w:p>
      <w:pPr>
        <w:spacing w:after="0" w:line="1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a result of the carrying value of the EMEA reporting unit exceeding its estimated fair value, a "Step 2" Test was required for this reporting unit. The Step 2 Test measures the impairment loss by allocating the estimated fair value of the reporting unit, as determined in Step 1, to the reporting units’ assets and liabilities, with the residual amount representing the implied fair value of goodwill. To the extent the implied fair value of goodwill is less than the carrying value, an impairment loss is recognized.</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Step 2 Test under ASC Topic 350 requires us to perform a theoretical purchase price allocation for the EMEA reporting unit to determine the implied fair value of goodwill as of the evaluation date. We finalized the Step 2 Test during the fourth quarter of fiscal 2016 and concluded no adjustment to the estimated $66.3 million impairment loss recorded in the third quarter of fiscal 2016 was required, as there was significant intangible value attributed to customer relationships and developed technology based on the theoretical purchase price allocation. The impairment charge recorded in the third quarter of fiscal 2016 represented the entire goodwill balance allocated to EMEA. This charge does not impact our liquidity, cash flows from operations, future operations, or compliance with debt covenants.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reporting segment for fiscal 2016 and 2015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Japan</w:t>
            </w:r>
          </w:p>
        </w:tc>
        <w:tc>
          <w:tcPr>
            <w:tcW w:w="300" w:type="dxa"/>
            <w:vAlign w:val="bottom"/>
          </w:tcPr>
          <w:p>
            <w:pPr>
              <w:spacing w:after="0"/>
              <w:rPr>
                <w:sz w:val="14"/>
                <w:szCs w:val="14"/>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EMEA</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North America</w:t>
            </w:r>
          </w:p>
        </w:tc>
        <w:tc>
          <w:tcPr>
            <w:tcW w:w="26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All Other</w:t>
            </w: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Plasma</w:t>
            </w: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 as of March 29, 2014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25,477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210,857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336,768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Currency translation</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 as of March 28, 2015</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72,695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210,301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334,310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Impairment charge</w:t>
            </w:r>
          </w:p>
        </w:tc>
        <w:tc>
          <w:tcPr>
            <w:tcW w:w="3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(66,305)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(66,305)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 of goodwill between segments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Currency translation</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Carrying amount as of April 2, 2016</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24,883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26,415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216,542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267,840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Impairment</w:t>
      </w:r>
    </w:p>
    <w:p>
      <w:pPr>
        <w:spacing w:after="0" w:line="131"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In April 2013, we acquired a patented red cell storage solution, referred to as SOLX, from Hemerus Medical, LLC for cash consideration of $24.1 million plus an agreement to make certain future payments accounted for as contingent consideration. We acquired Hemerus to complement the portfolio of whole blood collection, filtration and processing product lines and to bring greater efficiency and productivity to whole blood collection and processing.</w:t>
      </w:r>
    </w:p>
    <w:p>
      <w:pPr>
        <w:spacing w:after="0" w:line="52"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During the third quarter of fiscal 2016, we received U.S. Food and Drug Administration clearance for the SOLX solution with a Haemonetics whole blood filter. At that time, the vast majority of the U.S. market utilized a red cell filter, not a whole blood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6" w:right="2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filter, for whole blood collection procedures as they seek to optimize blood component yield from each collection. To bring SOLX to market with a red cell filter would have required substantial additional investment. Accordingly, we conducted a final market review prior to proceeding with this investment, which indicated customers would not pay a price for a SOLX collection kit sufficient to recover the cost to produce it, or to provide an adequate return on the additional investment. As result, in fiscal 2016, we suspended further investment in the SOLX technology and recorded an impairment charge of $18.7 million to write down the carrying value of the SOLX intangible assets. In addition, we reversed the $4.9 million of contingent consideration liability we had recorded, as we do not expect to achieve the conditions that called for its payment.</w:t>
      </w:r>
    </w:p>
    <w:p>
      <w:pPr>
        <w:spacing w:after="0" w:line="9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fourth quarter of fiscal 2016, we completed our global strategic review which resulted in the identification of certain intangible assets that were at risk of being impaired due to changes in the strategic direction of the Company. During the fourth quarter of fiscal 2016, we performed impairment tests for each of these asset groups and based on revised expectations, we recorded asset impairment charges of $7.1 million. Of the total $25.8 million of intangible asset impairments recorded during fiscal 2016, $6.6 million is recorded within cost of goods sold, while the remaining $19.2 million is included within impairment of assets on the consolidated statements of (loss) income. Of these intangible impairments, $6.6 million related to EMEA and the remaining $19.2 million related to our All Other operating segment.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of intangible assets and the related accumulated amortization as of April 2, 2016 and March 28, 2015 is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193"/>
              <w:spacing w:after="0"/>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80" w:type="dxa"/>
            <w:vAlign w:val="bottom"/>
          </w:tcPr>
          <w:p>
            <w:pPr>
              <w:spacing w:after="0"/>
              <w:rPr>
                <w:sz w:val="14"/>
                <w:szCs w:val="14"/>
                <w:color w:val="auto"/>
              </w:rPr>
            </w:pPr>
          </w:p>
        </w:tc>
        <w:tc>
          <w:tcPr>
            <w:tcW w:w="11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320" w:type="dxa"/>
            <w:vAlign w:val="bottom"/>
          </w:tcPr>
          <w:p>
            <w:pPr>
              <w:jc w:val="right"/>
              <w:ind w:right="413"/>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Amortization</w:t>
            </w:r>
            <w:r>
              <w:rPr>
                <w:rFonts w:ascii="Arial" w:cs="Arial" w:eastAsia="Arial" w:hAnsi="Arial"/>
                <w:sz w:val="8"/>
                <w:szCs w:val="8"/>
                <w:b w:val="1"/>
                <w:bCs w:val="1"/>
                <w:color w:val="auto"/>
                <w:w w:val="96"/>
              </w:rPr>
              <w:t>(1)</w:t>
            </w:r>
          </w:p>
        </w:tc>
        <w:tc>
          <w:tcPr>
            <w:tcW w:w="3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58"/>
        </w:trPr>
        <w:tc>
          <w:tcPr>
            <w:tcW w:w="49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 years)</w:t>
            </w:r>
          </w:p>
        </w:tc>
        <w:tc>
          <w:tcPr>
            <w:tcW w:w="0" w:type="dxa"/>
            <w:vAlign w:val="bottom"/>
          </w:tcPr>
          <w:p>
            <w:pPr>
              <w:spacing w:after="0"/>
              <w:rPr>
                <w:sz w:val="1"/>
                <w:szCs w:val="1"/>
                <w:color w:val="auto"/>
              </w:rPr>
            </w:pPr>
          </w:p>
        </w:tc>
      </w:tr>
      <w:tr>
        <w:trPr>
          <w:trHeight w:val="255"/>
        </w:trPr>
        <w:tc>
          <w:tcPr>
            <w:tcW w:w="4920" w:type="dxa"/>
            <w:vAlign w:val="bottom"/>
          </w:tcPr>
          <w:p>
            <w:pPr>
              <w:ind w:left="40"/>
              <w:spacing w:after="0"/>
              <w:rPr>
                <w:sz w:val="20"/>
                <w:szCs w:val="20"/>
                <w:color w:val="auto"/>
              </w:rPr>
            </w:pPr>
            <w:r>
              <w:rPr>
                <w:rFonts w:ascii="Arial" w:cs="Arial" w:eastAsia="Arial" w:hAnsi="Arial"/>
                <w:sz w:val="18"/>
                <w:szCs w:val="18"/>
                <w:color w:val="auto"/>
              </w:rPr>
              <w:t>As of April 2, 2016</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Amortizable: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Patents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8,545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7,542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1,003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software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40,488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25,697</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developed technology</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126,142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73,475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52,667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 and related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196,085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89,804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106,281</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7,083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5,204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1,879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378,343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190,816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187,527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Non-amortizable: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software development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In-process patents</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2,504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16,931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Includes impairment of SOLX and other intangible assets, as discussed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193"/>
              <w:spacing w:after="0"/>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4"/>
                <w:szCs w:val="14"/>
                <w:color w:val="auto"/>
              </w:rPr>
            </w:pPr>
          </w:p>
        </w:tc>
        <w:tc>
          <w:tcPr>
            <w:tcW w:w="11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320" w:type="dxa"/>
            <w:vAlign w:val="bottom"/>
          </w:tcPr>
          <w:p>
            <w:pPr>
              <w:jc w:val="right"/>
              <w:ind w:right="413"/>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58"/>
        </w:trPr>
        <w:tc>
          <w:tcPr>
            <w:tcW w:w="49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 years)</w:t>
            </w:r>
          </w:p>
        </w:tc>
        <w:tc>
          <w:tcPr>
            <w:tcW w:w="0" w:type="dxa"/>
            <w:vAlign w:val="bottom"/>
          </w:tcPr>
          <w:p>
            <w:pPr>
              <w:spacing w:after="0"/>
              <w:rPr>
                <w:sz w:val="1"/>
                <w:szCs w:val="1"/>
                <w:color w:val="auto"/>
              </w:rPr>
            </w:pPr>
          </w:p>
        </w:tc>
      </w:tr>
      <w:tr>
        <w:trPr>
          <w:trHeight w:val="255"/>
        </w:trPr>
        <w:tc>
          <w:tcPr>
            <w:tcW w:w="4920" w:type="dxa"/>
            <w:vAlign w:val="bottom"/>
          </w:tcPr>
          <w:p>
            <w:pPr>
              <w:ind w:left="40"/>
              <w:spacing w:after="0"/>
              <w:rPr>
                <w:sz w:val="20"/>
                <w:szCs w:val="20"/>
                <w:color w:val="auto"/>
              </w:rPr>
            </w:pPr>
            <w:r>
              <w:rPr>
                <w:rFonts w:ascii="Arial" w:cs="Arial" w:eastAsia="Arial" w:hAnsi="Arial"/>
                <w:sz w:val="18"/>
                <w:szCs w:val="18"/>
                <w:color w:val="auto"/>
              </w:rPr>
              <w:t>As of March 28, 2015</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Amortizable: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Patents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7,686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7,373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313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software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31,818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26,164</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developed technology</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124,573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46,474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78,099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 and related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195,985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70,440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125,545</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7,042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3,234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3,808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367,104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133,175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233,929</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Non-amortizable: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software development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In-process patents</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2,787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10,659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6" w:right="239" w:bottom="1440" w:gutter="0" w:footer="0" w:header="0"/>
          <w:type w:val="continuous"/>
        </w:sectPr>
      </w:pPr>
    </w:p>
    <w:bookmarkStart w:id="67" w:name="page68"/>
    <w:bookmarkEnd w:id="6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Intangible assets include the value assigned to license rights and other developed technology, patents, customer contracts and relationships and trade names. The estimated useful lives for all of these intangible assets are 2 to 19 years. The changes to the net carrying value of our intangible assets from March 28, 2015 to April 2, 2016 reflect the impact of the SOLX impairment discussed above as well as the additional intangible asset impairments recorded during the fourth quarter of fiscal 2016 totaling $7.1 million, as discussed above. Of the $7.1 million of impairments recorded during the fourth quarter of fiscal 2016, approximately $6.0 million was related to the discontinuance of certain capitalized software projects as discussed in Note 16, </w:t>
      </w:r>
      <w:r>
        <w:rPr>
          <w:rFonts w:ascii="Arial" w:cs="Arial" w:eastAsia="Arial" w:hAnsi="Arial"/>
          <w:sz w:val="18"/>
          <w:szCs w:val="18"/>
          <w:i w:val="1"/>
          <w:iCs w:val="1"/>
          <w:color w:val="auto"/>
        </w:rPr>
        <w:t>Capitalization of Software</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 Costs</w:t>
      </w:r>
      <w:r>
        <w:rPr>
          <w:rFonts w:ascii="Arial" w:cs="Arial" w:eastAsia="Arial" w:hAnsi="Arial"/>
          <w:sz w:val="18"/>
          <w:szCs w:val="18"/>
          <w:color w:val="auto"/>
        </w:rPr>
        <w:t>. Amortization expense, partially offset by the investment in capitalized software and other less significant intangible assets, also</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contributed to the change in net carrying value.</w:t>
      </w:r>
    </w:p>
    <w:p>
      <w:pPr>
        <w:spacing w:after="0" w:line="9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Aggregate amortization expense for amortized intangible assets for fiscal 2016 was $59.3 million, which included $25.4 million of amortization expense as a result of the intangible asset impairments discussed above. Fiscal 2015 and 2014 amortization expense was $33.5 million and $29.2 million, respectively. Future annual amortization expense on intangible assets is estimated to be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7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Fiscal Year</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660" w:type="dxa"/>
            <w:vAlign w:val="bottom"/>
          </w:tcPr>
          <w:p>
            <w:pPr>
              <w:jc w:val="right"/>
              <w:ind w:right="270"/>
              <w:spacing w:after="0"/>
              <w:rPr>
                <w:sz w:val="20"/>
                <w:szCs w:val="20"/>
                <w:color w:val="auto"/>
              </w:rPr>
            </w:pPr>
            <w:r>
              <w:rPr>
                <w:rFonts w:ascii="Arial" w:cs="Arial" w:eastAsia="Arial" w:hAnsi="Arial"/>
                <w:sz w:val="18"/>
                <w:szCs w:val="18"/>
                <w:i w:val="1"/>
                <w:iCs w:val="1"/>
                <w:color w:val="auto"/>
              </w:rPr>
              <w:t>(in</w:t>
            </w:r>
          </w:p>
        </w:tc>
        <w:tc>
          <w:tcPr>
            <w:tcW w:w="0" w:type="dxa"/>
            <w:vAlign w:val="bottom"/>
          </w:tcPr>
          <w:p>
            <w:pPr>
              <w:spacing w:after="0"/>
              <w:rPr>
                <w:sz w:val="1"/>
                <w:szCs w:val="1"/>
                <w:color w:val="auto"/>
              </w:rPr>
            </w:pPr>
          </w:p>
        </w:tc>
      </w:tr>
      <w:tr>
        <w:trPr>
          <w:trHeight w:val="230"/>
        </w:trPr>
        <w:tc>
          <w:tcPr>
            <w:tcW w:w="9720" w:type="dxa"/>
            <w:vAlign w:val="bottom"/>
            <w:gridSpan w:val="2"/>
            <w:vMerge w:val="continue"/>
          </w:tcPr>
          <w:p>
            <w:pPr>
              <w:spacing w:after="0"/>
              <w:rPr>
                <w:sz w:val="20"/>
                <w:szCs w:val="20"/>
                <w:color w:val="auto"/>
              </w:rPr>
            </w:pPr>
          </w:p>
        </w:tc>
        <w:tc>
          <w:tcPr>
            <w:tcW w:w="1700" w:type="dxa"/>
            <w:vAlign w:val="bottom"/>
            <w:gridSpan w:val="2"/>
          </w:tcPr>
          <w:p>
            <w:pPr>
              <w:jc w:val="right"/>
              <w:ind w:right="370"/>
              <w:spacing w:after="0"/>
              <w:rPr>
                <w:sz w:val="20"/>
                <w:szCs w:val="20"/>
                <w:color w:val="auto"/>
              </w:rPr>
            </w:pPr>
            <w:r>
              <w:rPr>
                <w:rFonts w:ascii="Arial" w:cs="Arial" w:eastAsia="Arial" w:hAnsi="Arial"/>
                <w:sz w:val="18"/>
                <w:szCs w:val="18"/>
                <w:i w:val="1"/>
                <w:iCs w:val="1"/>
                <w:color w:val="auto"/>
              </w:rPr>
              <w:t>thousands)</w:t>
            </w:r>
          </w:p>
        </w:tc>
        <w:tc>
          <w:tcPr>
            <w:tcW w:w="0" w:type="dxa"/>
            <w:vAlign w:val="bottom"/>
          </w:tcPr>
          <w:p>
            <w:pPr>
              <w:spacing w:after="0"/>
              <w:rPr>
                <w:sz w:val="1"/>
                <w:szCs w:val="1"/>
                <w:color w:val="auto"/>
              </w:rPr>
            </w:pPr>
          </w:p>
        </w:tc>
      </w:tr>
      <w:tr>
        <w:trPr>
          <w:trHeight w:val="27"/>
        </w:trPr>
        <w:tc>
          <w:tcPr>
            <w:tcW w:w="9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31,397</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30,959</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29,250</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27,353</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25,512</w:t>
            </w:r>
          </w:p>
        </w:tc>
        <w:tc>
          <w:tcPr>
            <w:tcW w:w="0" w:type="dxa"/>
            <w:vAlign w:val="bottom"/>
          </w:tcPr>
          <w:p>
            <w:pPr>
              <w:spacing w:after="0"/>
              <w:rPr>
                <w:sz w:val="1"/>
                <w:szCs w:val="1"/>
                <w:color w:val="auto"/>
              </w:rPr>
            </w:pPr>
          </w:p>
        </w:tc>
      </w:tr>
      <w:tr>
        <w:trPr>
          <w:trHeight w:val="27"/>
        </w:trPr>
        <w:tc>
          <w:tcPr>
            <w:tcW w:w="9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DERIVATIVES AND FAIR VALUE MEASUREMENTS</w:t>
      </w:r>
    </w:p>
    <w:p>
      <w:pPr>
        <w:spacing w:after="0" w:line="13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manufacture, market and sell our products globally. For the fiscal year ended April 2, 2016, 42.9% of our sales were generated outside the U.S. in local currencies. We also incur certain manufacturing, marketing and selling costs in international markets in local currency.</w:t>
      </w:r>
    </w:p>
    <w:p>
      <w:pPr>
        <w:spacing w:after="0" w:line="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Accordingly, our earnings and cash flows are exposed to market risk from changes in foreign currency exchange rates relative to the U.S. Dollar, our reporting currency. We have a program in place that is designed to mitigate our exposure to changes in foreign currency exchange rates. That program includes the use of derivative financial instruments to minimize for a period of time, the impact on our financial results from changes in foreign exchange rates. We utilize foreign currency forward contracts to hedge the anticipated cash flows from transactions denominated in foreign currencies, primarily the Japanese Yen and the Euro, and to a lesser extent the Swiss Franc, Australian Dollar, British Pound Sterling, Canadian Dollar and the Mexican Peso. This does not eliminate the impact of the volatility of foreign exchange rates, but because we generally enter into forward contracts one year out, rates are fixed for a one-year period, thereby facilitating financial planning and resource allocation.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Designated Foreign Currency Hedge Contracts</w:t>
      </w:r>
    </w:p>
    <w:p>
      <w:pPr>
        <w:spacing w:after="0" w:line="13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All of our designated foreign currency hedge contracts as of April 2, 2016 and March 28, 2015 were cash flow hedges under ASC Topic 815, </w:t>
      </w:r>
      <w:r>
        <w:rPr>
          <w:rFonts w:ascii="Arial" w:cs="Arial" w:eastAsia="Arial" w:hAnsi="Arial"/>
          <w:sz w:val="16"/>
          <w:szCs w:val="16"/>
          <w:i w:val="1"/>
          <w:iCs w:val="1"/>
          <w:color w:val="auto"/>
        </w:rPr>
        <w:t>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w:t>
      </w:r>
      <w:r>
        <w:rPr>
          <w:rFonts w:ascii="Arial" w:cs="Arial" w:eastAsia="Arial" w:hAnsi="Arial"/>
          <w:sz w:val="16"/>
          <w:szCs w:val="16"/>
          <w:color w:val="auto"/>
        </w:rPr>
        <w:t>. We record the effective portion of any change in the fair value of designated foreign currency hedge contracts in other comprehensive (loss) income</w:t>
      </w:r>
      <w:r>
        <w:rPr>
          <w:rFonts w:ascii="Arial" w:cs="Arial" w:eastAsia="Arial" w:hAnsi="Arial"/>
          <w:sz w:val="16"/>
          <w:szCs w:val="16"/>
          <w:i w:val="1"/>
          <w:iCs w:val="1"/>
          <w:color w:val="auto"/>
        </w:rPr>
        <w:t xml:space="preserve"> </w:t>
      </w:r>
      <w:r>
        <w:rPr>
          <w:rFonts w:ascii="Arial" w:cs="Arial" w:eastAsia="Arial" w:hAnsi="Arial"/>
          <w:sz w:val="16"/>
          <w:szCs w:val="16"/>
          <w:color w:val="auto"/>
        </w:rPr>
        <w:t>until 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$107.4 million as of April 2, 2016 and $145.8 million as of March 28, 2015.</w:t>
      </w:r>
    </w:p>
    <w:p>
      <w:pPr>
        <w:spacing w:after="0" w:line="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During fiscal 2016, we recognized net gains of $8.8 million in earnings on our cash flow hedges, compared to recognized net gains of $6.5 million and $8.6 million during fiscal 2015 and 2014, respectively. For the fiscal year ended April 2, 2016, a $3.9 million loss, net of tax, was recorded in accumulated other comprehensive (loss) income to recognize the effective portion of the fair value of any designated foreign currency hedge contracts that are, or previously were, designated as foreign currency cash flow hedges, as compared to a gain of $12.2 million, net of tax, for the fiscal year ended March 28, 2015 and a gain of $3.7 million, net of tax, for the fiscal year ended March 29, 2014. At April 2, 2016, losses of $3.9 million, net of tax, will be reclassified to earnings within the next twelve months. All currency cash flow hedges outstanding as of April 2, 2016 mature within twelve months.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6" w:right="2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Non-Designated Foreign Currency Contracts</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manage our exposure to changes in foreign currency on a consolidated basis to take advantage of offsetting transactions and balances. We use foreign currency forward contracts as a part of our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Topic 815. These forward contracts are marked-to-market with changes in fair value recorded to earnings. We had non-designated foreign currency hedge contracts under ASC Topic 815 outstanding in the contract amount of $48.8 million as of April 2, 2016 and $52.6 million as of March 28,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39" w:lineRule="exact"/>
        <w:rPr>
          <w:sz w:val="20"/>
          <w:szCs w:val="20"/>
          <w:color w:val="auto"/>
        </w:rPr>
      </w:pPr>
    </w:p>
    <w:p>
      <w:pPr>
        <w:jc w:val="both"/>
        <w:ind w:right="100"/>
        <w:spacing w:after="0" w:line="272" w:lineRule="auto"/>
        <w:rPr>
          <w:sz w:val="20"/>
          <w:szCs w:val="20"/>
          <w:color w:val="auto"/>
        </w:rPr>
      </w:pPr>
      <w:r>
        <w:rPr>
          <w:rFonts w:ascii="Arial" w:cs="Arial" w:eastAsia="Arial" w:hAnsi="Arial"/>
          <w:sz w:val="16"/>
          <w:szCs w:val="16"/>
          <w:color w:val="auto"/>
        </w:rPr>
        <w:t xml:space="preserve">On August 1, 2012, we entered into a credit agreement, as amended June 30, 2014, which provided for a term loan ("Credit Agreement"). Under the terms of this Credit Agreement, we may borrow at a spread to an index, including the LIBOR index of 1-month, 3-months, 6-months, etc. From the date of the Credit Agreement, we have chosen to borrow against the 1-month USD-LIBOR-BBA rounded up, if necessary, to the nearest </w:t>
      </w:r>
      <w:r>
        <w:rPr>
          <w:rFonts w:ascii="Arial" w:cs="Arial" w:eastAsia="Arial" w:hAnsi="Arial"/>
          <w:sz w:val="17"/>
          <w:szCs w:val="17"/>
          <w:color w:val="auto"/>
        </w:rPr>
        <w:t>1/16</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of 1% (“Adjusted LIBOR”).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the Credit Agreement allow us to borrow in multiple tranches.</w:t>
      </w:r>
    </w:p>
    <w:p>
      <w:pPr>
        <w:spacing w:after="0" w:line="20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Accordingly, our earnings and cash flows are exposed to interest rate risk from changes in Adjusted LIBOR. Part of our interest rate risk management strategy includes the use of interest rate swaps to mitigate our exposure to changes in variable interest rates. Our objective in using interest rate swaps is to add stability to interest expense and to manage and reduce the risk inherent in interest rate fluctuations. We formally document our hedge relationships (including identifying the hedged instrument and hedged item) at hedge inception to ensure that our interest rate swaps qualify for hedge accounting. On a quarterly basis, we assess whether the interest rate swaps are highly effective in offsetting changes in the cash flow of the hedged item. We do not hold or issue interest rate swaps for trading purposes. We manage the credit risk of the counterparties by dealing only with institutions that we consider financially sound and consider the risk of non-performance to be remote.</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December 21, 2012, we entered into two interest rate swap agreements (the "Swaps"), whereby we receive Adjusted LIBOR and pay an average fixed rate of 0.68% on a total notional value of $250.0 million of debt. The Swaps mature on August 1, 2017. We designated the Swaps as cash flow hedges of variable interest rate risk associated with $250.0 million of indebtedness. For the fiscal year ended April 2, 2016, an insignificant gain was recorded in Accumulated Other Comprehensive (Loss) Income to recognize the effective portion of the fair value of the Swaps that qualify as cash flow hedges. For fiscal years ended March 28, 2015 and March 29, 2014, a loss of $0.9 million and a gain of $1.3 million, respectively, net of tax, were recorded in Accumulated Other Comprehensive (Loss) Income for this effective portion.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6" w:right="2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3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following table presents the effect of our derivative instruments designated as cash flow hedges and those not designated as hedging instruments under ASC Topic 815 in our consolidated statements of (loss) income and comprehensive (loss) income for the fiscal year ended April 2, 2016.</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Amount of Gain</w:t>
            </w: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Amount of Gain</w:t>
            </w: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Location in Consolidated</w:t>
            </w:r>
          </w:p>
        </w:tc>
        <w:tc>
          <w:tcPr>
            <w:tcW w:w="16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Amount of Gain</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(Loss) Recognized in</w:t>
            </w: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Statements of (Loss)</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(Loss) Excluded</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Statements of (Loss)</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Income and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from</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Income and</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Instruments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(Loss) Income into</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Comprehensive (Loss)</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0"/>
              </w:rPr>
              <w:t>(Loss) Income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3"/>
              </w:rPr>
              <w:t>Testing (*)</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64"/>
        </w:trPr>
        <w:tc>
          <w:tcPr>
            <w:tcW w:w="378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Designated foreign currency hedge contracts, net</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revenues, COGS,</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of tax</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8,822</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and SG&amp;A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0" w:type="dxa"/>
            <w:vAlign w:val="bottom"/>
          </w:tcPr>
          <w:p>
            <w:pPr>
              <w:spacing w:after="0"/>
              <w:rPr>
                <w:sz w:val="1"/>
                <w:szCs w:val="1"/>
                <w:color w:val="auto"/>
              </w:rPr>
            </w:pPr>
          </w:p>
        </w:tc>
      </w:tr>
      <w:tr>
        <w:trPr>
          <w:trHeight w:val="230"/>
        </w:trPr>
        <w:tc>
          <w:tcPr>
            <w:tcW w:w="3780" w:type="dxa"/>
            <w:vAlign w:val="bottom"/>
            <w:gridSpan w:val="2"/>
          </w:tcPr>
          <w:p>
            <w:pPr>
              <w:ind w:left="40"/>
              <w:spacing w:after="0"/>
              <w:rPr>
                <w:sz w:val="20"/>
                <w:szCs w:val="20"/>
                <w:color w:val="auto"/>
              </w:rPr>
            </w:pPr>
            <w:r>
              <w:rPr>
                <w:rFonts w:ascii="Arial" w:cs="Arial" w:eastAsia="Arial" w:hAnsi="Arial"/>
                <w:sz w:val="18"/>
                <w:szCs w:val="18"/>
                <w:color w:val="auto"/>
                <w:w w:val="94"/>
              </w:rPr>
              <w:t>Non-designated foreign currency hedge contracts</w:t>
            </w:r>
          </w:p>
        </w:tc>
        <w:tc>
          <w:tcPr>
            <w:tcW w:w="1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0"/>
                <w:szCs w:val="20"/>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 net of tax</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20" w:hanging="585"/>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exclude the difference between the spot rate and hedge forward rate from our effectiveness testing.</w:t>
      </w:r>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did not have fair value hedges or net investment hedges outstanding as of April 2, 2016 or March 28, 2015. As of April 2, 2016, the amount recognized as a deferred tax asset for designated foreign currency hedges was $0.3 million.</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ASC Topic 815 requires all derivative instruments to be recognized at their fair values as either assets or liabilities on the balance sheet. We determine the fair value of our derivative instruments using the framework prescribed by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we would receive or pay to sell or transfer these instruments at the reporting date and by taking into account current interest rates, currency exchange rates, current interest rate curves, interest rate volatilities,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April 2, 2016, we have classified our derivative assets and liabilities within Level 2 of the fair value hierarchy prescribed by ASC Topic 815, as discussed below, because these observable inputs are available for substantially the full term of our derivative instruments.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of our derivative instruments as they appear in our consolidated balance sheets: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980" w:type="dxa"/>
            <w:vAlign w:val="bottom"/>
            <w:gridSpan w:val="2"/>
          </w:tcPr>
          <w:p>
            <w:pPr>
              <w:ind w:left="1080"/>
              <w:spacing w:after="0"/>
              <w:rPr>
                <w:sz w:val="20"/>
                <w:szCs w:val="20"/>
                <w:color w:val="auto"/>
              </w:rPr>
            </w:pPr>
            <w:r>
              <w:rPr>
                <w:rFonts w:ascii="Arial" w:cs="Arial" w:eastAsia="Arial" w:hAnsi="Arial"/>
                <w:sz w:val="14"/>
                <w:szCs w:val="14"/>
                <w:b w:val="1"/>
                <w:bCs w:val="1"/>
                <w:color w:val="auto"/>
              </w:rPr>
              <w:t>Location in</w:t>
            </w: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 as of April 2,</w:t>
            </w:r>
          </w:p>
        </w:tc>
        <w:tc>
          <w:tcPr>
            <w:tcW w:w="148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w w:val="98"/>
              </w:rPr>
              <w:t>Balance as of March</w:t>
            </w:r>
          </w:p>
        </w:tc>
        <w:tc>
          <w:tcPr>
            <w:tcW w:w="0" w:type="dxa"/>
            <w:vAlign w:val="bottom"/>
          </w:tcPr>
          <w:p>
            <w:pPr>
              <w:spacing w:after="0"/>
              <w:rPr>
                <w:sz w:val="1"/>
                <w:szCs w:val="1"/>
                <w:color w:val="auto"/>
              </w:rPr>
            </w:pPr>
          </w:p>
        </w:tc>
      </w:tr>
      <w:tr>
        <w:trPr>
          <w:trHeight w:val="192"/>
        </w:trPr>
        <w:tc>
          <w:tcPr>
            <w:tcW w:w="53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980" w:type="dxa"/>
            <w:vAlign w:val="bottom"/>
            <w:gridSpan w:val="2"/>
          </w:tcPr>
          <w:p>
            <w:pPr>
              <w:ind w:left="1000"/>
              <w:spacing w:after="0"/>
              <w:rPr>
                <w:sz w:val="20"/>
                <w:szCs w:val="20"/>
                <w:color w:val="auto"/>
              </w:rPr>
            </w:pPr>
            <w:r>
              <w:rPr>
                <w:rFonts w:ascii="Arial" w:cs="Arial" w:eastAsia="Arial" w:hAnsi="Arial"/>
                <w:sz w:val="14"/>
                <w:szCs w:val="14"/>
                <w:b w:val="1"/>
                <w:bCs w:val="1"/>
                <w:color w:val="auto"/>
              </w:rPr>
              <w:t>Balance Sheet</w:t>
            </w: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13"/>
              <w:spacing w:after="0"/>
              <w:rPr>
                <w:sz w:val="20"/>
                <w:szCs w:val="20"/>
                <w:color w:val="auto"/>
              </w:rPr>
            </w:pPr>
            <w:r>
              <w:rPr>
                <w:rFonts w:ascii="Arial" w:cs="Arial" w:eastAsia="Arial" w:hAnsi="Arial"/>
                <w:sz w:val="14"/>
                <w:szCs w:val="14"/>
                <w:b w:val="1"/>
                <w:bCs w:val="1"/>
                <w:color w:val="auto"/>
              </w:rPr>
              <w:t>28, 2015</w:t>
            </w:r>
          </w:p>
        </w:tc>
        <w:tc>
          <w:tcPr>
            <w:tcW w:w="0" w:type="dxa"/>
            <w:vAlign w:val="bottom"/>
          </w:tcPr>
          <w:p>
            <w:pPr>
              <w:spacing w:after="0"/>
              <w:rPr>
                <w:sz w:val="1"/>
                <w:szCs w:val="1"/>
                <w:color w:val="auto"/>
              </w:rPr>
            </w:pPr>
          </w:p>
        </w:tc>
      </w:tr>
      <w:tr>
        <w:trPr>
          <w:trHeight w:val="250"/>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98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9,740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427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9,740</w:t>
            </w:r>
          </w:p>
        </w:tc>
        <w:tc>
          <w:tcPr>
            <w:tcW w:w="0" w:type="dxa"/>
            <w:vAlign w:val="bottom"/>
          </w:tcPr>
          <w:p>
            <w:pPr>
              <w:spacing w:after="0"/>
              <w:rPr>
                <w:sz w:val="1"/>
                <w:szCs w:val="1"/>
                <w:color w:val="auto"/>
              </w:rPr>
            </w:pPr>
          </w:p>
        </w:tc>
      </w:tr>
      <w:tr>
        <w:trPr>
          <w:trHeight w:val="67"/>
        </w:trPr>
        <w:tc>
          <w:tcPr>
            <w:tcW w:w="5360" w:type="dxa"/>
            <w:vAlign w:val="bottom"/>
            <w:tcBorders>
              <w:bottom w:val="single" w:sz="8" w:color="CCEEFF"/>
            </w:tcBorders>
          </w:tcPr>
          <w:p>
            <w:pPr>
              <w:spacing w:after="0"/>
              <w:rPr>
                <w:sz w:val="5"/>
                <w:szCs w:val="5"/>
                <w:color w:val="auto"/>
              </w:rPr>
            </w:pPr>
          </w:p>
        </w:tc>
        <w:tc>
          <w:tcPr>
            <w:tcW w:w="28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98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4,056</w:t>
            </w:r>
          </w:p>
        </w:tc>
        <w:tc>
          <w:tcPr>
            <w:tcW w:w="10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4,210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2,658</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60" w:type="dxa"/>
            <w:vAlign w:val="bottom"/>
            <w:vMerge w:val="restart"/>
          </w:tcPr>
          <w:p>
            <w:pPr>
              <w:ind w:left="26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8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3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Measurements</w:t>
      </w:r>
    </w:p>
    <w:p>
      <w:pPr>
        <w:spacing w:after="0" w:line="1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ASC Topic 820 defines fair value, establishes a framework for measuring fair value in accordance with U.S. GAAP, and expands disclosures about fair value measurements. ASC Topic 820 does not require any new fair value measurements; rather, it applies to other accounting pronouncements that require or permit fair value measurements. In accordance with ASC Topic 820, for the fiscal years ended April 2, 2016 and March 28, 2015, we applied the requirements under ASC Topic 820 to our non-financial assets and non-financial liabilities.</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 recurring basis, we measure certain financial assets and financial liabilities at fair value, including our money market funds, foreign currency hedge contracts, and contingent consideration. ASC Topic 820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ASC Topic 820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24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Our money market funds carried at fair value are classified within Level 1 of the fair value hierarchy because they are valued using quoted market prices.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Measured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consist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As of April 2, 2016</w:t>
            </w:r>
          </w:p>
        </w:tc>
        <w:tc>
          <w:tcPr>
            <w:tcW w:w="300" w:type="dxa"/>
            <w:vAlign w:val="bottom"/>
          </w:tcPr>
          <w:p>
            <w:pPr>
              <w:spacing w:after="0"/>
              <w:rPr>
                <w:sz w:val="22"/>
                <w:szCs w:val="22"/>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22"/>
                <w:szCs w:val="22"/>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5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72,491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72,491</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72,491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72,918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Designated interest rate swaps</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4,210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4,210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As of March 28, 2015</w:t>
            </w:r>
          </w:p>
        </w:tc>
        <w:tc>
          <w:tcPr>
            <w:tcW w:w="320" w:type="dxa"/>
            <w:vAlign w:val="bottom"/>
          </w:tcPr>
          <w:p>
            <w:pPr>
              <w:spacing w:after="0"/>
              <w:rPr>
                <w:sz w:val="22"/>
                <w:szCs w:val="22"/>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2"/>
                <w:szCs w:val="22"/>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119,946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119,946</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9,740</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9,740</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119,946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9,740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129,686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Forward currency hedge contracts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Designated interest rate swaps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4,727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2,658</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ind w:right="754"/>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4"/>
              </w:rPr>
              <w:t>4,727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7,385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the fiscal years ended April 2, 2016 and March 28, 2015, non-designated foreign currency hedge contracts were not significant and are not disclosed separately in the above tables.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7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Contingent consideration liabilities are measured at fair value using projected revenues, discount rates, probabilities of payment and projected payment dates. This Level 3 fair value measurement was performed using a probability-weighted discounted cash flow over a ten year period. Increases or decreases in the fair value of our contingent consideration liability can result from changes in discount periods and rates, as well as changes in the timing and amount of revenue estimates or likelihood of earning revenue. Projected revenues are based on our most recent internal operational budgets.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reconciliation of the beginning and ending Level 3 liabilities for the year ended April 2, 2016.</w:t>
      </w:r>
    </w:p>
    <w:p>
      <w:pPr>
        <w:sectPr>
          <w:pgSz w:w="11900" w:h="16838" w:orient="portrait"/>
          <w:cols w:equalWidth="0" w:num="1">
            <w:col w:w="11400"/>
          </w:cols>
          <w:pgMar w:left="240" w:top="12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thousands)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March 28, 2015</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adjustment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Balance at April 2, 2016</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Fair Value Measurements Using</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Significant Unobservable Inputs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13335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4,727</w:t>
      </w:r>
    </w:p>
    <w:p>
      <w:pPr>
        <w:spacing w:after="0" w:line="63"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(4,727)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39370</wp:posOffset>
            </wp:positionV>
            <wp:extent cx="724662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4"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51435</wp:posOffset>
            </wp:positionV>
            <wp:extent cx="1303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8680" w:space="720"/>
            <w:col w:w="2000"/>
          </w:cols>
          <w:pgMar w:left="240" w:top="126" w:right="259" w:bottom="1440" w:gutter="0" w:footer="0" w:header="0"/>
          <w:type w:val="continuous"/>
        </w:sectPr>
      </w:pPr>
    </w:p>
    <w:p>
      <w:pPr>
        <w:spacing w:after="0" w:line="4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As discussed in Note 5,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during fiscal 2016, we reversed the remaining $4.9 million of contingent consideration liability associated with the SOLX asset, as we do not expect to achieve the conditions that called for its payment. This reversal, as well as the fair value adjustment recorded earlier in fiscal 2016, are included within the contingent consideration (income) expense line on the consolidated statements of (loss) income for fiscal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The Term Loan (which is carried at amortized cost), accounts receivable and accounts payable approximate fair value. Details pertaining to the Term Loan can be found in Note 7, </w:t>
      </w:r>
      <w:r>
        <w:rPr>
          <w:rFonts w:ascii="Arial" w:cs="Arial" w:eastAsia="Arial" w:hAnsi="Arial"/>
          <w:sz w:val="18"/>
          <w:szCs w:val="18"/>
          <w:i w:val="1"/>
          <w:iCs w:val="1"/>
          <w:color w:val="auto"/>
        </w:rPr>
        <w:t>Notes Payable and Long-Term Debt</w:t>
      </w:r>
      <w:r>
        <w:rPr>
          <w:rFonts w:ascii="Arial" w:cs="Arial" w:eastAsia="Arial" w:hAnsi="Arial"/>
          <w:sz w:val="18"/>
          <w:szCs w:val="18"/>
          <w:color w:val="auto"/>
        </w:rPr>
        <w: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6" w:right="259" w:bottom="1440" w:gutter="0" w:footer="0" w:header="0"/>
          <w:type w:val="continuous"/>
        </w:sectPr>
      </w:pPr>
    </w:p>
    <w:bookmarkStart w:id="72" w:name="page73"/>
    <w:bookmarkEnd w:id="7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NOTES PAYABLE AND LONG-TERM DEBT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Notes payable and long-term debt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6"/>
                <w:szCs w:val="16"/>
                <w:color w:val="auto"/>
              </w:rPr>
            </w:pPr>
          </w:p>
        </w:tc>
        <w:tc>
          <w:tcPr>
            <w:tcW w:w="1700" w:type="dxa"/>
            <w:vAlign w:val="bottom"/>
            <w:gridSpan w:val="2"/>
          </w:tcPr>
          <w:p>
            <w:pPr>
              <w:ind w:left="240"/>
              <w:spacing w:after="0"/>
              <w:rPr>
                <w:sz w:val="20"/>
                <w:szCs w:val="20"/>
                <w:color w:val="auto"/>
              </w:rPr>
            </w:pPr>
            <w:r>
              <w:rPr>
                <w:rFonts w:ascii="Arial" w:cs="Arial" w:eastAsia="Arial" w:hAnsi="Arial"/>
                <w:sz w:val="14"/>
                <w:szCs w:val="14"/>
                <w:b w:val="1"/>
                <w:bCs w:val="1"/>
                <w:color w:val="auto"/>
              </w:rPr>
              <w:t>April 2, 2016</w:t>
            </w:r>
          </w:p>
        </w:tc>
        <w:tc>
          <w:tcPr>
            <w:tcW w:w="320" w:type="dxa"/>
            <w:vAlign w:val="bottom"/>
          </w:tcPr>
          <w:p>
            <w:pPr>
              <w:spacing w:after="0"/>
              <w:rPr>
                <w:sz w:val="16"/>
                <w:szCs w:val="16"/>
                <w:color w:val="auto"/>
              </w:rPr>
            </w:pPr>
          </w:p>
        </w:tc>
        <w:tc>
          <w:tcPr>
            <w:tcW w:w="1620" w:type="dxa"/>
            <w:vAlign w:val="bottom"/>
          </w:tcPr>
          <w:p>
            <w:pPr>
              <w:jc w:val="right"/>
              <w:ind w:right="393"/>
              <w:spacing w:after="0"/>
              <w:rPr>
                <w:sz w:val="20"/>
                <w:szCs w:val="20"/>
                <w:color w:val="auto"/>
              </w:rPr>
            </w:pPr>
            <w:r>
              <w:rPr>
                <w:rFonts w:ascii="Arial" w:cs="Arial" w:eastAsia="Arial" w:hAnsi="Arial"/>
                <w:sz w:val="14"/>
                <w:szCs w:val="14"/>
                <w:b w:val="1"/>
                <w:bCs w:val="1"/>
                <w:color w:val="auto"/>
              </w:rPr>
              <w:t>March 28, 2015</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net of financing fees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426,814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Real estate mortgage</w:t>
            </w:r>
          </w:p>
        </w:tc>
        <w:tc>
          <w:tcPr>
            <w:tcW w:w="340" w:type="dxa"/>
            <w:vAlign w:val="bottom"/>
          </w:tcPr>
          <w:p>
            <w:pPr>
              <w:spacing w:after="0"/>
              <w:rPr>
                <w:sz w:val="21"/>
                <w:szCs w:val="21"/>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851</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loans and other borrowings</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(43,471)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(21,522)</w:t>
            </w:r>
          </w:p>
        </w:tc>
      </w:tr>
      <w:tr>
        <w:trPr>
          <w:trHeight w:val="27"/>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364,529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406,369</w:t>
            </w: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August 1, 2012, we entered into a credit agreement ("Credit Agreement") with certain lenders (together, “Lenders”) which provided for a $475.0 million term loan and a $50.0 million revolving loan (the “Revolving Credit Facility”), and together with the Term Loan, (the “Credit Facilities”). The Credit Facilities had a term of five years and matured on August 1, 2017.</w:t>
      </w:r>
    </w:p>
    <w:p>
      <w:pPr>
        <w:spacing w:after="0" w:line="181" w:lineRule="exact"/>
        <w:rPr>
          <w:sz w:val="20"/>
          <w:szCs w:val="20"/>
          <w:color w:val="auto"/>
        </w:rPr>
      </w:pPr>
    </w:p>
    <w:p>
      <w:pPr>
        <w:ind w:right="280"/>
        <w:spacing w:after="0" w:line="232" w:lineRule="auto"/>
        <w:rPr>
          <w:sz w:val="20"/>
          <w:szCs w:val="20"/>
          <w:color w:val="auto"/>
        </w:rPr>
      </w:pPr>
      <w:r>
        <w:rPr>
          <w:rFonts w:ascii="Arial" w:cs="Arial" w:eastAsia="Arial" w:hAnsi="Arial"/>
          <w:sz w:val="18"/>
          <w:szCs w:val="18"/>
          <w:color w:val="auto"/>
        </w:rPr>
        <w:t>Under the terms of this Credit Agreement, the Company may borrow at a spread to an index, including the LIBOR index of 1-month, 3-months, 6-months, etc. From the date of the Credit Agreement, the Company has chosen to borrow against the 1-month USD-LIBOR-BBA rounded up, if necessary, to the nearest 1/16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1%. The terms of the Credit Agreement also allow the Company to borrow in multiple tranches. The Company currently borrows in four tranches.</w:t>
      </w:r>
    </w:p>
    <w:p>
      <w:pPr>
        <w:spacing w:after="0" w:line="20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Interest for the Credit Facilities was based on Adjusted LIBOR plus a range of 1.125% to 1.500% depending on the achievement of leverage ratios and customary credit terms which included financial and negative covenants. Revolving loans may be borrowed, repaid and re-borrowed to fund our working capital needs and for other general corporate purposes. The current margin of the Term Loan is 1.375% over Adjusted LIBOR and our effective interest rate inclusive of prepaid financing costs and other fees was approximately 1.9% as of April 2, 2016. The Term Loan or portions thereof may be prepaid at any time, or from time to time without penalty. Once repaid, such amount may not be re-borrowed.</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June 30, 2014, we modified our existing Credit Facilities by extending the maturity date to July 1, 2019, extending the principal repayments of the Term Loan, and modifying certain restrictive covenants to allow greater operational flexibility and enhanced near term liquidity. In addition, the amended Credit Agreement provides for a $100.0 million Revolving Credit Facility and establishes interest rates in the range of LIBOR plus 1.125% to 1.500% depending on certain conditions. At April 2, 2016, $358.1 million was outstanding under the Term Loan and $50.0 million was outstanding on the Revolving Credit Facility, both with an interest rate of 1.875%. No additional amounts were borrowed as a result of this modification. The fair value of debt approximates its current value of approximately $408.1 million as of April 2, 2016.</w:t>
      </w:r>
    </w:p>
    <w:p>
      <w:pPr>
        <w:spacing w:after="0" w:line="19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the Credit Facilities, we are required to maintain a Consolidated Total Leverage Ratio not to exceed 3.0:1.0 and a Consolidated Interest Coverage Ratio not to be less than 4.0:1.0 during periods when the Credit Facilities are outstanding. In addition, we are required to satisfy these covenants, on a pro forma basis, in connection with any new borrowings (including any letter of credit issuances) on the Revolving Credit Facility as of the time of such borrowings. The Consolidated Interest Coverage Ratio is calculated as the Consolidated EBITDA divided by Consolidated Interest Expense while the Consolidated Total Leverage Ratio is calculated as Consolidated Total Debt divided by Consolidated EBITDA. Consolidated EBITDA includes EBITDA adjusted by non-recurring and unusual transactions specifically as defined in the Credit Facilities.</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Credit Facilities also contain usual and customary non-financial affirmative and negative covenants which include certain restrictions with respect to subsequent indebtedness, liens, loans and investments (including acquisitions), financial reporting obligations, mergers, consolidations, dissolutions or liquidation, asset sales, affiliate transactions, change of our business, capital expenditures, share repurchase and other restricted payments. These covenants are subject to important exceptions and qualifications set forth in the Credit Agreement.</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Any failure to comply with the financial and operating covenants of the Credit Facilities would prevent us from being able to borrow additional funds and would constitute a default, which could result in, among other things, the amounts outstanding including all accrued interest and unpaid fees, becoming immediately due and payable. In addition, the Credit Facilities include customary events of default, in certain cases subject to customary cure periods. As of April 2, 2016, we were in compliance with the covenants. The goodwill and intangible asset impairment charges discussed in Note 5, </w:t>
      </w:r>
      <w:r>
        <w:rPr>
          <w:rFonts w:ascii="Arial" w:cs="Arial" w:eastAsia="Arial" w:hAnsi="Arial"/>
          <w:sz w:val="18"/>
          <w:szCs w:val="18"/>
          <w:i w:val="1"/>
          <w:iCs w:val="1"/>
          <w:color w:val="auto"/>
        </w:rPr>
        <w:t>Goodwill and Intangible</w:t>
      </w:r>
      <w:r>
        <w:rPr>
          <w:rFonts w:ascii="Arial" w:cs="Arial" w:eastAsia="Arial" w:hAnsi="Arial"/>
          <w:sz w:val="18"/>
          <w:szCs w:val="18"/>
          <w:color w:val="auto"/>
        </w:rPr>
        <w:t xml:space="preserve"> </w:t>
      </w:r>
      <w:r>
        <w:rPr>
          <w:rFonts w:ascii="Arial" w:cs="Arial" w:eastAsia="Arial" w:hAnsi="Arial"/>
          <w:sz w:val="18"/>
          <w:szCs w:val="18"/>
          <w:i w:val="1"/>
          <w:iCs w:val="1"/>
          <w:color w:val="auto"/>
        </w:rPr>
        <w:t>Assets,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6" w:right="2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 xml:space="preserve">and the property, plant and equipment impairment charges discussed in Note 12,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are excluded from the definition of Consolidated EBITDA in the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 fee</w:t>
      </w:r>
    </w:p>
    <w:p>
      <w:pPr>
        <w:spacing w:after="0" w:line="22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Pursuant to the Credit Agreement we are required to pay the Lenders, on the last day of each calendar quarter, a commitment fee on the unused portion of the Revolving Credit Facility. The commitment fee is subject to a pricing grid based on our Consolidated Total Leverage Ratio. The commitment fee ranges from 0.175% to 0.300%. The current commitment fee on the undrawn portion of the Revolving Credit Facility is 0.250%.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 and interest</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Expenses associated with the issuance of the Term Loan were capitalized and are amortized to interest expense over the life of the term loan using the effective interest method. As of April 2, 2016, the $408.1 million term loan balance was netted down by the $1.9 million of remaining debt discount, resulting in a net note payable of $406.2 million.</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Interest expense was $8.5 million for both the fiscal years ended April 2, 2016 and March 28, 2015, respectively. Accrued interest associated with our outstanding debt is included as a component of accrued expenses and other current liabilities in the accompanying consolidated balance sheets. As of April 2, 2016, accrued interest totaled $0.1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Credit Facilities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debt as of April 2, 2016 includes short term bank borrowings of $1.8 million under operating lines of credit.</w:t>
      </w:r>
    </w:p>
    <w:p>
      <w:pPr>
        <w:spacing w:after="0" w:line="13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December 2000, we entered into a $10.0 million real estate mortgage agreement (the “Mortgage Agreement”) with an investment firm. The Mortgage Agreement required principal and interest payments of $0.1 million per month for a period of 180 months, commencing February 1, 2001. This Mortgage Agreement was repaid in full during fiscal 2016.</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Maturity Profile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maturity profile of all gross long-term debt, exclusive of debt discounts, as of April 2, 2016 is presented below:</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Fiscal year </w:t>
            </w:r>
            <w:r>
              <w:rPr>
                <w:rFonts w:ascii="Arial" w:cs="Arial" w:eastAsia="Arial" w:hAnsi="Arial"/>
                <w:sz w:val="14"/>
                <w:szCs w:val="14"/>
                <w:i w:val="1"/>
                <w:iCs w:val="1"/>
                <w:color w:val="auto"/>
              </w:rPr>
              <w:t>(in thousands)</w:t>
            </w: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3"/>
              </w:rPr>
              <w:t>Credit Facilities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Bank loans and</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00" w:type="dxa"/>
            <w:vAlign w:val="bottom"/>
            <w:tcBorders>
              <w:bottom w:val="single" w:sz="8" w:color="auto"/>
            </w:tcBorders>
            <w:vMerge w:val="continue"/>
          </w:tcPr>
          <w:p>
            <w:pPr>
              <w:spacing w:after="0"/>
              <w:rPr>
                <w:sz w:val="16"/>
                <w:szCs w:val="16"/>
                <w:color w:val="auto"/>
              </w:rPr>
            </w:pPr>
          </w:p>
        </w:tc>
        <w:tc>
          <w:tcPr>
            <w:tcW w:w="3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other borrowings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42,683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42,837</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2018</w:t>
            </w:r>
          </w:p>
        </w:tc>
        <w:tc>
          <w:tcPr>
            <w:tcW w:w="3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45,054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45,162</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151,763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151,852</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2020</w:t>
            </w:r>
          </w:p>
        </w:tc>
        <w:tc>
          <w:tcPr>
            <w:tcW w:w="3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168,564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168,614</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0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408,064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408,465</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1430"/>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0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Domestic and foreign income before provision for income tax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March 28,</w:t>
            </w:r>
          </w:p>
        </w:tc>
        <w:tc>
          <w:tcPr>
            <w:tcW w:w="260" w:type="dxa"/>
            <w:vAlign w:val="bottom"/>
          </w:tcPr>
          <w:p>
            <w:pPr>
              <w:spacing w:after="0"/>
              <w:rPr>
                <w:sz w:val="14"/>
                <w:szCs w:val="14"/>
                <w:color w:val="auto"/>
              </w:rPr>
            </w:pPr>
          </w:p>
        </w:tc>
        <w:tc>
          <w:tcPr>
            <w:tcW w:w="1220" w:type="dxa"/>
            <w:vAlign w:val="bottom"/>
          </w:tcPr>
          <w:p>
            <w:pPr>
              <w:jc w:val="center"/>
              <w:ind w:right="194"/>
              <w:spacing w:after="0"/>
              <w:rPr>
                <w:sz w:val="20"/>
                <w:szCs w:val="20"/>
                <w:color w:val="auto"/>
              </w:rPr>
            </w:pPr>
            <w:r>
              <w:rPr>
                <w:rFonts w:ascii="Arial" w:cs="Arial" w:eastAsia="Arial" w:hAnsi="Arial"/>
                <w:sz w:val="14"/>
                <w:szCs w:val="14"/>
                <w:b w:val="1"/>
                <w:bCs w:val="1"/>
                <w:color w:val="auto"/>
                <w:w w:val="95"/>
              </w:rPr>
              <w:t>March 29,</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(34,890)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48,430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43,260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(53,416)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31,165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36,401</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w w:val="95"/>
              </w:rPr>
              <w:t>The income tax provision from continuing operations contains the following components:</w:t>
            </w: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24"/>
                <w:szCs w:val="2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March 28,</w:t>
            </w:r>
          </w:p>
        </w:tc>
        <w:tc>
          <w:tcPr>
            <w:tcW w:w="260" w:type="dxa"/>
            <w:vAlign w:val="bottom"/>
          </w:tcPr>
          <w:p>
            <w:pPr>
              <w:spacing w:after="0"/>
              <w:rPr>
                <w:sz w:val="24"/>
                <w:szCs w:val="24"/>
                <w:color w:val="auto"/>
              </w:rPr>
            </w:pPr>
          </w:p>
        </w:tc>
        <w:tc>
          <w:tcPr>
            <w:tcW w:w="1220" w:type="dxa"/>
            <w:vAlign w:val="bottom"/>
          </w:tcPr>
          <w:p>
            <w:pPr>
              <w:jc w:val="center"/>
              <w:ind w:right="194"/>
              <w:spacing w:after="0"/>
              <w:rPr>
                <w:sz w:val="20"/>
                <w:szCs w:val="20"/>
                <w:color w:val="auto"/>
              </w:rPr>
            </w:pPr>
            <w:r>
              <w:rPr>
                <w:rFonts w:ascii="Arial" w:cs="Arial" w:eastAsia="Arial" w:hAnsi="Arial"/>
                <w:sz w:val="14"/>
                <w:szCs w:val="14"/>
                <w:b w:val="1"/>
                <w:bCs w:val="1"/>
                <w:color w:val="auto"/>
                <w:w w:val="95"/>
              </w:rPr>
              <w:t>March 29,</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(4,896)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3,842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5,614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5,478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3,215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deferred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4,230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2,163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14,268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1,253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Our subsidiary in Puerto Rico has been granted a fifteen year tax grant which expires in 2027. Our qualification for the tax grant is dependent on the continuation of our manufacturing activities in Puerto Rico. We benefit from a reduced tax rate on our earnings in Puerto Rico under the tax grant.</w:t>
      </w:r>
    </w:p>
    <w:p>
      <w:pPr>
        <w:spacing w:after="0" w:line="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subsidiary in Switzerland operates as a principal company for direct federal tax purposes. Operating under this structure affords our Swiss subsidiary a reduced tax rate in Switzerland. Our Swiss subsidiary also operates under a 10 year tax holiday set to expire in 2018.</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 fiscal 2016, we recorded a $7.1 million benefit to income taxes relating to the impairment of goodwill and certain intangible assets.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6" w:right="2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Tax affected, significant temporary differences comprising the net deferred tax liability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14"/>
                <w:szCs w:val="14"/>
                <w:color w:val="auto"/>
              </w:rPr>
            </w:pPr>
          </w:p>
        </w:tc>
        <w:tc>
          <w:tcPr>
            <w:tcW w:w="1220" w:type="dxa"/>
            <w:vAlign w:val="bottom"/>
          </w:tcPr>
          <w:p>
            <w:pPr>
              <w:jc w:val="right"/>
              <w:ind w:right="352"/>
              <w:spacing w:after="0"/>
              <w:rPr>
                <w:sz w:val="20"/>
                <w:szCs w:val="20"/>
                <w:color w:val="auto"/>
              </w:rPr>
            </w:pPr>
            <w:r>
              <w:rPr>
                <w:rFonts w:ascii="Arial" w:cs="Arial" w:eastAsia="Arial" w:hAnsi="Arial"/>
                <w:sz w:val="14"/>
                <w:szCs w:val="14"/>
                <w:b w:val="1"/>
                <w:bCs w:val="1"/>
                <w:color w:val="auto"/>
              </w:rPr>
              <w:t>March 28,</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609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7,607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6,193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Hedging</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Accruals, reserves and other deferred tax assets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12,590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17,526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5,392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Stock based compensation</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9,622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10,652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credit carry-forward,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8,678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Gross deferred tax assets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66,042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49,861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valuation allowance</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(24,297)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deferred tax assets (after valuation allowance)</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41,745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33,834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(24,342)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goodwill and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Unremitted earnings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deferred tax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(56,067)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(50,710)</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deferred tax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(16,876)</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valuation allowance increased by $8.3 million during 2016, primarily as the result of current year net operating losses and tax credits generated in domestic and foreign jurisdictions in which we have concluded that our deferred tax assets are not more-likely-than-not realizable. In determining the need for a valuation allowance, we have assessed the available means of recovering deferred tax assets, including the ability to carryback net operating losses, the existence of reversing temporary differences, the availability of tax planning strategies and available sources of future taxable income. We have also considered the ability to implement certain strategies that would, if necessary, be implemented to accelerate taxable income and use expiring deferred tax assets. We believe we are able to support the deferred tax assets recognized as of the end of the year based on all of the available evidence. The worldwide net deferred tax liability as of April 2, 2016 includes deferred tax liabilities related to amortizable tax basis in goodwill, which are indefinite lived and are not considered to be a source of taxable income. As of April 2, 2016, we maintain a valuation allowance against the portion of our U.S. net deferred tax assets that are not more-likely-than-not realizable and a full valuation allowance against the net deferred tax assets of certain foreign subsidiaries.</w:t>
      </w:r>
    </w:p>
    <w:p>
      <w:pPr>
        <w:spacing w:after="0" w:line="16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At April 2, 2016, we have U.S. federal net operating loss carry-forwards of approximately $29.2 million, U.S. state net operating loss carry-forwards of $33.1 million, federal tax credit carry-forwards of $13.7 million and state tax credit carry-forwards of $3.8 million that are available to reduce future taxable income. A portion of the federal net operating losses are subject to an annual limitation due to the ownership change limitations set forth under Internal Revenue Code Sections 382. Certain of the aforementioned amounts have not been recognized because they relate to excess stock based compensation. At April 2, 2016, $4.0 million of the federal net operating loss carry-forwards, $5.3 million of the state net operating loss carry-forwards, none of the federal tax credit carry-forwards and none of the state tax credit carry-forwards relate to excess stock based compensation tax deductions for which the benefit will be recorded to additional paid-in capital when recognized. The federal and state net operating losses begin to expire in 2022 and 2019, respectively. The federal and state tax credits begin to expire in 2023 and 2025, respectively.</w:t>
      </w:r>
    </w:p>
    <w:p>
      <w:pPr>
        <w:spacing w:after="0" w:line="17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As of April 2, 2016, we have foreign net operating losses of approximately $25.2 million that are available to reduce future income, of which $12.2 million would expire in 2023 and $0.1 million would expire in 2025, with the remaining foreign net operating losses having unlimited carryforward.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6" w:right="2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April 2, 2016, we have provided $0.7 million of U.S. deferred taxes on approximately $5.4 million of unremitted earnings which are not indefinitely reinvested. Of this amount, $0.3 million affected the Company's effective tax rate in fiscal 2016. We have not provided U.S. deferred income taxes or foreign withholding taxes on unremitted earnings of foreign subsidiaries of approximately $254.1 million as such amounts are considered to be indefinitely reinvested in the business. The accumulated earnings in the foreign subsidiaries are primarily utilized to fund working capital requirements as our subsidiaries continue to expand their operations, to service existing debt obligations and to fund future foreign acquisitions. We do not believe it is practicable to estimate the amount of income taxes payable on the earnings that are indefinitely reinvested in foreign operations.</w:t>
      </w:r>
    </w:p>
    <w:p>
      <w:pPr>
        <w:spacing w:after="0" w:line="8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income tax provision from continuing operations differs from tax provision computed at the 35.0% U.S. federal statutory income tax rate due to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3"/>
          </w:tcPr>
          <w:p>
            <w:pPr>
              <w:jc w:val="center"/>
              <w:ind w:left="392"/>
              <w:spacing w:after="0"/>
              <w:rPr>
                <w:sz w:val="20"/>
                <w:szCs w:val="20"/>
                <w:color w:val="auto"/>
              </w:rPr>
            </w:pPr>
            <w:r>
              <w:rPr>
                <w:rFonts w:ascii="Arial" w:cs="Arial" w:eastAsia="Arial" w:hAnsi="Arial"/>
                <w:sz w:val="14"/>
                <w:szCs w:val="14"/>
                <w:b w:val="1"/>
                <w:bCs w:val="1"/>
                <w:color w:val="auto"/>
              </w:rPr>
              <w:t>April 2,</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3"/>
          </w:tcPr>
          <w:p>
            <w:pPr>
              <w:jc w:val="center"/>
              <w:ind w:left="312"/>
              <w:spacing w:after="0"/>
              <w:rPr>
                <w:sz w:val="20"/>
                <w:szCs w:val="20"/>
                <w:color w:val="auto"/>
              </w:rPr>
            </w:pPr>
            <w:r>
              <w:rPr>
                <w:rFonts w:ascii="Arial" w:cs="Arial" w:eastAsia="Arial" w:hAnsi="Arial"/>
                <w:sz w:val="14"/>
                <w:szCs w:val="14"/>
                <w:b w:val="1"/>
                <w:bCs w:val="1"/>
                <w:color w:val="auto"/>
                <w:w w:val="95"/>
              </w:rPr>
              <w:t>March 28,</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3"/>
          </w:tcPr>
          <w:p>
            <w:pPr>
              <w:jc w:val="center"/>
              <w:ind w:left="332"/>
              <w:spacing w:after="0"/>
              <w:rPr>
                <w:sz w:val="20"/>
                <w:szCs w:val="20"/>
                <w:color w:val="auto"/>
              </w:rPr>
            </w:pPr>
            <w:r>
              <w:rPr>
                <w:rFonts w:ascii="Arial" w:cs="Arial" w:eastAsia="Arial" w:hAnsi="Arial"/>
                <w:sz w:val="14"/>
                <w:szCs w:val="14"/>
                <w:b w:val="1"/>
                <w:bCs w:val="1"/>
                <w:color w:val="auto"/>
                <w:w w:val="99"/>
              </w:rPr>
              <w:t>March 29,</w:t>
            </w:r>
          </w:p>
        </w:tc>
        <w:tc>
          <w:tcPr>
            <w:tcW w:w="720" w:type="dxa"/>
            <w:vAlign w:val="bottom"/>
          </w:tcPr>
          <w:p>
            <w:pPr>
              <w:spacing w:after="0"/>
              <w:rPr>
                <w:sz w:val="14"/>
                <w:szCs w:val="14"/>
                <w:color w:val="auto"/>
              </w:rPr>
            </w:pPr>
          </w:p>
        </w:tc>
      </w:tr>
      <w:tr>
        <w:trPr>
          <w:trHeight w:val="192"/>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16"/>
                <w:szCs w:val="16"/>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at federal statutory rate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Difference between U.S. and foreign tax</w:t>
            </w: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10,645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Change in uncertain tax positions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loan deduction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 %</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Unremitted earnings</w:t>
            </w: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statutory rate changes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Non-deductible goodwill impairment</w:t>
            </w: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Research credits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amortization of goodwill</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5,194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8,524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6.6 %</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57"/>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Income tax provision</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2,163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14,268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45.8 %</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1,253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3.4 %</w:t>
            </w:r>
          </w:p>
        </w:tc>
      </w:tr>
      <w:tr>
        <w:trPr>
          <w:trHeight w:val="20"/>
        </w:trPr>
        <w:tc>
          <w:tcPr>
            <w:tcW w:w="4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recorded an income tax provision of $2.2 million, representing an effective tax rate of (4)%. The effective tax rate of (4)% differs from the U.S. statutory rate of 35.0% primarily as a result of the jurisdictional mix of earnings and losses generated in the U.S. and certain foreign subsidiaries that have a valuation allowance and therefore cannot be benefited. Other significant items impacting the rate include the tax provision related to the amortization of U.S. goodwill for tax purposes which gives rise to an indefinite lived deferred tax liability, a tax benefit related to deferred tax rate changes primarily associated with the decrease in the statutory rate applied to the deferred tax liability associated with goodwill for our Puerto Rico subsidiary and releases of tax reserves for uncertain tax positions. During the current year we changed our indefinite reinvestment assertion with respect to a portion of the unremitted earnings of our foreign subsidiaries. We have recorded a $0.3 million tax provision associated with the portion of unremitted foreign earnings that are not considered indefinitely reinvested.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Unrecognized tax benefits represent uncertain tax positions for which reserves have been established. As of April 2, 2016, we had $2.5 million of unrecognized tax benefits, of which $0.6 million would impact the effective tax rate, if recognized. As of March 28, 2015, we had $7.1 million of unrecognized tax benefits, of which $2.0 million would impact the effective tax rate, if recognized. At March 29, 2014, we had $5.6 million of unrecognized tax benefits, all of which would impact the effective tax rate, if recognized.</w:t>
      </w:r>
    </w:p>
    <w:p>
      <w:pPr>
        <w:spacing w:after="0" w:line="9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fiscal year ended April 2, 2016 our unrecognized tax benefits were decreased by $4.5 million primarily due to the release of certain previously established reserves as a result of accounting method changes that were filed during the year, as well as the release of other reserves as a result of the closure of tax statutes of limitations.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6" w:right="2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related to our gross unrecognized tax benefits for the fiscal years ended April 2, 2016, March 28, 2015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29, 2014: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6,930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Additions based upon positions related to the current year</w:t>
            </w: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Reductions of tax positions</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with taxing authorities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Closure of statute of limitations</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(2,316)</w:t>
            </w:r>
          </w:p>
        </w:tc>
      </w:tr>
      <w:tr>
        <w:trPr>
          <w:trHeight w:val="27"/>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Ending Balance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2,523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7,070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5,604</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April 2, 2016 we anticipate that the liability for unrecognized tax benefits for uncertain tax positions could change by up to $0.4 million in the next twelve months, as a result of closure of various statutes of limitations.</w:t>
      </w:r>
    </w:p>
    <w:p>
      <w:pPr>
        <w:spacing w:after="0" w:line="170"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Our historic practice has been and continues to be to recognize interest and penalties related to Federal, state and foreign income tax matters in income tax expense. Approximately $0.4 million and $0.7 million of gross interest and penalties were accrued at April 2, 2016 and March 28, 2015, respectively and is not included in the amounts above. There was a benefit included in tax expense associated with accrued interest and penalties of $0.3 million, $0.3 million and zero for the periods ended April 2, 2016, March 28, 2015 and March 29, 2014, respectively.</w:t>
      </w:r>
    </w:p>
    <w:p>
      <w:pPr>
        <w:spacing w:after="0" w:line="17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conduct business globally and, as a result, file consolidated and separate Federal, state and foreign income tax returns in multiple jurisdictions. In the normal course of business, we are subject to examination by taxing authorities throughout the world. With a few exceptions, we are no longer subject to U.S. federal, state, or local income tax examinations for years before 2012 and foreign income tax examinations for years before 2011.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3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lease facilities and certain equipment under operating leases expiring at various dates through fiscal 2026. Facility leases require us to pay certain insurance expenses, maintenance costs and real estate taxes.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Approximate future basic rental commitments under operating leases as of April 2, 2016 are as follows: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Fiscal Year Ending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9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3,830</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1,820</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6,143</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20,822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Rent expense in fiscal 2016, 2015, and 2014 was $6.8 million, $6.3 million and $7.7 million, respectively. Some of the Company's operating leases include renewal provisions, escalation clauses and options to purchase the facilities that we lease.</w:t>
      </w:r>
    </w:p>
    <w:p>
      <w:pPr>
        <w:spacing w:after="0" w:line="197"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We are presently engaged in various legal actions, and although our ultimate liability cannot be determined at the present time, we believe, based on consultation with counsel, that any such liability will not materially affect our consolidated financial position or our results of operations.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Italian Employment Litigation</w:t>
      </w:r>
    </w:p>
    <w:p>
      <w:pPr>
        <w:spacing w:after="0" w:line="18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Our Italian manufacturing subsidiary is party to several actions initiated by employees of the facility in Ascoli-Piceno, Italy where we have ceased manufacturing operations. These include actions claiming (i) working conditions and minimum salaries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6" w:right="239"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should have been established by either a different classification under their national collective bargaining agreement or a different agreement altogether, (ii) certain solidarity agreements, which are arrangements between the Company, employees and the government to continue full pay and benefits for employees who would otherwise be terminated in times of low demand, are void, and (iii) payment of the extra time used for changing into and out of the working clothes at the beginning and end of each shift.</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addition, a union represented in the Ascoli plant has filed an action claiming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18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Finally, we have been added as defendants on claims filed against Pall Corporation prior to our acquisition of the plant in August 2012. These claims relate to agreements to "freeze" benefit allowances for a certain period in exchange for Pall's commitments on hiring and plant investment.</w:t>
      </w:r>
    </w:p>
    <w:p>
      <w:pPr>
        <w:spacing w:after="0" w:line="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April 2, 2016, the total amount of damages claimed by the plaintiffs in these matters is approximately $4.6 million. It is not possible at this point in the proceedings to accurately evaluate the likelihood or amount of any potential losses and therefore no amounts have been accrued. We may receive other, similar claims in the future.</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CAPITAL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1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2005 Long-Term Incentive Compensation Plan (the “2005 Incentive Compensation Plan”) permits the award of non-qualified stock options, incentive stock options, stock appreciation rights, restricted stock, deferred stock/restricted stock units, other stock units and performance shares to the Company’s key employees, officers and directors. The 2005 Incentive Compensation Plan is administered by the Compensation Committee of the Board of Directors (the “Committee”) consisting of three independent members of our Board of Directors.</w:t>
      </w:r>
    </w:p>
    <w:p>
      <w:pPr>
        <w:spacing w:after="0" w:line="9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maximum number of shares available for award under the 2005 Incentive Compensation Plan is 19,824,920. The maximum number of shares that may be issued pursuant to incentive stock options may not exceed 500,000. Any shares that are subject to the award of stock options shall be counted against this limit as one (1) share for every one (1) share issued. Any shares that are subject to awards other than stock options shall be counted against this limit as 3.02 shares for every one (1) share granted. The total shares available for future grant as of April 2, 2016 was 6,037,933.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Compensation cost related to stock-based transactions is recognized in the consolidated financial statements based on fair value. The total amount of stock-based compensation expense, which is recorded on a straight line basis,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500" w:type="dxa"/>
            <w:vAlign w:val="bottom"/>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0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90"/>
              </w:rPr>
              <w:t>$5,183</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ind w:left="774"/>
              <w:spacing w:after="0"/>
              <w:rPr>
                <w:sz w:val="20"/>
                <w:szCs w:val="20"/>
                <w:color w:val="auto"/>
              </w:rPr>
            </w:pPr>
            <w:r>
              <w:rPr>
                <w:rFonts w:ascii="Arial" w:cs="Arial" w:eastAsia="Arial" w:hAnsi="Arial"/>
                <w:sz w:val="18"/>
                <w:szCs w:val="18"/>
                <w:color w:val="auto"/>
                <w:w w:val="89"/>
              </w:rPr>
              <w:t>$11,251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ind w:left="754"/>
              <w:spacing w:after="0"/>
              <w:rPr>
                <w:sz w:val="20"/>
                <w:szCs w:val="20"/>
                <w:color w:val="auto"/>
              </w:rPr>
            </w:pPr>
            <w:r>
              <w:rPr>
                <w:rFonts w:ascii="Arial" w:cs="Arial" w:eastAsia="Arial" w:hAnsi="Arial"/>
                <w:sz w:val="18"/>
                <w:szCs w:val="18"/>
                <w:color w:val="auto"/>
                <w:w w:val="92"/>
              </w:rPr>
              <w:t>$10,507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500" w:type="dxa"/>
            <w:vAlign w:val="bottom"/>
          </w:tcPr>
          <w:p>
            <w:pPr>
              <w:ind w:left="980"/>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21"/>
                <w:szCs w:val="21"/>
                <w:color w:val="auto"/>
              </w:rPr>
            </w:pPr>
          </w:p>
        </w:tc>
        <w:tc>
          <w:tcPr>
            <w:tcW w:w="1480" w:type="dxa"/>
            <w:vAlign w:val="bottom"/>
          </w:tcPr>
          <w:p>
            <w:pPr>
              <w:jc w:val="center"/>
              <w:ind w:left="774"/>
              <w:spacing w:after="0"/>
              <w:rPr>
                <w:sz w:val="20"/>
                <w:szCs w:val="20"/>
                <w:color w:val="auto"/>
              </w:rPr>
            </w:pPr>
            <w:r>
              <w:rPr>
                <w:rFonts w:ascii="Arial" w:cs="Arial" w:eastAsia="Arial" w:hAnsi="Arial"/>
                <w:sz w:val="18"/>
                <w:szCs w:val="18"/>
                <w:color w:val="auto"/>
                <w:w w:val="93"/>
              </w:rPr>
              <w:t>1,706</w:t>
            </w:r>
          </w:p>
        </w:tc>
        <w:tc>
          <w:tcPr>
            <w:tcW w:w="100" w:type="dxa"/>
            <w:vAlign w:val="bottom"/>
          </w:tcPr>
          <w:p>
            <w:pPr>
              <w:spacing w:after="0"/>
              <w:rPr>
                <w:sz w:val="21"/>
                <w:szCs w:val="21"/>
                <w:color w:val="auto"/>
              </w:rPr>
            </w:pPr>
          </w:p>
        </w:tc>
        <w:tc>
          <w:tcPr>
            <w:tcW w:w="1480" w:type="dxa"/>
            <w:vAlign w:val="bottom"/>
          </w:tcPr>
          <w:p>
            <w:pPr>
              <w:jc w:val="center"/>
              <w:ind w:left="774"/>
              <w:spacing w:after="0"/>
              <w:rPr>
                <w:sz w:val="20"/>
                <w:szCs w:val="20"/>
                <w:color w:val="auto"/>
              </w:rPr>
            </w:pPr>
            <w:r>
              <w:rPr>
                <w:rFonts w:ascii="Arial" w:cs="Arial" w:eastAsia="Arial" w:hAnsi="Arial"/>
                <w:sz w:val="18"/>
                <w:szCs w:val="18"/>
                <w:color w:val="auto"/>
                <w:w w:val="93"/>
              </w:rPr>
              <w:t>1,545</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center"/>
              <w:ind w:left="774"/>
              <w:spacing w:after="0"/>
              <w:rPr>
                <w:sz w:val="20"/>
                <w:szCs w:val="20"/>
                <w:color w:val="auto"/>
              </w:rPr>
            </w:pPr>
            <w:r>
              <w:rPr>
                <w:rFonts w:ascii="Arial" w:cs="Arial" w:eastAsia="Arial" w:hAnsi="Arial"/>
                <w:sz w:val="18"/>
                <w:szCs w:val="18"/>
                <w:color w:val="auto"/>
                <w:w w:val="93"/>
              </w:rPr>
              <w:t>1,138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center"/>
              <w:ind w:left="774"/>
              <w:spacing w:after="0"/>
              <w:rPr>
                <w:sz w:val="20"/>
                <w:szCs w:val="20"/>
                <w:color w:val="auto"/>
              </w:rPr>
            </w:pPr>
            <w:r>
              <w:rPr>
                <w:rFonts w:ascii="Arial" w:cs="Arial" w:eastAsia="Arial" w:hAnsi="Arial"/>
                <w:sz w:val="18"/>
                <w:szCs w:val="18"/>
                <w:color w:val="auto"/>
                <w:w w:val="93"/>
              </w:rPr>
              <w:t>1,030</w:t>
            </w:r>
          </w:p>
        </w:tc>
      </w:tr>
      <w:tr>
        <w:trPr>
          <w:trHeight w:val="237"/>
        </w:trPr>
        <w:tc>
          <w:tcPr>
            <w:tcW w:w="6740" w:type="dxa"/>
            <w:vAlign w:val="bottom"/>
          </w:tcPr>
          <w:p>
            <w:pPr>
              <w:spacing w:after="0"/>
              <w:rPr>
                <w:sz w:val="20"/>
                <w:szCs w:val="20"/>
                <w:color w:val="auto"/>
              </w:rPr>
            </w:pPr>
          </w:p>
        </w:tc>
        <w:tc>
          <w:tcPr>
            <w:tcW w:w="150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w w:val="90"/>
              </w:rPr>
              <w:t>$6,949</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center"/>
              <w:ind w:left="754"/>
              <w:spacing w:after="0"/>
              <w:rPr>
                <w:sz w:val="20"/>
                <w:szCs w:val="20"/>
                <w:color w:val="auto"/>
              </w:rPr>
            </w:pPr>
            <w:r>
              <w:rPr>
                <w:rFonts w:ascii="Arial" w:cs="Arial" w:eastAsia="Arial" w:hAnsi="Arial"/>
                <w:sz w:val="18"/>
                <w:szCs w:val="18"/>
                <w:color w:val="auto"/>
                <w:w w:val="92"/>
              </w:rPr>
              <w:t>$14,095</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center"/>
              <w:ind w:left="754"/>
              <w:spacing w:after="0"/>
              <w:rPr>
                <w:sz w:val="20"/>
                <w:szCs w:val="20"/>
                <w:color w:val="auto"/>
              </w:rPr>
            </w:pPr>
            <w:r>
              <w:rPr>
                <w:rFonts w:ascii="Arial" w:cs="Arial" w:eastAsia="Arial" w:hAnsi="Arial"/>
                <w:sz w:val="18"/>
                <w:szCs w:val="18"/>
                <w:color w:val="auto"/>
                <w:w w:val="92"/>
              </w:rPr>
              <w:t>$13,082</w:t>
            </w:r>
          </w:p>
        </w:tc>
      </w:tr>
      <w:tr>
        <w:trPr>
          <w:trHeight w:val="27"/>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We did not recognize an income tax benefit associated with our stock-based compensation arrangements for the fiscal year ended April 2, 2016. We recognized an income tax benefit associated with our stock-based compensation arrangements of $4.5 million and $4.3 million for the fiscal years ended March 28, 2015 and March 29, 2014, respectively. There was no excess cash tax benefit classified as a financing cash inflow in fiscal 2016 and the excess cash tax benefit classified as a financing cash inflow in fiscal 2015 and 2014 was $1.6 million and $2.4 million,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6" w:right="2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3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Options are granted to purchase ordinary shares at prices as determined by the Committee, but in no event shall such exercise price be less than the fair market value of the common stock at the time of the grant. Options generally vest in equal installments over a four year period for employees and one year from grant for non-employee directors. Options expire not more than 7 years from the date of the grant. The grant-date fair value of options, adjusted for estimated forfeitures, is recognized as expense on a straight line basis over the requisite service period, which is generally the vesting period. Forfeitures are estimated based on historical experience.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the fiscal year ended April 2, 2016 is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00" w:type="dxa"/>
            <w:vAlign w:val="bottom"/>
          </w:tcPr>
          <w:p>
            <w:pPr>
              <w:jc w:val="center"/>
              <w:ind w:right="1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(years)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1"/>
              </w:rPr>
              <w:t>($000’s)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28, 2015</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3,761,666</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33.90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37,067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409,047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(491,546)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28.55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(727,984)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37.98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April 2, 2016</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2,951,183</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33.59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9,684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April 2, 2016</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2,288,166</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33.22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8,428</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 or expected to vest at April 2, 2016</w:t>
            </w: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2,847,285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33.56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9,432</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$4.5 million, $5.6 million, and $11.7 million during fiscal 2016, 2015, and 2014, respectively.</w:t>
      </w:r>
    </w:p>
    <w:p>
      <w:pPr>
        <w:spacing w:after="0" w:line="13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As of April 2, 2016, there was $4.5 million of total unrecognized compensation cost related to non-vested stock options. This cost is expected to be recognized over a weighted average period of 2.83 years.</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fair value was estimated using the Black-Scholes option-pricing model based on the weighted average of the high and low stock prices at the grant date and the weighted average assumptions specific to the underlying options. Expected volatility assumptions are based on the historical volatility of our common stock over the expected term of the option. The risk-free interest rate was selected based upon yields of U.S. Treasury issues with a term equal to the expected life of the option being valued. The expected life of the option was estimated with reference to historical exercise patterns, the contractual term of the option and the vesting period.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utilized for option grants during the periods presented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020" w:type="dxa"/>
            <w:vAlign w:val="bottom"/>
          </w:tcPr>
          <w:p>
            <w:pPr>
              <w:jc w:val="center"/>
              <w:ind w:left="422"/>
              <w:spacing w:after="0"/>
              <w:rPr>
                <w:sz w:val="20"/>
                <w:szCs w:val="20"/>
                <w:color w:val="auto"/>
              </w:rPr>
            </w:pPr>
            <w:r>
              <w:rPr>
                <w:rFonts w:ascii="Arial" w:cs="Arial" w:eastAsia="Arial" w:hAnsi="Arial"/>
                <w:sz w:val="14"/>
                <w:szCs w:val="14"/>
                <w:b w:val="1"/>
                <w:bCs w:val="1"/>
                <w:color w:val="auto"/>
              </w:rPr>
              <w:t>April 2,</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w:t>
            </w:r>
          </w:p>
        </w:tc>
        <w:tc>
          <w:tcPr>
            <w:tcW w:w="280" w:type="dxa"/>
            <w:vAlign w:val="bottom"/>
          </w:tcPr>
          <w:p>
            <w:pPr>
              <w:spacing w:after="0"/>
              <w:rPr>
                <w:sz w:val="14"/>
                <w:szCs w:val="14"/>
                <w:color w:val="auto"/>
              </w:rPr>
            </w:pPr>
          </w:p>
        </w:tc>
        <w:tc>
          <w:tcPr>
            <w:tcW w:w="1260" w:type="dxa"/>
            <w:vAlign w:val="bottom"/>
          </w:tcPr>
          <w:p>
            <w:pPr>
              <w:jc w:val="right"/>
              <w:ind w:right="395"/>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65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2014</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1020" w:type="dxa"/>
            <w:vAlign w:val="bottom"/>
          </w:tcPr>
          <w:p>
            <w:pPr>
              <w:spacing w:after="0"/>
              <w:rPr>
                <w:sz w:val="21"/>
                <w:szCs w:val="21"/>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5"/>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95"/>
              <w:spacing w:after="0"/>
              <w:rPr>
                <w:sz w:val="20"/>
                <w:szCs w:val="20"/>
                <w:color w:val="auto"/>
              </w:rPr>
            </w:pPr>
            <w:r>
              <w:rPr>
                <w:rFonts w:ascii="Arial" w:cs="Arial" w:eastAsia="Arial" w:hAnsi="Arial"/>
                <w:sz w:val="18"/>
                <w:szCs w:val="18"/>
                <w:color w:val="auto"/>
              </w:rPr>
              <w:t>4.9</w:t>
            </w:r>
          </w:p>
        </w:tc>
      </w:tr>
      <w:tr>
        <w:trPr>
          <w:trHeight w:val="27"/>
        </w:trPr>
        <w:tc>
          <w:tcPr>
            <w:tcW w:w="6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0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7"/>
        </w:trPr>
        <w:tc>
          <w:tcPr>
            <w:tcW w:w="6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per option</w:t>
            </w:r>
          </w:p>
        </w:tc>
        <w:tc>
          <w:tcPr>
            <w:tcW w:w="102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1"/>
              </w:rPr>
              <w:t>7.40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10.15</w:t>
            </w:r>
          </w:p>
        </w:tc>
      </w:tr>
      <w:tr>
        <w:trPr>
          <w:trHeight w:val="27"/>
        </w:trPr>
        <w:tc>
          <w:tcPr>
            <w:tcW w:w="65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Restricted Stock Units ("RSUs") generally vest in equal installments over a four year period for employees and one year from grant for non-employee directors. The grant-date fair value of RSUs, adjusted for estimated forfeitures, is recognized as expense on a straight-line basis over the requisite service period, which is generally the vesting period. The fair market value of RSUs is determined based on the market value of the Company’s shares on the date of grant.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6" w:right="2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 activity for the fiscal year ended April 2, 2016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460" w:type="dxa"/>
            <w:vAlign w:val="bottom"/>
          </w:tcPr>
          <w:p>
            <w:pPr>
              <w:spacing w:after="0"/>
              <w:rPr>
                <w:sz w:val="12"/>
                <w:szCs w:val="12"/>
                <w:color w:val="auto"/>
              </w:rPr>
            </w:pPr>
          </w:p>
        </w:tc>
        <w:tc>
          <w:tcPr>
            <w:tcW w:w="11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84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March 28, 2015</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357,547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278,260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160" w:type="dxa"/>
            <w:vAlign w:val="bottom"/>
          </w:tcPr>
          <w:p>
            <w:pPr>
              <w:jc w:val="right"/>
              <w:spacing w:after="0"/>
              <w:rPr>
                <w:sz w:val="20"/>
                <w:szCs w:val="20"/>
                <w:color w:val="auto"/>
              </w:rPr>
            </w:pPr>
            <w:r>
              <w:rPr>
                <w:rFonts w:ascii="Arial" w:cs="Arial" w:eastAsia="Arial" w:hAnsi="Arial"/>
                <w:sz w:val="18"/>
                <w:szCs w:val="18"/>
                <w:color w:val="auto"/>
              </w:rPr>
              <w:t>(142,603)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April 2, 2016</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380,871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34.33</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grant-date fair value of RSUs granted and total fair value of RSUs vested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April 2,</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4"/>
                <w:szCs w:val="14"/>
                <w:color w:val="auto"/>
              </w:rPr>
            </w:pPr>
          </w:p>
        </w:tc>
        <w:tc>
          <w:tcPr>
            <w:tcW w:w="1220" w:type="dxa"/>
            <w:vAlign w:val="bottom"/>
          </w:tcPr>
          <w:p>
            <w:pPr>
              <w:jc w:val="right"/>
              <w:ind w:right="359"/>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Grant-date fair value per RSU</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34.89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42.24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Fair value of RSUs vested</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36.07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36.62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32.70</w:t>
            </w:r>
          </w:p>
        </w:tc>
      </w:tr>
    </w:tbl>
    <w:p>
      <w:pPr>
        <w:spacing w:after="0" w:line="24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April 2, 2016, there was $9.5 million of total unrecognized compensation cost related to non-vested restricted stock units. This cost is expected to be recognized over a weighted average period of 2.46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3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grant date fair value of Performance Stock Units ("PSUs"), adjusted for estimated forfeitures, is recognized as expense on a straight line basis from the grant date through the end of the performance period. The value of these PSUs is based on relative shareholder return (total shareholder return for the Company as compared to total shareholder return of the PSU peer group), measured over a three year performance period. The PSU peer group consists of companies comprising the Standard &amp; Poor's Health Care Equipment Index (the "Index"). Depending on the Company's relative performance during the performance period, a recipient of the award is entitled to receive a number of ordinary shares equal to a percentage, ranging from 0% to 200%, of the award granted. As a result, we may issue up to 204,672 shares related to these awards. If the Company’s total shareholder return for the performance period is negative, then any share payout will be capped at 100% of the target award, regardless of the Company's performance relative to the Index.</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 summary of PSU activity for the fiscal year ended April 2, 2016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460" w:type="dxa"/>
            <w:vAlign w:val="bottom"/>
          </w:tcPr>
          <w:p>
            <w:pPr>
              <w:spacing w:after="0"/>
              <w:rPr>
                <w:sz w:val="12"/>
                <w:szCs w:val="12"/>
                <w:color w:val="auto"/>
              </w:rPr>
            </w:pPr>
          </w:p>
        </w:tc>
        <w:tc>
          <w:tcPr>
            <w:tcW w:w="11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84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March 28, 2015</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129,130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80,145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160" w:type="dxa"/>
            <w:vAlign w:val="bottom"/>
          </w:tcPr>
          <w:p>
            <w:pPr>
              <w:jc w:val="right"/>
              <w:spacing w:after="0"/>
              <w:rPr>
                <w:sz w:val="20"/>
                <w:szCs w:val="20"/>
                <w:color w:val="auto"/>
              </w:rPr>
            </w:pPr>
            <w:r>
              <w:rPr>
                <w:rFonts w:ascii="Arial" w:cs="Arial" w:eastAsia="Arial" w:hAnsi="Arial"/>
                <w:sz w:val="18"/>
                <w:szCs w:val="18"/>
                <w:color w:val="auto"/>
              </w:rPr>
              <w:t>(106,939)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34.22</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April 2, 2016</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102,336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31.38</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uses the Monte Carlo model to estimate the probability of satisfying the performance criteria and the resulting fair value of PSU awards. The assumptions used in the Monte Carlo model for PSUs granted during each year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640" w:type="dxa"/>
            <w:vAlign w:val="bottom"/>
            <w:gridSpan w:val="2"/>
          </w:tcPr>
          <w:p>
            <w:pPr>
              <w:ind w:left="520"/>
              <w:spacing w:after="0"/>
              <w:rPr>
                <w:sz w:val="20"/>
                <w:szCs w:val="20"/>
                <w:color w:val="auto"/>
              </w:rPr>
            </w:pPr>
            <w:r>
              <w:rPr>
                <w:rFonts w:ascii="Arial" w:cs="Arial" w:eastAsia="Arial" w:hAnsi="Arial"/>
                <w:sz w:val="14"/>
                <w:szCs w:val="14"/>
                <w:b w:val="1"/>
                <w:bCs w:val="1"/>
                <w:color w:val="auto"/>
              </w:rPr>
              <w:t>April 2,</w:t>
            </w:r>
          </w:p>
        </w:tc>
        <w:tc>
          <w:tcPr>
            <w:tcW w:w="1560" w:type="dxa"/>
            <w:vAlign w:val="bottom"/>
          </w:tcPr>
          <w:p>
            <w:pPr>
              <w:jc w:val="right"/>
              <w:ind w:right="397"/>
              <w:spacing w:after="0"/>
              <w:rPr>
                <w:sz w:val="20"/>
                <w:szCs w:val="20"/>
                <w:color w:val="auto"/>
              </w:rPr>
            </w:pPr>
            <w:r>
              <w:rPr>
                <w:rFonts w:ascii="Arial" w:cs="Arial" w:eastAsia="Arial" w:hAnsi="Arial"/>
                <w:sz w:val="14"/>
                <w:szCs w:val="14"/>
                <w:b w:val="1"/>
                <w:bCs w:val="1"/>
                <w:color w:val="auto"/>
              </w:rPr>
              <w:t>March 28,</w:t>
            </w:r>
          </w:p>
        </w:tc>
      </w:tr>
      <w:tr>
        <w:trPr>
          <w:trHeight w:val="192"/>
        </w:trPr>
        <w:tc>
          <w:tcPr>
            <w:tcW w:w="82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2015</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Peer group stock price volatility</w:t>
            </w:r>
          </w:p>
        </w:tc>
        <w:tc>
          <w:tcPr>
            <w:tcW w:w="1540" w:type="dxa"/>
            <w:vAlign w:val="bottom"/>
          </w:tcPr>
          <w:p>
            <w:pPr>
              <w:jc w:val="right"/>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31.52%</w:t>
            </w:r>
          </w:p>
        </w:tc>
      </w:tr>
      <w:tr>
        <w:trPr>
          <w:trHeight w:val="27"/>
        </w:trPr>
        <w:tc>
          <w:tcPr>
            <w:tcW w:w="8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Correlation of returns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r>
      <w:tr>
        <w:trPr>
          <w:trHeight w:val="27"/>
        </w:trPr>
        <w:tc>
          <w:tcPr>
            <w:tcW w:w="8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grant-date fair value of PSUs granted was $29.20 and $35.09 in fiscal 2016 and 2015, respectively.</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6" w:right="2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April 2, 2016, there was $2.7 million of total unrecognized compensation cost related to non-vested performance share units. This cost is expected to be recognized over a weighted average period of 2.21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Stock Units</w:t>
      </w:r>
    </w:p>
    <w:p>
      <w:pPr>
        <w:spacing w:after="0" w:line="13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grant date fair value of Market Stock Units ("MSUs"), adjusted for estimated forfeitures, is recognized as expense on a straight line basis from the grant date through the end of the performance period. The value of these MSUs is based the performance of Haemonetics’ stock through March 31, 2017. If Haemonetics' stock is below a minimum threshold price of $50 per share during the relevant measurement period, the holders receive no market share units. If the stock achieves certain price levels, the holders are eligible to receive up to three times the “target” amount of market share units. As a result, we may issue up to 458,904 shares at a stock price of $85 per share or higher in connection with these grants.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A summary of MSU activity for the fiscal year ended April 2, 2016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460" w:type="dxa"/>
            <w:vAlign w:val="bottom"/>
          </w:tcPr>
          <w:p>
            <w:pPr>
              <w:spacing w:after="0"/>
              <w:rPr>
                <w:sz w:val="12"/>
                <w:szCs w:val="12"/>
                <w:color w:val="auto"/>
              </w:rPr>
            </w:pPr>
          </w:p>
        </w:tc>
        <w:tc>
          <w:tcPr>
            <w:tcW w:w="11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84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March 28, 2015</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287,682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33,550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160" w:type="dxa"/>
            <w:vAlign w:val="bottom"/>
          </w:tcPr>
          <w:p>
            <w:pPr>
              <w:jc w:val="right"/>
              <w:spacing w:after="0"/>
              <w:rPr>
                <w:sz w:val="20"/>
                <w:szCs w:val="20"/>
                <w:color w:val="auto"/>
              </w:rPr>
            </w:pPr>
            <w:r>
              <w:rPr>
                <w:rFonts w:ascii="Arial" w:cs="Arial" w:eastAsia="Arial" w:hAnsi="Arial"/>
                <w:sz w:val="18"/>
                <w:szCs w:val="18"/>
                <w:color w:val="auto"/>
              </w:rPr>
              <w:t>(168,264)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April 2, 2016</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152,968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24.84</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uses the Monte Carlo model to determine the fair value of each market stock unit. The assumptions used in the Monte Carlo model for MSUs granted during each year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020" w:type="dxa"/>
            <w:vAlign w:val="bottom"/>
          </w:tcPr>
          <w:p>
            <w:pPr>
              <w:jc w:val="center"/>
              <w:ind w:left="428"/>
              <w:spacing w:after="0"/>
              <w:rPr>
                <w:sz w:val="20"/>
                <w:szCs w:val="20"/>
                <w:color w:val="auto"/>
              </w:rPr>
            </w:pPr>
            <w:r>
              <w:rPr>
                <w:rFonts w:ascii="Arial" w:cs="Arial" w:eastAsia="Arial" w:hAnsi="Arial"/>
                <w:sz w:val="14"/>
                <w:szCs w:val="14"/>
                <w:b w:val="1"/>
                <w:bCs w:val="1"/>
                <w:color w:val="auto"/>
              </w:rPr>
              <w:t>April 2,</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ind w:left="440"/>
              <w:spacing w:after="0"/>
              <w:rPr>
                <w:sz w:val="20"/>
                <w:szCs w:val="20"/>
                <w:color w:val="auto"/>
              </w:rPr>
            </w:pPr>
            <w:r>
              <w:rPr>
                <w:rFonts w:ascii="Arial" w:cs="Arial" w:eastAsia="Arial" w:hAnsi="Arial"/>
                <w:sz w:val="14"/>
                <w:szCs w:val="14"/>
                <w:b w:val="1"/>
                <w:bCs w:val="1"/>
                <w:color w:val="auto"/>
              </w:rPr>
              <w:t>March 28,</w:t>
            </w:r>
          </w:p>
        </w:tc>
        <w:tc>
          <w:tcPr>
            <w:tcW w:w="1540" w:type="dxa"/>
            <w:vAlign w:val="bottom"/>
          </w:tcPr>
          <w:p>
            <w:pPr>
              <w:jc w:val="right"/>
              <w:ind w:right="396"/>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65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2014</w:t>
            </w: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Expected life (years)</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540" w:type="dxa"/>
            <w:vAlign w:val="bottom"/>
          </w:tcPr>
          <w:p>
            <w:pPr>
              <w:jc w:val="right"/>
              <w:ind w:right="116"/>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3.7</w:t>
            </w:r>
          </w:p>
        </w:tc>
      </w:tr>
      <w:tr>
        <w:trPr>
          <w:trHeight w:val="27"/>
        </w:trPr>
        <w:tc>
          <w:tcPr>
            <w:tcW w:w="6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Dividend yield</w:t>
            </w:r>
          </w:p>
        </w:tc>
        <w:tc>
          <w:tcPr>
            <w:tcW w:w="52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grant-date fair value of MSUs granted was $10.21, $7.44 and $36.36 in fiscal 2016, 2015 and 2014, respectively.</w:t>
      </w:r>
    </w:p>
    <w:p>
      <w:pPr>
        <w:spacing w:after="0" w:line="13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April 2, 2016, there was $1.8 million of total unrecognized compensation cost related to non-vested market stock units. This cost is expected to be recognized over a weighted average period of 1.0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3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has an Employee Stock Purchase Plan (the “Purchase Plan”) under which a maximum of 1,400,000 shares (subject to adjustment for stock splits and similar changes) of common stock may be purchased by eligible employees. Substantially all of our full-time employees are eligible to participate in the Purchase Plan.</w:t>
      </w:r>
    </w:p>
    <w:p>
      <w:pPr>
        <w:spacing w:after="0" w:line="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Purchase Plan provides for two “purchase periods” within each of our fiscal years, the first commencing on November 1 of each year and continuing through April 30 of the next calendar year, and the second commencing on May 1 of each year and continuing through October 31 of such year. Shares are purchased through an accumulation of payroll deductions (of not less than 2% or more than 15% of compensation, as defined) for the number of whole shares determined by dividing the balance in the employee’s account on the last day of the purchase period by the purchase price per share for the stock determined under the Purchase Plan. The purchase price for shares is the lower of 85% of the fair market value of the common stock at the beginning of the purchase period, or 85% of such value at the end of the purchase period.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6" w:right="2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fair values of shares purchased under the Employee Stock Purchase Plan are estimated using the Black-Scholes single option-pricing model with the following weighted average assumptions: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020" w:type="dxa"/>
            <w:vAlign w:val="bottom"/>
          </w:tcPr>
          <w:p>
            <w:pPr>
              <w:jc w:val="center"/>
              <w:ind w:left="428"/>
              <w:spacing w:after="0"/>
              <w:rPr>
                <w:sz w:val="20"/>
                <w:szCs w:val="20"/>
                <w:color w:val="auto"/>
              </w:rPr>
            </w:pPr>
            <w:r>
              <w:rPr>
                <w:rFonts w:ascii="Arial" w:cs="Arial" w:eastAsia="Arial" w:hAnsi="Arial"/>
                <w:sz w:val="14"/>
                <w:szCs w:val="14"/>
                <w:b w:val="1"/>
                <w:bCs w:val="1"/>
                <w:color w:val="auto"/>
              </w:rPr>
              <w:t>April 2,</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ind w:left="440"/>
              <w:spacing w:after="0"/>
              <w:rPr>
                <w:sz w:val="20"/>
                <w:szCs w:val="20"/>
                <w:color w:val="auto"/>
              </w:rPr>
            </w:pPr>
            <w:r>
              <w:rPr>
                <w:rFonts w:ascii="Arial" w:cs="Arial" w:eastAsia="Arial" w:hAnsi="Arial"/>
                <w:sz w:val="14"/>
                <w:szCs w:val="14"/>
                <w:b w:val="1"/>
                <w:bCs w:val="1"/>
                <w:color w:val="auto"/>
              </w:rPr>
              <w:t>March 28,</w:t>
            </w:r>
          </w:p>
        </w:tc>
        <w:tc>
          <w:tcPr>
            <w:tcW w:w="1540" w:type="dxa"/>
            <w:vAlign w:val="bottom"/>
          </w:tcPr>
          <w:p>
            <w:pPr>
              <w:jc w:val="right"/>
              <w:ind w:right="396"/>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65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2014</w:t>
            </w: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Expected life (months)</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540" w:type="dxa"/>
            <w:vAlign w:val="bottom"/>
          </w:tcPr>
          <w:p>
            <w:pPr>
              <w:jc w:val="right"/>
              <w:ind w:right="11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6</w:t>
            </w:r>
          </w:p>
        </w:tc>
      </w:tr>
      <w:tr>
        <w:trPr>
          <w:trHeight w:val="27"/>
        </w:trPr>
        <w:tc>
          <w:tcPr>
            <w:tcW w:w="6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Dividend Yield</w:t>
            </w:r>
          </w:p>
        </w:tc>
        <w:tc>
          <w:tcPr>
            <w:tcW w:w="52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13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weighted average grant date fair value of the six-month option inherent in the Purchase Plan was approximately $7.80, $7.09, and $8.25 during fiscal 2016, 2015, and 2014, respectively.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 (“EPS”)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per share amounts)</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(55,579)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16,897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35,148</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50,910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51,533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51,611</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Basic (loss) income per share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0.33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0.68</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(55,579)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16,897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35,148</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50,910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51,533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51,611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effect of common stock equivalents</w:t>
            </w: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766</w:t>
            </w:r>
          </w:p>
        </w:tc>
      </w:tr>
      <w:tr>
        <w:trPr>
          <w:trHeight w:val="27"/>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50,910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52,089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52,377</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Diluted (loss) income per share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0.32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0.67</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Basic earnings per share is calculated using our weighted-average outstanding common shares. Diluted earnings per share is calculated using our weighted-average outstanding common shares including the dilutive effect of stock awards as determined under the treasury stock method. For fiscal 2016, we recognized a net loss; therefore we excluded the impact of outstanding stock awards from the diluted loss per share calculation as their inclusion would have an anti-dilutive effect. Weighted average shares outstanding, assuming dilution, excludes the impact of 1.6 million and 1.1 million stock options and restricted share units for fiscal years 2015 and 2014, respectively, because these securities were anti-dilutive during the noted periods.</w:t>
      </w:r>
    </w:p>
    <w:p>
      <w:pPr>
        <w:spacing w:after="0" w:line="208" w:lineRule="exact"/>
        <w:rPr>
          <w:sz w:val="20"/>
          <w:szCs w:val="20"/>
          <w:color w:val="auto"/>
        </w:rPr>
      </w:pPr>
    </w:p>
    <w:p>
      <w:pPr>
        <w:ind w:right="7720" w:firstLine="8"/>
        <w:spacing w:after="0" w:line="453" w:lineRule="auto"/>
        <w:tabs>
          <w:tab w:leader="none" w:pos="27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Property and equipment consisted of the following:</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April 2, 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March 28, 2015</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9,468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Building and building improvements</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117,132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118,384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Plant equipment and machinery</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238,549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220,793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Office equipment and information technology</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127,019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118,810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Haemonetics equipment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295,853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264,307</w:t>
            </w:r>
          </w:p>
        </w:tc>
      </w:tr>
      <w:tr>
        <w:trPr>
          <w:trHeight w:val="237"/>
        </w:trPr>
        <w:tc>
          <w:tcPr>
            <w:tcW w:w="836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786,458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731,762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(448,824)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(409,814)</w:t>
            </w: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337,634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321,948</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6" w:right="239" w:bottom="1440" w:gutter="0" w:footer="0" w:header="0"/>
          <w:type w:val="continuous"/>
        </w:sectPr>
      </w:pPr>
    </w:p>
    <w:bookmarkStart w:id="83" w:name="page84"/>
    <w:bookmarkEnd w:id="8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During fiscal 2016, we impaired $9.1 million of property, plant and equipment as a result of our global strategic review, of which $6.9 million was included within impairment of assets on the consolidated statements of (loss) income and the remaining $2.2 million was included within cost of goods sold. Approximately $3.0 million of the property, plant and equipment impairment was the result of the write down to fair value of certain land, buildings and related equipment in connection with its reclassification to assets held for sale, as discussed below. We determined the fair value of these assets using a probability weighted average cash flow method. This impairment impacted our EMEA segment, while the remaining $6.1 million related to our All Other segment.</w:t>
      </w:r>
    </w:p>
    <w:p>
      <w:pPr>
        <w:spacing w:after="0" w:line="9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Depreciation expense of $56.8 million in fiscal 2016, includes $0.8 million of additional depreciation expense due to asset impairments during the period related to assets that were previously place in service. Depreciation expense was $52.6 million for both fiscal 2015 and 2014.</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13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periodically review long-lived assets against our plan to retain or ultimately dispose of properties and equipment. If we decide to dispose of a property or equipment, it will be moved to assets held for sale and actively marketed. We analyze market conditions each reporting period and record additional impairments due to declines in market values of like assets. The fair value of the property is determined by observable inputs such as appraisals and prices of comparable properties in active markets for assets like ours. Gains are not recognized until the properties are sold.</w:t>
      </w:r>
    </w:p>
    <w:p>
      <w:pPr>
        <w:spacing w:after="0" w:line="7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Assets held for sale includes land, buildings and related equipment for properties we plan to dispose of. The assets are valued at the lower of net depreciable value or net realizable value. At April 2, 2016, we have one property and related equipment totaling $1.7 million that we have reclassified to assets held for sale. This amount is included within other current assets on our consolidated balance sheet.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RETIREMENT PLANS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 Savings Plus Plan (the "Plan") that is a 401(k) plan that allows our U.S. employees to accumulate savings on a pre-tax basis. In addition, matching contributions are made to the Plan based upon pre-established rates. Our matching contributions amounted to approximately $5.4 million, $5.8 million, and $6.2 million in fiscal 2016, 2015, and 2014, respectively. Upon Board approval, additional discretionary contributions can also be made. No discretionary contributions were made for the Plan in fiscal 2016, 2015, or 2014.</w:t>
      </w:r>
    </w:p>
    <w:p>
      <w:pPr>
        <w:spacing w:after="0" w:line="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Some of our subsidiaries also have defined contribution plans, to which both the employee and the employer make contributions. The employer contributions to these plans totaled $0.8 million, $1.0 million, and $0.8 million in fiscal 2016, 2015, and 2014,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ASC Topic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 retirement plan in the year in which the changes occur. Accordingly, the Company is required to report changes in its funded status in comprehensive (loss) income on its Statement of Stockholders’ Equity and Comprehensive (Loss) Income.</w:t>
      </w:r>
    </w:p>
    <w:p>
      <w:pPr>
        <w:spacing w:after="0" w:line="9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Benefits under these plans are generally based on either career average or final average salaries and creditable years of service as defined in the plans. The annual cost for these plans is determined using the projected unit credit actuarial cost method that includes actuarial assumptions and estimates which are subject to change.</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126" w:right="29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Some of the our foreign subsidiaries have defined benefit pension plans covering substantially all full time employees at those subsidiaries. Net periodic benefit costs for the plans in the aggregate include the following components: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Interest cost on benefit obligation</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
        </w:trPr>
        <w:tc>
          <w:tcPr>
            <w:tcW w:w="67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(return)/loss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Actuarial loss/(gain)</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598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67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unrecognized prior service cost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Amortization of unrecognized transition obligation</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4,203</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3,339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3,856</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The activity under those defined benefit plans are as follows:</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24"/>
                <w:szCs w:val="24"/>
                <w:color w:val="auto"/>
              </w:rPr>
            </w:pPr>
          </w:p>
        </w:tc>
        <w:tc>
          <w:tcPr>
            <w:tcW w:w="1220" w:type="dxa"/>
            <w:vAlign w:val="bottom"/>
          </w:tcPr>
          <w:p>
            <w:pPr>
              <w:jc w:val="right"/>
              <w:ind w:right="352"/>
              <w:spacing w:after="0"/>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Benefit Obligation: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6600" w:type="dxa"/>
            <w:vAlign w:val="bottom"/>
          </w:tcPr>
          <w:p>
            <w:pPr>
              <w:ind w:left="40"/>
              <w:spacing w:after="0"/>
              <w:rPr>
                <w:sz w:val="20"/>
                <w:szCs w:val="20"/>
                <w:color w:val="auto"/>
              </w:rPr>
            </w:pPr>
            <w:r>
              <w:rPr>
                <w:rFonts w:ascii="Arial" w:cs="Arial" w:eastAsia="Arial" w:hAnsi="Arial"/>
                <w:sz w:val="18"/>
                <w:szCs w:val="18"/>
                <w:color w:val="auto"/>
              </w:rPr>
              <w:t>Benefit Obligation, beginning of year</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(40,567)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(32,621)</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66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4,902</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6600" w:type="dxa"/>
            <w:vAlign w:val="bottom"/>
          </w:tcPr>
          <w:p>
            <w:pPr>
              <w:ind w:left="40"/>
              <w:spacing w:after="0"/>
              <w:rPr>
                <w:sz w:val="20"/>
                <w:szCs w:val="20"/>
                <w:color w:val="auto"/>
              </w:rPr>
            </w:pPr>
            <w:r>
              <w:rPr>
                <w:rFonts w:ascii="Arial" w:cs="Arial" w:eastAsia="Arial" w:hAnsi="Arial"/>
                <w:sz w:val="18"/>
                <w:szCs w:val="18"/>
                <w:color w:val="auto"/>
              </w:rPr>
              <w:t>Actuarial (loss)/gain</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(6,883)</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and plan participants contribution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6600" w:type="dxa"/>
            <w:vAlign w:val="bottom"/>
          </w:tcPr>
          <w:p>
            <w:pPr>
              <w:ind w:left="40"/>
              <w:spacing w:after="0"/>
              <w:rPr>
                <w:sz w:val="20"/>
                <w:szCs w:val="20"/>
                <w:color w:val="auto"/>
              </w:rPr>
            </w:pPr>
            <w:r>
              <w:rPr>
                <w:rFonts w:ascii="Arial" w:cs="Arial" w:eastAsia="Arial" w:hAnsi="Arial"/>
                <w:sz w:val="18"/>
                <w:szCs w:val="18"/>
                <w:color w:val="auto"/>
              </w:rPr>
              <w:t>Plan Amendments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Borders>
              <w:bottom w:val="single" w:sz="8" w:color="CCEEFF"/>
            </w:tcBorders>
            <w:shd w:val="clear" w:color="auto" w:fill="CCEEFF"/>
          </w:tcPr>
          <w:p>
            <w:pPr>
              <w:spacing w:after="0"/>
              <w:rPr>
                <w:sz w:val="23"/>
                <w:szCs w:val="23"/>
                <w:color w:val="auto"/>
              </w:rPr>
            </w:pPr>
          </w:p>
        </w:tc>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changes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Benefit obligation, end of year</w:t>
            </w:r>
          </w:p>
        </w:tc>
        <w:tc>
          <w:tcPr>
            <w:tcW w:w="38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(37,919)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(40,567)</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Plan Assets: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6600" w:type="dxa"/>
            <w:vAlign w:val="bottom"/>
          </w:tcPr>
          <w:p>
            <w:pPr>
              <w:ind w:left="40"/>
              <w:spacing w:after="0"/>
              <w:rPr>
                <w:sz w:val="20"/>
                <w:szCs w:val="20"/>
                <w:color w:val="auto"/>
              </w:rPr>
            </w:pPr>
            <w:r>
              <w:rPr>
                <w:rFonts w:ascii="Arial" w:cs="Arial" w:eastAsia="Arial" w:hAnsi="Arial"/>
                <w:sz w:val="18"/>
                <w:szCs w:val="18"/>
                <w:color w:val="auto"/>
              </w:rPr>
              <w:t>Fair value of plan assets, beginning of year</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23,165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19,981</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contributions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660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(4,621)</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Gain/(Loss)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6600" w:type="dxa"/>
            <w:vAlign w:val="bottom"/>
          </w:tcPr>
          <w:p>
            <w:pPr>
              <w:ind w:left="40"/>
              <w:spacing w:after="0"/>
              <w:rPr>
                <w:sz w:val="20"/>
                <w:szCs w:val="20"/>
                <w:color w:val="auto"/>
              </w:rPr>
            </w:pPr>
            <w:r>
              <w:rPr>
                <w:rFonts w:ascii="Arial" w:cs="Arial" w:eastAsia="Arial" w:hAnsi="Arial"/>
                <w:sz w:val="18"/>
                <w:szCs w:val="18"/>
                <w:color w:val="auto"/>
              </w:rPr>
              <w:t>Employee and plan participants contributions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Borders>
              <w:bottom w:val="single" w:sz="8" w:color="CCEEFF"/>
            </w:tcBorders>
            <w:shd w:val="clear" w:color="auto" w:fill="CCEEFF"/>
          </w:tcPr>
          <w:p>
            <w:pPr>
              <w:spacing w:after="0"/>
              <w:rPr>
                <w:sz w:val="23"/>
                <w:szCs w:val="23"/>
                <w:color w:val="auto"/>
              </w:rPr>
            </w:pPr>
          </w:p>
        </w:tc>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changes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Fair value of Plan Assets, end of year</w:t>
            </w:r>
          </w:p>
        </w:tc>
        <w:tc>
          <w:tcPr>
            <w:tcW w:w="38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19,852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23,165</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Funded Status*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(17,402)</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Unrecognized net actuarial loss/(gain)</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10,168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11,096</w:t>
            </w:r>
          </w:p>
        </w:tc>
        <w:tc>
          <w:tcPr>
            <w:tcW w:w="0" w:type="dxa"/>
            <w:vAlign w:val="bottom"/>
          </w:tcPr>
          <w:p>
            <w:pPr>
              <w:spacing w:after="0"/>
              <w:rPr>
                <w:sz w:val="1"/>
                <w:szCs w:val="1"/>
                <w:color w:val="auto"/>
              </w:rPr>
            </w:pPr>
          </w:p>
        </w:tc>
      </w:tr>
      <w:tr>
        <w:trPr>
          <w:trHeight w:val="27"/>
        </w:trPr>
        <w:tc>
          <w:tcPr>
            <w:tcW w:w="67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Unrecognized initial obligation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Unrecognized prior service cost</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amount recognized</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(6,701)</w:t>
            </w:r>
          </w:p>
        </w:tc>
        <w:tc>
          <w:tcPr>
            <w:tcW w:w="0" w:type="dxa"/>
            <w:vAlign w:val="bottom"/>
          </w:tcPr>
          <w:p>
            <w:pPr>
              <w:spacing w:after="0"/>
              <w:rPr>
                <w:sz w:val="1"/>
                <w:szCs w:val="1"/>
                <w:color w:val="auto"/>
              </w:rPr>
            </w:pPr>
          </w:p>
        </w:tc>
      </w:tr>
      <w:tr>
        <w:trPr>
          <w:trHeight w:val="20"/>
        </w:trPr>
        <w:tc>
          <w:tcPr>
            <w:tcW w:w="14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6600" w:type="dxa"/>
            <w:vAlign w:val="bottom"/>
            <w:vMerge w:val="restart"/>
          </w:tcPr>
          <w:p>
            <w:pPr>
              <w:ind w:left="360"/>
              <w:spacing w:after="0"/>
              <w:rPr>
                <w:sz w:val="20"/>
                <w:szCs w:val="20"/>
                <w:color w:val="auto"/>
              </w:rPr>
            </w:pPr>
            <w:r>
              <w:rPr>
                <w:rFonts w:ascii="Arial" w:cs="Arial" w:eastAsia="Arial" w:hAnsi="Arial"/>
                <w:sz w:val="18"/>
                <w:szCs w:val="18"/>
                <w:color w:val="auto"/>
              </w:rPr>
              <w:t>The unfunded status is all non-current.</w:t>
            </w: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140" w:type="dxa"/>
            <w:vAlign w:val="bottom"/>
            <w:vMerge w:val="continue"/>
          </w:tcPr>
          <w:p>
            <w:pPr>
              <w:spacing w:after="0"/>
              <w:rPr>
                <w:sz w:val="24"/>
                <w:szCs w:val="24"/>
                <w:color w:val="auto"/>
              </w:rPr>
            </w:pPr>
          </w:p>
        </w:tc>
        <w:tc>
          <w:tcPr>
            <w:tcW w:w="66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One of the benefit plans is funded by benefit payments made by the Company. Accordingly that plan has no assets included in the information presented above. The total liability for this plan was $8.7 million and $9.2 million as of April 2, 2016 and March 28, 2015, respectively.</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The accumulated benefit obligation for all plans was $36.4 million and $34.9 million for the fiscal year ended April 2, 2016 and March 28, 2015,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plans where the plan assets were greater than the accumulated benefit obligation as of April 2, 2016 and March 28, 2015.</w:t>
      </w:r>
    </w:p>
    <w:p>
      <w:pPr>
        <w:sectPr>
          <w:pgSz w:w="11900" w:h="16838" w:orient="portrait"/>
          <w:cols w:equalWidth="0" w:num="1">
            <w:col w:w="11420"/>
          </w:cols>
          <w:pgMar w:left="240" w:top="126"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6" w:right="239" w:bottom="1440" w:gutter="0" w:footer="0" w:header="0"/>
          <w:type w:val="continuous"/>
        </w:sectPr>
      </w:pPr>
    </w:p>
    <w:bookmarkStart w:id="85" w:name="page86"/>
    <w:bookmarkEnd w:id="8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components of the change recorded in our accumulated other comprehensive (loss) income related to our defined benefit plans, net of tax,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March 30, 2013</w:t>
            </w: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0" w:type="dxa"/>
            <w:vAlign w:val="bottom"/>
          </w:tcPr>
          <w:p>
            <w:pPr>
              <w:spacing w:after="0"/>
              <w:rPr>
                <w:sz w:val="1"/>
                <w:szCs w:val="1"/>
                <w:color w:val="auto"/>
              </w:rPr>
            </w:pP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Obligation at transition</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Prior service cost</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29, 2014</w:t>
            </w: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0" w:type="dxa"/>
            <w:vAlign w:val="bottom"/>
          </w:tcPr>
          <w:p>
            <w:pPr>
              <w:spacing w:after="0"/>
              <w:rPr>
                <w:sz w:val="1"/>
                <w:szCs w:val="1"/>
                <w:color w:val="auto"/>
              </w:rPr>
            </w:pP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Obligation at transition</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(6,198)</w:t>
            </w:r>
          </w:p>
        </w:tc>
        <w:tc>
          <w:tcPr>
            <w:tcW w:w="0" w:type="dxa"/>
            <w:vAlign w:val="bottom"/>
          </w:tcPr>
          <w:p>
            <w:pPr>
              <w:spacing w:after="0"/>
              <w:rPr>
                <w:sz w:val="1"/>
                <w:szCs w:val="1"/>
                <w:color w:val="auto"/>
              </w:rPr>
            </w:pP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Prior service cost</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28, 2015</w:t>
            </w: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Obligation at transition</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Prior service cost</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 2016</w:t>
            </w: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(7,492)</w:t>
            </w:r>
          </w:p>
        </w:tc>
        <w:tc>
          <w:tcPr>
            <w:tcW w:w="0" w:type="dxa"/>
            <w:vAlign w:val="bottom"/>
          </w:tcPr>
          <w:p>
            <w:pPr>
              <w:spacing w:after="0"/>
              <w:rPr>
                <w:sz w:val="1"/>
                <w:szCs w:val="1"/>
                <w:color w:val="auto"/>
              </w:rPr>
            </w:pPr>
          </w:p>
        </w:tc>
      </w:tr>
      <w:tr>
        <w:trPr>
          <w:trHeight w:val="20"/>
        </w:trPr>
        <w:tc>
          <w:tcPr>
            <w:tcW w:w="9200" w:type="dxa"/>
            <w:vAlign w:val="bottom"/>
            <w:gridSpan w:val="5"/>
            <w:vMerge w:val="restart"/>
          </w:tcPr>
          <w:p>
            <w:pPr>
              <w:spacing w:after="0"/>
              <w:rPr>
                <w:sz w:val="20"/>
                <w:szCs w:val="20"/>
                <w:color w:val="auto"/>
              </w:rPr>
            </w:pPr>
            <w:r>
              <w:rPr>
                <w:rFonts w:ascii="Arial" w:cs="Arial" w:eastAsia="Arial" w:hAnsi="Arial"/>
                <w:sz w:val="18"/>
                <w:szCs w:val="18"/>
                <w:color w:val="auto"/>
                <w:w w:val="96"/>
              </w:rPr>
              <w:t>We expect to amortize $0.2 million from accumulated other comprehensive loss to net periodic benefit cost during 2017.</w:t>
            </w: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9200" w:type="dxa"/>
            <w:vAlign w:val="bottom"/>
            <w:gridSpan w:val="5"/>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0" w:type="dxa"/>
            <w:vAlign w:val="bottom"/>
            <w:gridSpan w:val="5"/>
          </w:tcPr>
          <w:p>
            <w:pPr>
              <w:spacing w:after="0"/>
              <w:rPr>
                <w:sz w:val="20"/>
                <w:szCs w:val="20"/>
                <w:color w:val="auto"/>
              </w:rPr>
            </w:pPr>
            <w:r>
              <w:rPr>
                <w:rFonts w:ascii="Arial" w:cs="Arial" w:eastAsia="Arial" w:hAnsi="Arial"/>
                <w:sz w:val="18"/>
                <w:szCs w:val="18"/>
                <w:color w:val="auto"/>
                <w:w w:val="91"/>
              </w:rPr>
              <w:t>The weighted average rates used to determine the net periodic benefit costs and projected benefit obligations were as follows: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580" w:type="dxa"/>
            <w:vAlign w:val="bottom"/>
          </w:tcPr>
          <w:p>
            <w:pPr>
              <w:spacing w:after="0"/>
              <w:rPr>
                <w:sz w:val="24"/>
                <w:szCs w:val="24"/>
                <w:color w:val="auto"/>
              </w:rPr>
            </w:pPr>
          </w:p>
        </w:tc>
        <w:tc>
          <w:tcPr>
            <w:tcW w:w="1020" w:type="dxa"/>
            <w:vAlign w:val="bottom"/>
          </w:tcPr>
          <w:p>
            <w:pPr>
              <w:jc w:val="center"/>
              <w:ind w:left="428"/>
              <w:spacing w:after="0"/>
              <w:rPr>
                <w:sz w:val="20"/>
                <w:szCs w:val="20"/>
                <w:color w:val="auto"/>
              </w:rPr>
            </w:pPr>
            <w:r>
              <w:rPr>
                <w:rFonts w:ascii="Arial" w:cs="Arial" w:eastAsia="Arial" w:hAnsi="Arial"/>
                <w:sz w:val="14"/>
                <w:szCs w:val="14"/>
                <w:b w:val="1"/>
                <w:bCs w:val="1"/>
                <w:color w:val="auto"/>
              </w:rPr>
              <w:t>April 2,</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March 28,</w:t>
            </w:r>
          </w:p>
        </w:tc>
        <w:tc>
          <w:tcPr>
            <w:tcW w:w="260" w:type="dxa"/>
            <w:vAlign w:val="bottom"/>
          </w:tcPr>
          <w:p>
            <w:pPr>
              <w:spacing w:after="0"/>
              <w:rPr>
                <w:sz w:val="24"/>
                <w:szCs w:val="24"/>
                <w:color w:val="auto"/>
              </w:rPr>
            </w:pPr>
          </w:p>
        </w:tc>
        <w:tc>
          <w:tcPr>
            <w:tcW w:w="1220" w:type="dxa"/>
            <w:vAlign w:val="bottom"/>
          </w:tcPr>
          <w:p>
            <w:pPr>
              <w:jc w:val="right"/>
              <w:ind w:right="392"/>
              <w:spacing w:after="0"/>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65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0.72%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Rate of increased salary levels</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1.58%</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long-term rate of return on assets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1.20%</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65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Assumptions for expected long-term rate of return on plan assets are based upon actual historical returns, future expectations of returns for each asset class and the effect of periodic target asset allocation rebalancing. The results are adjusted for the payment of reasonable expenses of the plan from plan assets.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material obligation for post-retirement or post-employment benefits.</w:t>
      </w:r>
    </w:p>
    <w:p>
      <w:pPr>
        <w:spacing w:after="0" w:line="13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investment policy for pension plans is to balance risk and return through a diversified portfolio to reduce interest rate and market risk. Maturities are managed so that sufficient liquidity exists to meet immediate and future benefit payment requirements.</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provides guidance for reporting and measuring the plan assets of our defined benefit pension plan at fair value as of April 2, 2016. Using the same three-level valuation hierarchy for disclosure of fair value measurements as described in Note 6,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and Fair Value Measurements</w:t>
      </w:r>
      <w:r>
        <w:rPr>
          <w:rFonts w:ascii="Arial" w:cs="Arial" w:eastAsia="Arial" w:hAnsi="Arial"/>
          <w:sz w:val="18"/>
          <w:szCs w:val="18"/>
          <w:color w:val="auto"/>
        </w:rPr>
        <w:t>, all of the assets of the Company’s plan are classified within Level 2 of the fair value hierarchy because the plan assets are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insurance contracts.</w:t>
      </w:r>
    </w:p>
    <w:p>
      <w:pPr>
        <w:spacing w:after="0" w:line="9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Expected benefit payments for both plans are estimated using the same assumptions used in determining the company’s benefit obligation at April 2, 2016. Benefit payments will depend on future employment and compensation levels, average years employed and average life spans, among other factors, and changes in any of these factors could significantly affect these estimated future benefit payments.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6" w:right="239" w:bottom="1440" w:gutter="0" w:footer="0" w:header="0"/>
        </w:sectPr>
      </w:pPr>
    </w:p>
    <w:bookmarkStart w:id="86" w:name="page87"/>
    <w:bookmarkEnd w:id="86"/>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bl>
      <w:tblPr>
        <w:tblLayout w:type="fixed"/>
        <w:tblInd w:w="0" w:type="dxa"/>
        <w:tblCellMar>
          <w:top w:w="0" w:type="dxa"/>
          <w:left w:w="0" w:type="dxa"/>
          <w:bottom w:w="0" w:type="dxa"/>
          <w:right w:w="0" w:type="dxa"/>
        </w:tblCellMar>
      </w:tblPr>
      <w:tr>
        <w:trPr>
          <w:trHeight w:val="254"/>
        </w:trPr>
        <w:tc>
          <w:tcPr>
            <w:tcW w:w="1220" w:type="dxa"/>
            <w:vAlign w:val="bottom"/>
            <w:tcBorders>
              <w:top w:val="single" w:sz="8" w:color="0000EE"/>
            </w:tcBorders>
          </w:tcPr>
          <w:p>
            <w:pPr>
              <w:spacing w:after="0"/>
              <w:rPr>
                <w:sz w:val="22"/>
                <w:szCs w:val="22"/>
                <w:color w:val="auto"/>
              </w:rPr>
            </w:pPr>
          </w:p>
        </w:tc>
        <w:tc>
          <w:tcPr>
            <w:tcW w:w="8720" w:type="dxa"/>
            <w:vAlign w:val="bottom"/>
          </w:tcPr>
          <w:p>
            <w:pPr>
              <w:jc w:val="center"/>
              <w:ind w:left="190"/>
              <w:spacing w:after="0"/>
              <w:rPr>
                <w:sz w:val="20"/>
                <w:szCs w:val="20"/>
                <w:color w:val="auto"/>
              </w:rPr>
            </w:pPr>
            <w:r>
              <w:rPr>
                <w:rFonts w:ascii="Arial" w:cs="Arial" w:eastAsia="Arial" w:hAnsi="Arial"/>
                <w:sz w:val="18"/>
                <w:szCs w:val="18"/>
                <w:b w:val="1"/>
                <w:bCs w:val="1"/>
                <w:color w:val="auto"/>
              </w:rPr>
              <w:t>HAEMONETICS CORPORATION AND SUBSIDIARIES</w:t>
            </w: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306"/>
        </w:trPr>
        <w:tc>
          <w:tcPr>
            <w:tcW w:w="1220" w:type="dxa"/>
            <w:vAlign w:val="bottom"/>
          </w:tcPr>
          <w:p>
            <w:pPr>
              <w:spacing w:after="0"/>
              <w:rPr>
                <w:sz w:val="24"/>
                <w:szCs w:val="24"/>
                <w:color w:val="auto"/>
              </w:rPr>
            </w:pPr>
          </w:p>
        </w:tc>
        <w:tc>
          <w:tcPr>
            <w:tcW w:w="8720" w:type="dxa"/>
            <w:vAlign w:val="bottom"/>
          </w:tcPr>
          <w:p>
            <w:pPr>
              <w:jc w:val="center"/>
              <w:ind w:left="190"/>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797"/>
        </w:trPr>
        <w:tc>
          <w:tcPr>
            <w:tcW w:w="9940" w:type="dxa"/>
            <w:vAlign w:val="bottom"/>
            <w:gridSpan w:val="2"/>
          </w:tcPr>
          <w:p>
            <w:pPr>
              <w:spacing w:after="0"/>
              <w:rPr>
                <w:sz w:val="20"/>
                <w:szCs w:val="20"/>
                <w:color w:val="auto"/>
              </w:rPr>
            </w:pPr>
            <w:r>
              <w:rPr>
                <w:rFonts w:ascii="Arial" w:cs="Arial" w:eastAsia="Arial" w:hAnsi="Arial"/>
                <w:sz w:val="18"/>
                <w:szCs w:val="18"/>
                <w:color w:val="auto"/>
              </w:rPr>
              <w:t>Estimated future benefit payments are as follows: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9"/>
        </w:trPr>
        <w:tc>
          <w:tcPr>
            <w:tcW w:w="994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Year 2017</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1,746</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Fiscal Year 2018</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1,542</w:t>
            </w:r>
          </w:p>
        </w:tc>
      </w:tr>
      <w:tr>
        <w:trPr>
          <w:trHeight w:val="27"/>
        </w:trPr>
        <w:tc>
          <w:tcPr>
            <w:tcW w:w="12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Year 2019</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Fiscal Year 2020</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1,883</w:t>
            </w:r>
          </w:p>
        </w:tc>
      </w:tr>
      <w:tr>
        <w:trPr>
          <w:trHeight w:val="27"/>
        </w:trPr>
        <w:tc>
          <w:tcPr>
            <w:tcW w:w="12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Year 2021</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1,687</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Fiscal Year 2022-2026</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7,872</w:t>
            </w:r>
          </w:p>
        </w:tc>
      </w:tr>
      <w:tr>
        <w:trPr>
          <w:trHeight w:val="27"/>
        </w:trPr>
        <w:tc>
          <w:tcPr>
            <w:tcW w:w="1220" w:type="dxa"/>
            <w:vAlign w:val="bottom"/>
            <w:tcBorders>
              <w:bottom w:val="single" w:sz="8" w:color="CCEEFF"/>
            </w:tcBorders>
          </w:tcPr>
          <w:p>
            <w:pPr>
              <w:spacing w:after="0"/>
              <w:rPr>
                <w:sz w:val="2"/>
                <w:szCs w:val="2"/>
                <w:color w:val="auto"/>
              </w:rPr>
            </w:pPr>
          </w:p>
        </w:tc>
        <w:tc>
          <w:tcPr>
            <w:tcW w:w="87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1220" w:type="dxa"/>
            <w:vAlign w:val="bottom"/>
            <w:tcBorders>
              <w:bottom w:val="single" w:sz="8" w:color="CCEEFF"/>
            </w:tcBorders>
            <w:shd w:val="clear" w:color="auto" w:fill="CCEEFF"/>
          </w:tcPr>
          <w:p>
            <w:pPr>
              <w:spacing w:after="0"/>
              <w:rPr>
                <w:sz w:val="22"/>
                <w:szCs w:val="22"/>
                <w:color w:val="auto"/>
              </w:rPr>
            </w:pPr>
          </w:p>
        </w:tc>
        <w:tc>
          <w:tcPr>
            <w:tcW w:w="87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16,253</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87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contributions for fiscal 2017 are expected to be consistent with the current year.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ENTERPRISE-WIDE INFORMATION</w:t>
      </w:r>
    </w:p>
    <w:p>
      <w:pPr>
        <w:spacing w:after="0" w:line="13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determine our reportable segments by first identifying our operating segments, and then by assessing whether any components of these segments constitute a business for which discrete financial information is available and where segment management regularly reviews the operating results of that component. Our operating segments are based primarily on geography. North America Plasma is a separate operating segment with dedicated segment management due the size and scale of the plasma business. We aggregate components within an operating segment that have similar economic characteristics.</w:t>
      </w:r>
    </w:p>
    <w:p>
      <w:pPr>
        <w:spacing w:after="0" w:line="6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In prior periods, the Company believed a single reportable segment was consistent with its basic organizational structure and believed aggregation was consistent with its primary basis for decision making. As a result, prior year segment information has been restated to conform to fiscal 2016's reportable segments.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reportable segments are as follows:</w:t>
      </w:r>
    </w:p>
    <w:p>
      <w:pPr>
        <w:spacing w:after="0" w:line="13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Japan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Europe, Middle East and Africa (collectively “EMEA”)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North America Plasma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Other</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has aggregated the following two operating segments into the All Other reportable segment based upon their similar operational and economic characteristics, including similarity of operating margin:</w:t>
      </w:r>
    </w:p>
    <w:p>
      <w:pPr>
        <w:spacing w:after="0" w:line="7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Americas Blood Center and Hospital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Asia - Pacific</w:t>
      </w:r>
    </w:p>
    <w:p>
      <w:pPr>
        <w:spacing w:after="0" w:line="1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Management measures and evaluates the Company’s operating segments based on operating margin.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restructuring and transformation costs, deal amortization, impairments and other (income)/expense associated with certain acquisitions. Although these amounts are excluded from segment operating income, as applicable, they are included in the reconciliations that follow. Segment assets have not been presented since management does not evaluate the Company’s operating segments using this information. Further, management measures and evaluates the Company's net revenues and operating income on a constant currency basis, therefore segment information is presented on a constant currency basis.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18" w:right="23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Selected information by business segment is presented below:</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March 28,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March 29,</w:t>
            </w:r>
          </w:p>
        </w:tc>
        <w:tc>
          <w:tcPr>
            <w:tcW w:w="0" w:type="dxa"/>
            <w:vAlign w:val="bottom"/>
          </w:tcPr>
          <w:p>
            <w:pPr>
              <w:spacing w:after="0"/>
              <w:rPr>
                <w:sz w:val="1"/>
                <w:szCs w:val="1"/>
                <w:color w:val="auto"/>
              </w:rPr>
            </w:pPr>
          </w:p>
        </w:tc>
      </w:tr>
      <w:tr>
        <w:trPr>
          <w:trHeight w:val="192"/>
        </w:trPr>
        <w:tc>
          <w:tcPr>
            <w:tcW w:w="54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40" w:type="dxa"/>
            <w:vAlign w:val="bottom"/>
          </w:tcPr>
          <w:p>
            <w:pPr>
              <w:ind w:left="140"/>
              <w:spacing w:after="0"/>
              <w:rPr>
                <w:sz w:val="20"/>
                <w:szCs w:val="20"/>
                <w:color w:val="auto"/>
              </w:rPr>
            </w:pPr>
            <w:r>
              <w:rPr>
                <w:rFonts w:ascii="Arial" w:cs="Arial" w:eastAsia="Arial" w:hAnsi="Arial"/>
                <w:sz w:val="18"/>
                <w:szCs w:val="18"/>
                <w:color w:val="auto"/>
              </w:rPr>
              <w:t>Japan</w:t>
            </w:r>
          </w:p>
        </w:tc>
        <w:tc>
          <w:tcPr>
            <w:tcW w:w="1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84,270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83,547</w:t>
            </w:r>
          </w:p>
        </w:tc>
        <w:tc>
          <w:tcPr>
            <w:tcW w:w="20" w:type="dxa"/>
            <w:vAlign w:val="bottom"/>
          </w:tcPr>
          <w:p>
            <w:pPr>
              <w:spacing w:after="0"/>
              <w:rPr>
                <w:sz w:val="21"/>
                <w:szCs w:val="21"/>
                <w:color w:val="auto"/>
              </w:rPr>
            </w:pPr>
          </w:p>
        </w:tc>
        <w:tc>
          <w:tcPr>
            <w:tcW w:w="3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89,041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EMEA</w:t>
            </w: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175,874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193,691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40" w:type="dxa"/>
            <w:vAlign w:val="bottom"/>
          </w:tcPr>
          <w:p>
            <w:pPr>
              <w:ind w:left="140"/>
              <w:spacing w:after="0"/>
              <w:rPr>
                <w:sz w:val="20"/>
                <w:szCs w:val="20"/>
                <w:color w:val="auto"/>
              </w:rPr>
            </w:pPr>
            <w:r>
              <w:rPr>
                <w:rFonts w:ascii="Arial" w:cs="Arial" w:eastAsia="Arial" w:hAnsi="Arial"/>
                <w:sz w:val="18"/>
                <w:szCs w:val="18"/>
                <w:color w:val="auto"/>
              </w:rPr>
              <w:t>North America Plasma</w:t>
            </w: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279,803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240,705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213,215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All Other</w:t>
            </w:r>
          </w:p>
        </w:tc>
        <w:tc>
          <w:tcPr>
            <w:tcW w:w="12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370,568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375,827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400,133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Net revenues (constant currency)</w:t>
            </w:r>
          </w:p>
        </w:tc>
        <w:tc>
          <w:tcPr>
            <w:tcW w:w="12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910,515</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883,832</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896,080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rates</w:t>
            </w:r>
          </w:p>
        </w:tc>
        <w:tc>
          <w:tcPr>
            <w:tcW w:w="12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26,541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42,429</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4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revenues (reported)</w:t>
            </w:r>
          </w:p>
        </w:tc>
        <w:tc>
          <w:tcPr>
            <w:tcW w:w="12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908,832</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910,373</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938,509</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6"/>
              </w:rPr>
              <w:t>April 2,</w:t>
            </w:r>
          </w:p>
        </w:tc>
        <w:tc>
          <w:tcPr>
            <w:tcW w:w="260" w:type="dxa"/>
            <w:vAlign w:val="bottom"/>
          </w:tcPr>
          <w:p>
            <w:pPr>
              <w:spacing w:after="0"/>
              <w:rPr>
                <w:sz w:val="24"/>
                <w:szCs w:val="2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Japan</w:t>
            </w:r>
          </w:p>
        </w:tc>
        <w:tc>
          <w:tcPr>
            <w:tcW w:w="1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37,165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36,843</w:t>
            </w:r>
          </w:p>
        </w:tc>
        <w:tc>
          <w:tcPr>
            <w:tcW w:w="20" w:type="dxa"/>
            <w:vAlign w:val="bottom"/>
          </w:tcPr>
          <w:p>
            <w:pPr>
              <w:spacing w:after="0"/>
              <w:rPr>
                <w:sz w:val="21"/>
                <w:szCs w:val="21"/>
                <w:color w:val="auto"/>
              </w:rPr>
            </w:pPr>
          </w:p>
        </w:tc>
        <w:tc>
          <w:tcPr>
            <w:tcW w:w="3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38,685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EMEA</w:t>
            </w: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36,976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44,998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49,373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North America Plasma</w:t>
            </w: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100,367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89,092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82,497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All Other</w:t>
            </w:r>
          </w:p>
        </w:tc>
        <w:tc>
          <w:tcPr>
            <w:tcW w:w="12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135,580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142,531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154,099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Segment operating income (constant currency)</w:t>
            </w:r>
          </w:p>
        </w:tc>
        <w:tc>
          <w:tcPr>
            <w:tcW w:w="12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310,088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313,464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324,654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operating expenses (constant currency)</w:t>
            </w:r>
          </w:p>
        </w:tc>
        <w:tc>
          <w:tcPr>
            <w:tcW w:w="12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(194,361)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(189,867)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(186,562)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Non-GAAP operating income (constant currency)</w:t>
            </w:r>
          </w:p>
        </w:tc>
        <w:tc>
          <w:tcPr>
            <w:tcW w:w="12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115,727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123,597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138,092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rates</w:t>
            </w:r>
          </w:p>
        </w:tc>
        <w:tc>
          <w:tcPr>
            <w:tcW w:w="12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3,977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13,906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21,147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Non-GAAP operating income (reported)</w:t>
            </w:r>
          </w:p>
        </w:tc>
        <w:tc>
          <w:tcPr>
            <w:tcW w:w="12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119,704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137,503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159,239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 amounts</w:t>
            </w: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Restructuring and transformation costs</w:t>
            </w: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42,185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69,697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84,706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Deal amortization</w:t>
            </w: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28,958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30,184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Impairment of assets</w:t>
            </w: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97,230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Contingent consideration (income) expense</w:t>
            </w:r>
          </w:p>
        </w:tc>
        <w:tc>
          <w:tcPr>
            <w:tcW w:w="12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Operating (loss) income</w:t>
            </w:r>
          </w:p>
        </w:tc>
        <w:tc>
          <w:tcPr>
            <w:tcW w:w="12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(43,942)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40,540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46,432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6"/>
              </w:rPr>
              <w:t>April 2,</w:t>
            </w:r>
          </w:p>
        </w:tc>
        <w:tc>
          <w:tcPr>
            <w:tcW w:w="260" w:type="dxa"/>
            <w:vAlign w:val="bottom"/>
          </w:tcPr>
          <w:p>
            <w:pPr>
              <w:spacing w:after="0"/>
              <w:rPr>
                <w:sz w:val="24"/>
                <w:szCs w:val="2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Japan</w:t>
            </w:r>
          </w:p>
        </w:tc>
        <w:tc>
          <w:tcPr>
            <w:tcW w:w="1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774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767</w:t>
            </w:r>
          </w:p>
        </w:tc>
        <w:tc>
          <w:tcPr>
            <w:tcW w:w="20" w:type="dxa"/>
            <w:vAlign w:val="bottom"/>
          </w:tcPr>
          <w:p>
            <w:pPr>
              <w:spacing w:after="0"/>
              <w:rPr>
                <w:sz w:val="21"/>
                <w:szCs w:val="21"/>
                <w:color w:val="auto"/>
              </w:rPr>
            </w:pPr>
          </w:p>
        </w:tc>
        <w:tc>
          <w:tcPr>
            <w:tcW w:w="3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839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EMEA</w:t>
            </w: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North America Plasma</w:t>
            </w: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12,944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11,229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8,776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All Other</w:t>
            </w:r>
          </w:p>
        </w:tc>
        <w:tc>
          <w:tcPr>
            <w:tcW w:w="12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71,047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69,012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67,430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440" w:type="dxa"/>
            <w:vAlign w:val="bottom"/>
          </w:tcPr>
          <w:p>
            <w:pPr>
              <w:ind w:left="20"/>
              <w:spacing w:after="0"/>
              <w:rPr>
                <w:sz w:val="20"/>
                <w:szCs w:val="20"/>
                <w:color w:val="auto"/>
              </w:rPr>
            </w:pPr>
            <w:r>
              <w:rPr>
                <w:rFonts w:ascii="Arial" w:cs="Arial" w:eastAsia="Arial" w:hAnsi="Arial"/>
                <w:sz w:val="18"/>
                <w:szCs w:val="18"/>
                <w:b w:val="1"/>
                <w:bCs w:val="1"/>
                <w:color w:val="auto"/>
                <w:w w:val="92"/>
              </w:rPr>
              <w:t>Total depreciation and amortization (excluding impairment charges)</w:t>
            </w:r>
          </w:p>
        </w:tc>
        <w:tc>
          <w:tcPr>
            <w:tcW w:w="12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89,911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86,053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81,740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60" w:type="dxa"/>
            <w:vAlign w:val="bottom"/>
            <w:vMerge w:val="restart"/>
          </w:tcPr>
          <w:p>
            <w:pPr>
              <w:jc w:val="right"/>
              <w:ind w:right="850"/>
              <w:spacing w:after="0"/>
              <w:rPr>
                <w:sz w:val="20"/>
                <w:szCs w:val="20"/>
                <w:color w:val="auto"/>
              </w:rPr>
            </w:pPr>
            <w:r>
              <w:rPr>
                <w:rFonts w:ascii="Arial" w:cs="Arial" w:eastAsia="Arial" w:hAnsi="Arial"/>
                <w:sz w:val="18"/>
                <w:szCs w:val="18"/>
                <w:color w:val="auto"/>
              </w:rPr>
              <w:t>86</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88" w:name="page89"/>
    <w:bookmarkEnd w:id="8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6"/>
              </w:rPr>
              <w:t>April 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28,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2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Long-lived assets</w:t>
            </w:r>
            <w:r>
              <w:rPr>
                <w:rFonts w:ascii="Arial" w:cs="Arial" w:eastAsia="Arial" w:hAnsi="Arial"/>
                <w:sz w:val="25"/>
                <w:szCs w:val="25"/>
                <w:color w:val="auto"/>
                <w:vertAlign w:val="superscript"/>
              </w:rPr>
              <w:t>(1)</w:t>
            </w:r>
          </w:p>
        </w:tc>
        <w:tc>
          <w:tcPr>
            <w:tcW w:w="1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Japan</w:t>
            </w:r>
          </w:p>
        </w:tc>
        <w:tc>
          <w:tcPr>
            <w:tcW w:w="18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33,159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31,810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3"/>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28,544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EMEA</w:t>
            </w:r>
          </w:p>
        </w:tc>
        <w:tc>
          <w:tcPr>
            <w:tcW w:w="1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63,861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66,223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59,034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North America Plasma</w:t>
            </w: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116,001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101,272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75,597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All Other</w:t>
            </w:r>
          </w:p>
        </w:tc>
        <w:tc>
          <w:tcPr>
            <w:tcW w:w="14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124,613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122,643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108,262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Total long-lived assets</w:t>
            </w:r>
          </w:p>
        </w:tc>
        <w:tc>
          <w:tcPr>
            <w:tcW w:w="14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337,634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321,948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271,437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25"/>
                <w:szCs w:val="25"/>
                <w:color w:val="auto"/>
                <w:w w:val="95"/>
                <w:vertAlign w:val="superscript"/>
              </w:rPr>
              <w:t>(1)</w:t>
            </w:r>
            <w:r>
              <w:rPr>
                <w:rFonts w:ascii="Arial" w:cs="Arial" w:eastAsia="Arial" w:hAnsi="Arial"/>
                <w:sz w:val="18"/>
                <w:szCs w:val="18"/>
                <w:color w:val="auto"/>
                <w:w w:val="95"/>
              </w:rPr>
              <w:t>Long-lived assets are comprised of property, plant and equipment.</w:t>
            </w:r>
          </w:p>
        </w:tc>
        <w:tc>
          <w:tcPr>
            <w:tcW w:w="1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28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280" w:type="dxa"/>
            <w:vAlign w:val="bottom"/>
            <w:gridSpan w:val="2"/>
          </w:tcPr>
          <w:p>
            <w:pPr>
              <w:spacing w:after="0"/>
              <w:rPr>
                <w:sz w:val="20"/>
                <w:szCs w:val="20"/>
                <w:color w:val="auto"/>
              </w:rPr>
            </w:pPr>
            <w:r>
              <w:rPr>
                <w:rFonts w:ascii="Arial" w:cs="Arial" w:eastAsia="Arial" w:hAnsi="Arial"/>
                <w:sz w:val="18"/>
                <w:szCs w:val="18"/>
                <w:color w:val="auto"/>
                <w:w w:val="99"/>
              </w:rPr>
              <w:t>Long-lived assets in our principle operating regions are as follows:</w:t>
            </w: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April 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3"/>
          </w:tcPr>
          <w:p>
            <w:pPr>
              <w:ind w:left="200"/>
              <w:spacing w:after="0"/>
              <w:rPr>
                <w:sz w:val="20"/>
                <w:szCs w:val="20"/>
                <w:color w:val="auto"/>
              </w:rPr>
            </w:pPr>
            <w:r>
              <w:rPr>
                <w:rFonts w:ascii="Arial" w:cs="Arial" w:eastAsia="Arial" w:hAnsi="Arial"/>
                <w:sz w:val="14"/>
                <w:szCs w:val="14"/>
                <w:b w:val="1"/>
                <w:bCs w:val="1"/>
                <w:color w:val="auto"/>
              </w:rPr>
              <w:t>March 28,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center"/>
              <w:ind w:right="174"/>
              <w:spacing w:after="0"/>
              <w:rPr>
                <w:sz w:val="20"/>
                <w:szCs w:val="20"/>
                <w:color w:val="auto"/>
              </w:rPr>
            </w:pPr>
            <w:r>
              <w:rPr>
                <w:rFonts w:ascii="Arial" w:cs="Arial" w:eastAsia="Arial" w:hAnsi="Arial"/>
                <w:sz w:val="14"/>
                <w:szCs w:val="14"/>
                <w:b w:val="1"/>
                <w:bCs w:val="1"/>
                <w:color w:val="auto"/>
                <w:w w:val="95"/>
              </w:rPr>
              <w:t>March 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24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231,744</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208,439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185,227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Japan</w:t>
            </w: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1,618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2,563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18,672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27,786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37,154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Asia</w:t>
            </w: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auto"/>
              </w:rPr>
              <w:t>40,235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39,032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8,785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44,961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45,073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37,708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80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337,634</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321,948</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271,437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Net revenues by product line are as follows:</w:t>
            </w: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528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April 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5"/>
              </w:rPr>
              <w:t>March 28,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334"/>
              <w:spacing w:after="0"/>
              <w:rPr>
                <w:sz w:val="20"/>
                <w:szCs w:val="20"/>
                <w:color w:val="auto"/>
              </w:rPr>
            </w:pPr>
            <w:r>
              <w:rPr>
                <w:rFonts w:ascii="Arial" w:cs="Arial" w:eastAsia="Arial" w:hAnsi="Arial"/>
                <w:sz w:val="14"/>
                <w:szCs w:val="14"/>
                <w:b w:val="1"/>
                <w:bCs w:val="1"/>
                <w:color w:val="auto"/>
              </w:rPr>
              <w:t>March 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2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4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Disposable revenues</w:t>
            </w:r>
          </w:p>
        </w:tc>
        <w:tc>
          <w:tcPr>
            <w:tcW w:w="1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Plasma disposables</w:t>
            </w:r>
          </w:p>
        </w:tc>
        <w:tc>
          <w:tcPr>
            <w:tcW w:w="18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348,785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319,190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291,895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Blood center disposables</w:t>
            </w:r>
          </w:p>
        </w:tc>
        <w:tc>
          <w:tcPr>
            <w:tcW w:w="1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Platelet</w:t>
            </w: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143,274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152,588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156,643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Red cell</w:t>
            </w:r>
          </w:p>
        </w:tc>
        <w:tc>
          <w:tcPr>
            <w:tcW w:w="1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39,256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42,378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Whole blood</w:t>
            </w: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128,532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143,905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190,698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311,062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339,193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389,719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40" w:type="dxa"/>
            <w:vAlign w:val="bottom"/>
          </w:tcPr>
          <w:p>
            <w:pPr>
              <w:ind w:left="140"/>
              <w:spacing w:after="0"/>
              <w:rPr>
                <w:sz w:val="20"/>
                <w:szCs w:val="20"/>
                <w:color w:val="auto"/>
              </w:rPr>
            </w:pPr>
            <w:r>
              <w:rPr>
                <w:rFonts w:ascii="Arial" w:cs="Arial" w:eastAsia="Arial" w:hAnsi="Arial"/>
                <w:sz w:val="18"/>
                <w:szCs w:val="18"/>
                <w:color w:val="auto"/>
              </w:rPr>
              <w:t>Hospital disposables</w:t>
            </w: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Diagnostics</w:t>
            </w:r>
          </w:p>
        </w:tc>
        <w:tc>
          <w:tcPr>
            <w:tcW w:w="1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50,882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42,187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Surgical</w:t>
            </w: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59,902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62,540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66,876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OrthoPAT</w:t>
            </w:r>
          </w:p>
        </w:tc>
        <w:tc>
          <w:tcPr>
            <w:tcW w:w="14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13,823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25,042</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124,607</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125,043</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125,220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280" w:type="dxa"/>
            <w:vAlign w:val="bottom"/>
            <w:gridSpan w:val="2"/>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Disposables revenue</w:t>
            </w: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784,454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783,426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806,834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280" w:type="dxa"/>
            <w:vAlign w:val="bottom"/>
            <w:gridSpan w:val="2"/>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Software solutions</w:t>
            </w: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72,434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72,185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70,441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Equipment &amp; other</w:t>
            </w:r>
          </w:p>
        </w:tc>
        <w:tc>
          <w:tcPr>
            <w:tcW w:w="14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51,944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54,762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61,234</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revenues</w:t>
            </w:r>
          </w:p>
        </w:tc>
        <w:tc>
          <w:tcPr>
            <w:tcW w:w="14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908,832</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910,373</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938,509</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60" w:type="dxa"/>
            <w:vAlign w:val="bottom"/>
            <w:vMerge w:val="restart"/>
          </w:tcPr>
          <w:p>
            <w:pPr>
              <w:jc w:val="right"/>
              <w:ind w:right="850"/>
              <w:spacing w:after="0"/>
              <w:rPr>
                <w:sz w:val="20"/>
                <w:szCs w:val="20"/>
                <w:color w:val="auto"/>
              </w:rPr>
            </w:pPr>
            <w:r>
              <w:rPr>
                <w:rFonts w:ascii="Arial" w:cs="Arial" w:eastAsia="Arial" w:hAnsi="Arial"/>
                <w:sz w:val="18"/>
                <w:szCs w:val="18"/>
                <w:color w:val="auto"/>
              </w:rPr>
              <w:t>87</w:t>
            </w: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Net revenues generated in our principle operating regions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w:t>
            </w:r>
          </w:p>
        </w:tc>
        <w:tc>
          <w:tcPr>
            <w:tcW w:w="24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28,</w:t>
            </w:r>
          </w:p>
        </w:tc>
        <w:tc>
          <w:tcPr>
            <w:tcW w:w="220" w:type="dxa"/>
            <w:vAlign w:val="bottom"/>
          </w:tcPr>
          <w:p>
            <w:pPr>
              <w:spacing w:after="0"/>
              <w:rPr>
                <w:sz w:val="14"/>
                <w:szCs w:val="14"/>
                <w:color w:val="auto"/>
              </w:rPr>
            </w:pPr>
          </w:p>
        </w:tc>
        <w:tc>
          <w:tcPr>
            <w:tcW w:w="1140" w:type="dxa"/>
            <w:vAlign w:val="bottom"/>
          </w:tcPr>
          <w:p>
            <w:pPr>
              <w:jc w:val="right"/>
              <w:ind w:right="294"/>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70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519,440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494,788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500,719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Japan</w:t>
            </w:r>
          </w:p>
        </w:tc>
        <w:tc>
          <w:tcPr>
            <w:tcW w:w="28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81,411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88,298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108,679</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187,725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215,575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224,792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Asia</w:t>
            </w:r>
          </w:p>
        </w:tc>
        <w:tc>
          <w:tcPr>
            <w:tcW w:w="28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111,758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102,095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94,762</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9,617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9,557</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908,832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910,373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938,509</w:t>
            </w: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an ongoing basis, we review the global economy, the healthcare industry, and the markets in which we compete to identify opportunities for efficiencies, enhance commercial capabilities, align our resources and offer our customers better solutions. In order to realize these opportunities, we undertake restructuring-type activities to transform our business.</w:t>
      </w:r>
    </w:p>
    <w:p>
      <w:pPr>
        <w:spacing w:after="0" w:line="18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During the first quarter of fiscal 2017, in connection with our global strategic review, we launched the first phase of a restructuring program designed to reposition our organization and improve our cost structure. The first phase includes both a reduction of headcount and operating costs as well as projects to simplify product lines. We may also take additional steps to modify our manufacturing operations to reflect our strategic direction.</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expect to incur approximately $26 million of restructuring and transformation charges, comprised of $17 million in termination benefits and $9 million in other related exit costs. Substantially all of these charges will result in future cash outlays and are expected to be incurred during fiscal 2017. Savings from this program are estimated to be approximately $40 million in fiscal 2017. Subsequent phases of the program may require restructuring charges in future fiscal years.</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fiscal 2016, we completed our Value Creation and Capture (“VCC”) opportunities initiative. This initiative included (i) discontinuation of manufacturing activities at our Ascoli-Piceno, Italy and Braintree, Massachusetts facilities, (ii) expansion of our current facility in Tijuana, Mexico, (iii) transfer of all equipment production to our contract manufacturer, Sanmina Corporation, and (iv) consolidation of the manufacturing of product formerly produced in the U.S. and Italy to our new manufacturing facility in Penang, Malaysia. We continue to manufacture in Bothwell, Scotland. The cumulative restructuring charges incurred as a result of the VCC initiative were $100.1 million.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6" w:right="23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restructuring activity for the fiscal year ended April 2, 2016, March 28, 2015, and March 29, 2014, respectively: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40" w:type="dxa"/>
            <w:vAlign w:val="bottom"/>
            <w:gridSpan w:val="3"/>
          </w:tcPr>
          <w:p>
            <w:pPr>
              <w:ind w:left="120"/>
              <w:spacing w:after="0"/>
              <w:rPr>
                <w:sz w:val="20"/>
                <w:szCs w:val="20"/>
                <w:color w:val="auto"/>
              </w:rPr>
            </w:pPr>
            <w:r>
              <w:rPr>
                <w:rFonts w:ascii="Arial" w:cs="Arial" w:eastAsia="Arial" w:hAnsi="Arial"/>
                <w:sz w:val="14"/>
                <w:szCs w:val="14"/>
                <w:b w:val="1"/>
                <w:bCs w:val="1"/>
                <w:color w:val="auto"/>
              </w:rPr>
              <w:t>Severance and Other</w:t>
            </w:r>
          </w:p>
        </w:tc>
        <w:tc>
          <w:tcPr>
            <w:tcW w:w="240" w:type="dxa"/>
            <w:vAlign w:val="bottom"/>
          </w:tcPr>
          <w:p>
            <w:pPr>
              <w:spacing w:after="0"/>
              <w:rPr>
                <w:sz w:val="14"/>
                <w:szCs w:val="14"/>
                <w:color w:val="auto"/>
              </w:rPr>
            </w:pPr>
          </w:p>
        </w:tc>
        <w:tc>
          <w:tcPr>
            <w:tcW w:w="12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Other Costs</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Accelerated</w:t>
            </w:r>
          </w:p>
        </w:tc>
        <w:tc>
          <w:tcPr>
            <w:tcW w:w="240" w:type="dxa"/>
            <w:vAlign w:val="bottom"/>
          </w:tcPr>
          <w:p>
            <w:pPr>
              <w:spacing w:after="0"/>
              <w:rPr>
                <w:sz w:val="14"/>
                <w:szCs w:val="14"/>
                <w:color w:val="auto"/>
              </w:rPr>
            </w:pP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Asset</w:t>
            </w:r>
          </w:p>
        </w:tc>
        <w:tc>
          <w:tcPr>
            <w:tcW w:w="140" w:type="dxa"/>
            <w:vAlign w:val="bottom"/>
          </w:tcPr>
          <w:p>
            <w:pPr>
              <w:spacing w:after="0"/>
              <w:rPr>
                <w:sz w:val="14"/>
                <w:szCs w:val="14"/>
                <w:color w:val="auto"/>
              </w:rPr>
            </w:pPr>
          </w:p>
        </w:tc>
        <w:tc>
          <w:tcPr>
            <w:tcW w:w="13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2"/>
              </w:rPr>
              <w:t>Total Restructuring</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5"/>
              </w:rPr>
              <w:t>Employee Costs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Depreciation</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Write Down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30, 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Costs incurred</w:t>
            </w: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31,492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14,254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49,051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(25,372)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Non-cash adjustments</w:t>
            </w:r>
          </w:p>
        </w:tc>
        <w:tc>
          <w:tcPr>
            <w:tcW w:w="2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29, 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23,636</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Costs incurred</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19,879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15,362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36,863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(42,265)</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Non-cash adjustments</w:t>
            </w:r>
          </w:p>
        </w:tc>
        <w:tc>
          <w:tcPr>
            <w:tcW w:w="2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28,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16,393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16,612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Costs incurred</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10,707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7,846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3,033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23,055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(26,413)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Non-cash adjustments</w:t>
            </w:r>
          </w:p>
        </w:tc>
        <w:tc>
          <w:tcPr>
            <w:tcW w:w="2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(4,502)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April 2, 2016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8,752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The substantial majority of restructuring expenses have been included as a component of selling, general and administrative expense in the accompanying consolidated statements of (loss) income. Total restructuring charges for fiscal 2016 include a $3.0 million asset write down to fair value related to land, buildings and related equipment for a property we plan to dispose of, as discussed in Note 12,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As of April 2, 2016, we had a restructuring liability of $8.8 million, of which, approximately $8.1 million is payable within the next twelve months.</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addition to the restructuring expenses included in the table above, we also incurred $19.2 million of costs that do not constitute as restructuring under ASC 420, which we refer to as "Transformation Costs". These costs consist primarily of expenditures directly related to our transformation activities including program management, product line transfer teams and related costs, infrastructure related costs, accelerated depreciation and asset disposals. These costs exclude the impact of contingent consideration of $4.9 million which was reversed during the third quarter of fiscal 2016 and is presented within the contingent consideration (income) expense line on the consolidated statements of (loss) income. The contingent consideration reversal of $2.9 million and an insignificant amount were also excluded for fiscal 2015 and fiscal 2014, respectively.</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table below presents transformation and restructuring costs recorded in cost of goods sold, research and development, selling, general and administrative expenses and other expense, net in our consolidated statements of (loss) income for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ind w:left="40"/>
              <w:spacing w:after="0"/>
              <w:rPr>
                <w:sz w:val="20"/>
                <w:szCs w:val="20"/>
                <w:color w:val="auto"/>
              </w:rPr>
            </w:pPr>
            <w:r>
              <w:rPr>
                <w:rFonts w:ascii="Arial" w:cs="Arial" w:eastAsia="Arial" w:hAnsi="Arial"/>
                <w:sz w:val="14"/>
                <w:szCs w:val="14"/>
                <w:b w:val="1"/>
                <w:bCs w:val="1"/>
                <w:color w:val="auto"/>
              </w:rPr>
              <w:t>Transformation costs</w:t>
            </w:r>
          </w:p>
        </w:tc>
        <w:tc>
          <w:tcPr>
            <w:tcW w:w="2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8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Transformation and other costs</w:t>
            </w:r>
          </w:p>
        </w:tc>
        <w:tc>
          <w:tcPr>
            <w:tcW w:w="31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17,377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30,656</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Accelerated depreciation</w:t>
            </w:r>
          </w:p>
        </w:tc>
        <w:tc>
          <w:tcPr>
            <w:tcW w:w="2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4,203</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disposal</w:t>
            </w:r>
          </w:p>
        </w:tc>
        <w:tc>
          <w:tcPr>
            <w:tcW w:w="28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Total</w:t>
            </w:r>
          </w:p>
        </w:tc>
        <w:tc>
          <w:tcPr>
            <w:tcW w:w="28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19,229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32,834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35,655</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800" w:type="dxa"/>
            <w:vAlign w:val="bottom"/>
            <w:vMerge w:val="restart"/>
          </w:tcPr>
          <w:p>
            <w:pPr>
              <w:jc w:val="right"/>
              <w:ind w:right="850"/>
              <w:spacing w:after="0"/>
              <w:rPr>
                <w:sz w:val="20"/>
                <w:szCs w:val="20"/>
                <w:color w:val="auto"/>
              </w:rPr>
            </w:pPr>
            <w:r>
              <w:rPr>
                <w:rFonts w:ascii="Arial" w:cs="Arial" w:eastAsia="Arial" w:hAnsi="Arial"/>
                <w:sz w:val="18"/>
                <w:szCs w:val="18"/>
                <w:color w:val="auto"/>
              </w:rPr>
              <w:t>89</w:t>
            </w: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394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91" w:name="page92"/>
    <w:bookmarkEnd w:id="9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restructuring and transformation costs by reportable segment: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Restructuring costs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76"/>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372</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EMEA</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3,210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3,310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1,444</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 Plasma</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All Other</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19,836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32,935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47,193</w:t>
            </w:r>
          </w:p>
        </w:tc>
      </w:tr>
      <w:tr>
        <w:trPr>
          <w:trHeight w:val="27"/>
        </w:trPr>
        <w:tc>
          <w:tcPr>
            <w:tcW w:w="6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36,863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49,051</w:t>
            </w:r>
          </w:p>
        </w:tc>
      </w:tr>
      <w:tr>
        <w:trPr>
          <w:trHeight w:val="576"/>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Transformation costs</w:t>
            </w: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76"/>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EMEA</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1,260</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 Plasma</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All Other</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17,852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31,810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34,264</w:t>
            </w:r>
          </w:p>
        </w:tc>
      </w:tr>
      <w:tr>
        <w:trPr>
          <w:trHeight w:val="27"/>
        </w:trPr>
        <w:tc>
          <w:tcPr>
            <w:tcW w:w="6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32,834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35,655</w:t>
            </w:r>
          </w:p>
        </w:tc>
      </w:tr>
      <w:tr>
        <w:trPr>
          <w:trHeight w:val="318"/>
        </w:trPr>
        <w:tc>
          <w:tcPr>
            <w:tcW w:w="67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r>
      <w:tr>
        <w:trPr>
          <w:trHeight w:val="25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restructuring and transformation</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42,284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69,697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84,706</w:t>
            </w:r>
          </w:p>
        </w:tc>
      </w:tr>
      <w:tr>
        <w:trPr>
          <w:trHeight w:val="20"/>
        </w:trPr>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CAPITALIZATION OF SOFTWARE DEVELOPMENT COSTS</w:t>
      </w:r>
    </w:p>
    <w:p>
      <w:pPr>
        <w:spacing w:after="0" w:line="13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The cost of software that is developed or obtained for internal use is accounted for pursuant to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Pursuant to ASC Topic 350, we capitalize costs incurred during the application development stage of software developed for internal use, and expense costs incurred during the preliminary project and the post-implementation operation stages of development. The costs capitalized for each project are included in intangible assets in the consolidated financial statements.</w:t>
      </w:r>
    </w:p>
    <w:p>
      <w:pPr>
        <w:spacing w:after="0" w:line="9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For costs incurred related to the development of software to be sold, leased, or otherwise marketed, we apply the provisions of ASC Topic 985-20, </w:t>
      </w:r>
      <w:r>
        <w:rPr>
          <w:rFonts w:ascii="Arial" w:cs="Arial" w:eastAsia="Arial" w:hAnsi="Arial"/>
          <w:sz w:val="17"/>
          <w:szCs w:val="17"/>
          <w:i w:val="1"/>
          <w:iCs w:val="1"/>
          <w:color w:val="auto"/>
        </w:rPr>
        <w:t>Software -</w:t>
      </w:r>
      <w:r>
        <w:rPr>
          <w:rFonts w:ascii="Arial" w:cs="Arial" w:eastAsia="Arial" w:hAnsi="Arial"/>
          <w:sz w:val="17"/>
          <w:szCs w:val="17"/>
          <w:color w:val="auto"/>
        </w:rPr>
        <w:t xml:space="preserve"> </w:t>
      </w:r>
      <w:r>
        <w:rPr>
          <w:rFonts w:ascii="Arial" w:cs="Arial" w:eastAsia="Arial" w:hAnsi="Arial"/>
          <w:sz w:val="17"/>
          <w:szCs w:val="17"/>
          <w:i w:val="1"/>
          <w:iCs w:val="1"/>
          <w:color w:val="auto"/>
        </w:rPr>
        <w:t>Costs of Software to be Sold, Leased or Marketed</w:t>
      </w:r>
      <w:r>
        <w:rPr>
          <w:rFonts w:ascii="Arial" w:cs="Arial" w:eastAsia="Arial" w:hAnsi="Arial"/>
          <w:sz w:val="17"/>
          <w:szCs w:val="17"/>
          <w:color w:val="auto"/>
        </w:rPr>
        <w:t>, which specifies that costs incurred internally in researching and developing a computer software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should 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7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capitalized $17.0 million and $9.5 million in software development costs for ongoing initiatives during the fiscal years ended April 2, 2016 and March 28, 2015, respectively. At April 2, 2016 and March 28, 2015, we have a total of $54.9 million and $39.7 million of software costs capitalized, of which $14.4 million and $7.9 million are related to in process software development initiatives, respectively, and the remaining balance represents in-service assets that are being amortized over their useful lives. The costs capitalized for each project are included in intangible assets in the consolidated financial statements. In connection with these development activities, we capitalized interest of $0.2 million and $0.2 million in fiscal 2016 and 2015, respectively. We amortize capitalized costs when the products are released for sale. During fiscal 2016, $8.7 million of capitalized costs were placed into service, compared to $15.7 million of capitalized costs placed into service during fiscal 2015. Amortization of capitalized software development cost expense was $10.9 million, $3.2 million and $1.1 million for fiscal 2016, 2015 and 2014, respectively. Amortization expense in fiscal 2016 includes $6.0 million of impairment charges related to the discontinuance of certain capitalized software projects as a result of our global strategic review in the fourth quarter of fiscal 2016. These impairment charges are classified within costs of goods sold on our consolidated statements of (loss) income and relate to capitalized software projects included in our All Other segment.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6" w:right="239" w:bottom="1440" w:gutter="0" w:footer="0" w:header="0"/>
        </w:sectPr>
      </w:pPr>
    </w:p>
    <w:bookmarkStart w:id="92" w:name="page93"/>
    <w:bookmarkEnd w:id="9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17. SUMMARY OF QUARTERLY DATA (UNAUDITED)</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5620" w:type="dxa"/>
            <w:vAlign w:val="bottom"/>
            <w:gridSpan w:val="2"/>
          </w:tcPr>
          <w:p>
            <w:pPr>
              <w:spacing w:after="0"/>
              <w:rPr>
                <w:sz w:val="20"/>
                <w:szCs w:val="20"/>
                <w:color w:val="auto"/>
              </w:rPr>
            </w:pPr>
            <w:r>
              <w:rPr>
                <w:rFonts w:ascii="Arial" w:cs="Arial" w:eastAsia="Arial" w:hAnsi="Arial"/>
                <w:sz w:val="13"/>
                <w:szCs w:val="13"/>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Fiscal 2016</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27,</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26,</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26,</w:t>
            </w:r>
          </w:p>
        </w:tc>
        <w:tc>
          <w:tcPr>
            <w:tcW w:w="260" w:type="dxa"/>
            <w:vAlign w:val="bottom"/>
          </w:tcPr>
          <w:p>
            <w:pPr>
              <w:spacing w:after="0"/>
              <w:rPr>
                <w:sz w:val="13"/>
                <w:szCs w:val="13"/>
                <w:color w:val="auto"/>
              </w:rPr>
            </w:pPr>
          </w:p>
        </w:tc>
        <w:tc>
          <w:tcPr>
            <w:tcW w:w="1100" w:type="dxa"/>
            <w:vAlign w:val="bottom"/>
          </w:tcPr>
          <w:p>
            <w:pPr>
              <w:jc w:val="right"/>
              <w:ind w:right="374"/>
              <w:spacing w:after="0" w:line="153" w:lineRule="exact"/>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213,413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219,693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233,384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242,342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102,539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105,297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108,855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89,223</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3,606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19,179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(61,177)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Per share data:</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620" w:type="dxa"/>
            <w:vAlign w:val="bottom"/>
            <w:gridSpan w:val="2"/>
          </w:tcPr>
          <w:p>
            <w:pPr>
              <w:ind w:left="40"/>
              <w:spacing w:after="0"/>
              <w:rPr>
                <w:sz w:val="20"/>
                <w:szCs w:val="20"/>
                <w:color w:val="auto"/>
              </w:rPr>
            </w:pPr>
            <w:r>
              <w:rPr>
                <w:rFonts w:ascii="Arial" w:cs="Arial" w:eastAsia="Arial" w:hAnsi="Arial"/>
                <w:sz w:val="13"/>
                <w:szCs w:val="13"/>
                <w:i w:val="1"/>
                <w:iCs w:val="1"/>
                <w:color w:val="auto"/>
              </w:rPr>
              <w:t>(In thousands)</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Fiscal 2015</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28,</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27,</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27,</w:t>
            </w:r>
          </w:p>
        </w:tc>
        <w:tc>
          <w:tcPr>
            <w:tcW w:w="220" w:type="dxa"/>
            <w:vAlign w:val="bottom"/>
          </w:tcPr>
          <w:p>
            <w:pPr>
              <w:spacing w:after="0"/>
              <w:rPr>
                <w:sz w:val="13"/>
                <w:szCs w:val="13"/>
                <w:color w:val="auto"/>
              </w:rPr>
            </w:pPr>
          </w:p>
        </w:tc>
        <w:tc>
          <w:tcPr>
            <w:tcW w:w="11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224,488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227,580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231,827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226,478</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106,278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108,114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111,661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108,365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11,539</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(3,649)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7,487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15,988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Per share data:</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operating results for the first quarter of fiscal 2016 include the correction of an understatement of the provision for income taxes in fiscal 2015 as well as other certain out of period items, which were determined to be immaterial to all periods presented. Absent this correction, our operating income and net income for the three months ended June 27, 2015 would have been $0.8 million lower and $0.2 million higher, respectively, than the amount included above.</w:t>
      </w:r>
    </w:p>
    <w:p>
      <w:pPr>
        <w:spacing w:after="0" w:line="14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operating results for the third quarter of fiscal 2016 include the correction of an overstated liability in fiscal 2014 and certain other out of period items, which were determined to be immaterial to all periods presented. Absent these corrections, our operating loss and net loss for the three months ended December 26, 2015 would have been $4.1 million higher and $4.0 million higher, respectively, than the amount included above.</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operating results for the fourth quarter of fiscal 2016 include corrections of certain out of period items, the impact of which were determined to be immaterial to all periods presented. Absent these corrections, our operating loss and net loss for the three months ended April 2, 2016 would have been $2.9 million lower and $1.8 million lower, respectively, than the amount included above.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6" w:right="239" w:bottom="1440" w:gutter="0" w:footer="0" w:header="0"/>
        </w:sectPr>
      </w:pPr>
    </w:p>
    <w:bookmarkStart w:id="93" w:name="page94"/>
    <w:bookmarkEnd w:id="9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ACCUMULATED OTHER COMPREHENSIVE LOSS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is a roll-forward of the components of accumulated other comprehensive loss, net of tax, for the years ended April 2, 2016 and March 28, 2015:</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Net Unrealized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2"/>
              </w:rPr>
              <w:t>Foreign currency</w:t>
            </w:r>
          </w:p>
        </w:tc>
        <w:tc>
          <w:tcPr>
            <w:tcW w:w="100" w:type="dxa"/>
            <w:vAlign w:val="bottom"/>
            <w:vMerge w:val="restart"/>
          </w:tcPr>
          <w:p>
            <w:pPr>
              <w:spacing w:after="0"/>
              <w:rPr>
                <w:sz w:val="12"/>
                <w:szCs w:val="12"/>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Defined benefit plans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Gain/loss on</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3"/>
              </w:rPr>
              <w:t>Derivatives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Balance as of March 29, 2014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21"/>
                <w:szCs w:val="21"/>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(4,592)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2,804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(16,749)</w:t>
            </w:r>
          </w:p>
        </w:tc>
        <w:tc>
          <w:tcPr>
            <w:tcW w:w="0" w:type="dxa"/>
            <w:vAlign w:val="bottom"/>
          </w:tcPr>
          <w:p>
            <w:pPr>
              <w:spacing w:after="0"/>
              <w:rPr>
                <w:sz w:val="1"/>
                <w:szCs w:val="1"/>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Amounts reclassified from accumulated other comprehensive loss</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(23,134)</w:t>
            </w:r>
          </w:p>
        </w:tc>
        <w:tc>
          <w:tcPr>
            <w:tcW w:w="0" w:type="dxa"/>
            <w:vAlign w:val="bottom"/>
          </w:tcPr>
          <w:p>
            <w:pPr>
              <w:spacing w:after="0"/>
              <w:rPr>
                <w:sz w:val="1"/>
                <w:szCs w:val="1"/>
                <w:color w:val="auto"/>
              </w:rPr>
            </w:pPr>
          </w:p>
        </w:tc>
      </w:tr>
      <w:tr>
        <w:trPr>
          <w:trHeight w:val="237"/>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Balance as of March 28, 2015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(20,512)</w:t>
            </w:r>
          </w:p>
        </w:tc>
        <w:tc>
          <w:tcPr>
            <w:tcW w:w="100" w:type="dxa"/>
            <w:vAlign w:val="bottom"/>
          </w:tcPr>
          <w:p>
            <w:pPr>
              <w:spacing w:after="0"/>
              <w:rPr>
                <w:sz w:val="20"/>
                <w:szCs w:val="20"/>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7,711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(21,724)</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0" w:type="dxa"/>
            <w:vAlign w:val="bottom"/>
          </w:tcPr>
          <w:p>
            <w:pPr>
              <w:spacing w:after="0"/>
              <w:rPr>
                <w:sz w:val="1"/>
                <w:szCs w:val="1"/>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Amounts reclassified from accumulated other comprehensive loss</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(8,275)</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(13,316)</w:t>
            </w:r>
          </w:p>
        </w:tc>
        <w:tc>
          <w:tcPr>
            <w:tcW w:w="0" w:type="dxa"/>
            <w:vAlign w:val="bottom"/>
          </w:tcPr>
          <w:p>
            <w:pPr>
              <w:spacing w:after="0"/>
              <w:rPr>
                <w:sz w:val="1"/>
                <w:szCs w:val="1"/>
                <w:color w:val="auto"/>
              </w:rPr>
            </w:pPr>
          </w:p>
        </w:tc>
      </w:tr>
      <w:tr>
        <w:trPr>
          <w:trHeight w:val="257"/>
        </w:trPr>
        <w:tc>
          <w:tcPr>
            <w:tcW w:w="560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April 2, 2016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(22,499)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(7,492)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(5,049)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(35,040)</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details about the amount reclassified from accumulated other comprehensive loss for the years ended April 2, 2016 and March 28, 2015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5"/>
          </w:tcPr>
          <w:p>
            <w:pPr>
              <w:jc w:val="right"/>
              <w:ind w:right="73"/>
              <w:spacing w:after="0"/>
              <w:rPr>
                <w:sz w:val="20"/>
                <w:szCs w:val="20"/>
                <w:color w:val="auto"/>
              </w:rPr>
            </w:pPr>
            <w:r>
              <w:rPr>
                <w:rFonts w:ascii="Arial" w:cs="Arial" w:eastAsia="Arial" w:hAnsi="Arial"/>
                <w:sz w:val="14"/>
                <w:szCs w:val="14"/>
                <w:b w:val="1"/>
                <w:bCs w:val="1"/>
                <w:color w:val="auto"/>
                <w:w w:val="97"/>
              </w:rPr>
              <w:t>Amounts Reclassified from Accumulated</w:t>
            </w:r>
          </w:p>
        </w:tc>
        <w:tc>
          <w:tcPr>
            <w:tcW w:w="2960" w:type="dxa"/>
            <w:vAlign w:val="bottom"/>
          </w:tcPr>
          <w:p>
            <w:pPr>
              <w:ind w:left="920"/>
              <w:spacing w:after="0"/>
              <w:rPr>
                <w:sz w:val="20"/>
                <w:szCs w:val="20"/>
                <w:color w:val="auto"/>
              </w:rPr>
            </w:pPr>
            <w:r>
              <w:rPr>
                <w:rFonts w:ascii="Arial" w:cs="Arial" w:eastAsia="Arial" w:hAnsi="Arial"/>
                <w:sz w:val="14"/>
                <w:szCs w:val="14"/>
                <w:b w:val="1"/>
                <w:bCs w:val="1"/>
                <w:color w:val="auto"/>
              </w:rPr>
              <w:t>Affected Line in the</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Other Comprehensive Loss</w:t>
            </w:r>
          </w:p>
        </w:tc>
        <w:tc>
          <w:tcPr>
            <w:tcW w:w="296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Statement of (Loss) Income</w:t>
            </w:r>
          </w:p>
        </w:tc>
        <w:tc>
          <w:tcPr>
            <w:tcW w:w="0" w:type="dxa"/>
            <w:vAlign w:val="bottom"/>
          </w:tcPr>
          <w:p>
            <w:pPr>
              <w:spacing w:after="0"/>
              <w:rPr>
                <w:sz w:val="1"/>
                <w:szCs w:val="1"/>
                <w:color w:val="auto"/>
              </w:rPr>
            </w:pPr>
          </w:p>
        </w:tc>
      </w:tr>
      <w:tr>
        <w:trPr>
          <w:trHeight w:val="152"/>
        </w:trPr>
        <w:tc>
          <w:tcPr>
            <w:tcW w:w="5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 instruments reclassified to income statement</w:t>
            </w:r>
          </w:p>
        </w:tc>
        <w:tc>
          <w:tcPr>
            <w:tcW w:w="148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Year ended April 2,</w:t>
            </w:r>
          </w:p>
        </w:tc>
        <w:tc>
          <w:tcPr>
            <w:tcW w:w="1360" w:type="dxa"/>
            <w:vAlign w:val="bottom"/>
            <w:gridSpan w:val="2"/>
          </w:tcPr>
          <w:p>
            <w:pPr>
              <w:jc w:val="right"/>
              <w:ind w:right="13"/>
              <w:spacing w:after="0" w:line="153" w:lineRule="exact"/>
              <w:rPr>
                <w:sz w:val="20"/>
                <w:szCs w:val="20"/>
                <w:color w:val="auto"/>
              </w:rPr>
            </w:pPr>
            <w:r>
              <w:rPr>
                <w:rFonts w:ascii="Arial" w:cs="Arial" w:eastAsia="Arial" w:hAnsi="Arial"/>
                <w:sz w:val="14"/>
                <w:szCs w:val="14"/>
                <w:b w:val="1"/>
                <w:bCs w:val="1"/>
                <w:color w:val="auto"/>
              </w:rPr>
              <w:t>Year ended March</w:t>
            </w:r>
          </w:p>
        </w:tc>
        <w:tc>
          <w:tcPr>
            <w:tcW w:w="2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33"/>
              <w:spacing w:after="0"/>
              <w:rPr>
                <w:sz w:val="20"/>
                <w:szCs w:val="20"/>
                <w:color w:val="auto"/>
              </w:rPr>
            </w:pPr>
            <w:r>
              <w:rPr>
                <w:rFonts w:ascii="Arial" w:cs="Arial" w:eastAsia="Arial" w:hAnsi="Arial"/>
                <w:sz w:val="14"/>
                <w:szCs w:val="14"/>
                <w:b w:val="1"/>
                <w:bCs w:val="1"/>
                <w:color w:val="auto"/>
              </w:rPr>
              <w:t>28, 2015</w:t>
            </w: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revenues, cost of goods sold,</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Realized net gain on derivatives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8,654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6,736</w:t>
            </w:r>
          </w:p>
        </w:tc>
        <w:tc>
          <w:tcPr>
            <w:tcW w:w="2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expense, net</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tax effect</w:t>
            </w:r>
          </w:p>
        </w:tc>
        <w:tc>
          <w:tcPr>
            <w:tcW w:w="36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w:t>
            </w:r>
          </w:p>
        </w:tc>
        <w:tc>
          <w:tcPr>
            <w:tcW w:w="2960" w:type="dxa"/>
            <w:vAlign w:val="bottom"/>
          </w:tcPr>
          <w:p>
            <w:pPr>
              <w:ind w:left="14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of taxes</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8,822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6,464</w:t>
            </w:r>
          </w:p>
        </w:tc>
        <w:tc>
          <w:tcPr>
            <w:tcW w:w="2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Pension items reclassified to income statement</w:t>
            </w: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Realized net loss on pension assets</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123</w:t>
            </w:r>
          </w:p>
        </w:tc>
        <w:tc>
          <w:tcPr>
            <w:tcW w:w="2960" w:type="dxa"/>
            <w:vAlign w:val="bottom"/>
          </w:tcPr>
          <w:p>
            <w:pPr>
              <w:ind w:left="140"/>
              <w:spacing w:after="0"/>
              <w:rPr>
                <w:sz w:val="20"/>
                <w:szCs w:val="20"/>
                <w:color w:val="auto"/>
              </w:rPr>
            </w:pPr>
            <w:r>
              <w:rPr>
                <w:rFonts w:ascii="Arial" w:cs="Arial" w:eastAsia="Arial" w:hAnsi="Arial"/>
                <w:sz w:val="18"/>
                <w:szCs w:val="18"/>
                <w:color w:val="auto"/>
              </w:rPr>
              <w:t>Other expense, net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effect</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5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of taxes</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547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79</w:t>
            </w:r>
          </w:p>
        </w:tc>
        <w:tc>
          <w:tcPr>
            <w:tcW w:w="2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92</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ind w:right="1140"/>
        <w:spacing w:after="0" w:line="423"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of the end of the period covered by this report, we conducted an evaluation under the supervision and with the participation of our management, including our Interim Chief Executive Officer and Chief Financial Officer (our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Interim Chief Executive Officer and Chief Financial Officer concluded that, due to a material weakness in our internal control over financial reporting for income taxes described below, our disclosure controls and procedures were not effective as of April 2, 2016.</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on Internal Control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Management’s Annual Report on Internal Control over Financial Reporting</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management of the Company is responsible for establishing and maintaining adequate internal control over financial reporting, as such term is defined in Exchange Act Rules 13a-15(f) and 15d-a5(f). The Company’s internal control system was designed to provide reasonable assurance to the Company’s management and Board of Directors regarding the preparation and fair presentation of published financial statements.</w:t>
      </w:r>
    </w:p>
    <w:p>
      <w:pPr>
        <w:spacing w:after="0" w:line="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become inadequate because of changes in conditions, or that the degree of compliance with the policies or procedures may deteriorate.</w:t>
      </w:r>
    </w:p>
    <w:p>
      <w:pPr>
        <w:spacing w:after="0" w:line="8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Company’s management assessed the effectiveness of its internal control over financial reporting as of April 2, 2016. In making this assessment, the management used the criteria set forth by the Committee of Sponsoring Organizations of the Treadway Commission (COSO) in Internal Control-Integrated Framework (2013 framework). Based on our assessment, the Company's management identified a material weakness in our internal control over financial reporting relating to the accounting for income taxes. This weakness stemmed from issues associated with the transition from utilizing tax consultants to establishing expanded in-house tax capabilities and resources, as well as issues in the design and implementation of controls to review and analyze the Company's income tax provisions, income taxes payable and receivable, and deferred income tax balances. We are continuing to build our tax accounting resources and are implementing reconciliations and review processes in response to this weakness. We are developing and implementing new control processes and procedures to address this weakness and also to ensure that we become compliant with the requirements of Section 404 of the Sarbanes-Oxley Act of 2002 as required.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We are undertaking steps to strengthen our controls over accounting for income taxes, including:</w:t>
      </w:r>
    </w:p>
    <w:p>
      <w:pPr>
        <w:spacing w:after="0" w:line="13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oversight by our management in the calculation and reporting of certain tax balances of our non-U.S.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Enhancing policies and procedures relating to account reconciliation and analysis;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Augmenting our tax accounting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communication to information providers for tax jurisdiction specific information;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Strengthening communication and information flows between the tax department and the controllers group.</w:t>
      </w:r>
    </w:p>
    <w:p>
      <w:pPr>
        <w:spacing w:after="0" w:line="11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control deficiencies described above resulted in certain material and immaterial misstatements in the preliminary financial statement accounts that were corrected prior to the issuance of the annual consolidated financial statements. The control deficiencies create a possibility that a material misstatement to our consolidated financial statements will not be prevented or detected on a timely basis, and therefore we concluded that the deficiencies represent a material weakness in our internal control over financial reporting and our internal control over financial reporting for income taxes is not effective as of April 2, 2016.</w:t>
      </w:r>
    </w:p>
    <w:p>
      <w:pPr>
        <w:spacing w:after="0" w:line="6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Our material weakness in controls over accounting for income taxes will not be considered remediated until new internal controls are operational for a period of time and are tested, and management and our independent registered public accounting firm conclude that these controls are operating effectively.</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130" w:right="29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the effectiveness of our internal control over financial reporting. This report, in which they expressed an adverse opinion, is included below.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than the identification of the material weakness described above, there were no changes in the Company’s internal control over financial reporting that occurred during the fourth quarter of the Company’s most recently completed fiscal year that materially affected, or are reasonably likely to materially affect, the Company’s internal control over financial reporting.</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40"/>
          </w:cols>
          <w:pgMar w:left="240" w:top="130" w:right="31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Haemonetics Corporation</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have audited Haemonetics Corporation and subsidiaries’ internal control over financial reporting as of April 2, 2016, based on criteria established in Internal Control-Integrated Framework issued by the Committee of Sponsoring Organizations of the Treadway Commission (2013 framework), (the COSO criteria). Haemonetics Corporation and subsidiaries’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58"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identified a material weakness in internal control over financial reporting relating to the accounting for income taxes, stemming from issues in the design and implementation of controls to review and analyze the Company's income tax provisions, income taxes payable and receivable, and deferred income tax balances. We also have audited, in accordance with the standards of the Public Company Accounting Oversight Board (United States), the consolidated statements of (loss) income, comprehensive (loss) income, stockholders' equity and cash flows for each of the three years in the period ended April 2, 2016. This material weakness was considered in determining the nature, timing and extent of audit tests applied in our audit of the 2016 financial statements, and this report does not affect our report dated June 1, 2016, which expressed an unqualified opinion on those financial statements.</w:t>
      </w:r>
    </w:p>
    <w:p>
      <w:pPr>
        <w:spacing w:after="0" w:line="182"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In our opinion, because of the effect of the material weakness described above on the achievement of the objectives of the control criteria, Haemonetics Corporation and subsidiaries has not maintained effective internal control over financial reporting as of April 2, 2016, based on the COSO criteria.</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 2016</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130" w:right="279" w:bottom="1440" w:gutter="0" w:footer="0" w:header="0"/>
        </w:sectPr>
      </w:pPr>
    </w:p>
    <w:bookmarkStart w:id="97" w:name="page98"/>
    <w:bookmarkEnd w:id="9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 AND CORPORATE GOVERNANCE</w:t>
      </w:r>
    </w:p>
    <w:p>
      <w:pPr>
        <w:spacing w:after="0" w:line="135" w:lineRule="exact"/>
        <w:rPr>
          <w:sz w:val="20"/>
          <w:szCs w:val="20"/>
          <w:color w:val="auto"/>
        </w:rPr>
      </w:pPr>
    </w:p>
    <w:p>
      <w:pPr>
        <w:ind w:right="240" w:firstLine="440"/>
        <w:spacing w:after="0" w:line="264" w:lineRule="auto"/>
        <w:tabs>
          <w:tab w:leader="none" w:pos="60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called for by Item 401 of Regulations S-K concerning our directors and the information called for by Item 405 of Regulation S-K concerning compliance with Section 16(a) of the Securities Exchange Act of 1934 required by this Item is incorporated by reference from our Proxy Statement for the Annual Meeting to be held July 21, 2016.</w:t>
      </w:r>
    </w:p>
    <w:p>
      <w:pPr>
        <w:spacing w:after="0" w:line="86" w:lineRule="exact"/>
        <w:rPr>
          <w:rFonts w:ascii="Arial" w:cs="Arial" w:eastAsia="Arial" w:hAnsi="Arial"/>
          <w:sz w:val="18"/>
          <w:szCs w:val="18"/>
          <w:color w:val="auto"/>
        </w:rPr>
      </w:pPr>
    </w:p>
    <w:p>
      <w:pPr>
        <w:ind w:left="620" w:hanging="180"/>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concerning our Executive Officers is set forth at the end of Part I hereof.</w:t>
      </w:r>
    </w:p>
    <w:p>
      <w:pPr>
        <w:spacing w:after="0" w:line="130" w:lineRule="exact"/>
        <w:rPr>
          <w:rFonts w:ascii="Arial" w:cs="Arial" w:eastAsia="Arial" w:hAnsi="Arial"/>
          <w:sz w:val="18"/>
          <w:szCs w:val="18"/>
          <w:color w:val="auto"/>
        </w:rPr>
      </w:pPr>
    </w:p>
    <w:p>
      <w:pPr>
        <w:ind w:firstLine="440"/>
        <w:spacing w:after="0" w:line="297" w:lineRule="auto"/>
        <w:tabs>
          <w:tab w:leader="none" w:pos="609"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The balance of the information required by this item, including information concerning our Audit Committee and the Audit Committee Financial Expert and compliance with Item 407(c)(3) of S-K, is incorporated by reference from the Company’s Proxy Statement for the Annual Meeting to be held July 21, 2016. We have adopted a Code of Ethics that applies to our chief executive officer, chief financial officer and senior financial officers. The Code of Ethics is incorporated into the Company’s Code of Business Conduct located on the Company’s internet web site at </w:t>
      </w:r>
      <w:r>
        <w:rPr>
          <w:rFonts w:ascii="Arial" w:cs="Arial" w:eastAsia="Arial" w:hAnsi="Arial"/>
          <w:sz w:val="16"/>
          <w:szCs w:val="16"/>
          <w:u w:val="single" w:color="auto"/>
          <w:color w:val="003399"/>
        </w:rPr>
        <w:t>http://phx.corporate-ir.net/phoenix.zhtml?</w:t>
      </w:r>
      <w:r>
        <w:rPr>
          <w:rFonts w:ascii="Arial" w:cs="Arial" w:eastAsia="Arial" w:hAnsi="Arial"/>
          <w:sz w:val="16"/>
          <w:szCs w:val="16"/>
          <w:color w:val="auto"/>
        </w:rPr>
        <w:t xml:space="preserve"> </w:t>
      </w:r>
      <w:r>
        <w:rPr>
          <w:rFonts w:ascii="Arial" w:cs="Arial" w:eastAsia="Arial" w:hAnsi="Arial"/>
          <w:sz w:val="16"/>
          <w:szCs w:val="16"/>
          <w:u w:val="single" w:color="auto"/>
          <w:color w:val="003399"/>
        </w:rPr>
        <w:t>c=72118&amp;p=irol-IRHome</w:t>
      </w:r>
      <w:r>
        <w:rPr>
          <w:rFonts w:ascii="Arial" w:cs="Arial" w:eastAsia="Arial" w:hAnsi="Arial"/>
          <w:sz w:val="16"/>
          <w:szCs w:val="16"/>
          <w:color w:val="003399"/>
        </w:rPr>
        <w:t xml:space="preserve"> </w:t>
      </w:r>
      <w:r>
        <w:rPr>
          <w:rFonts w:ascii="Arial" w:cs="Arial" w:eastAsia="Arial" w:hAnsi="Arial"/>
          <w:sz w:val="16"/>
          <w:szCs w:val="16"/>
          <w:color w:val="000000"/>
        </w:rPr>
        <w:t>and it is available in print to any shareholder who requests it. Such requests should be directed to our Company’s Secretary.</w:t>
      </w:r>
    </w:p>
    <w:p>
      <w:pPr>
        <w:spacing w:after="0" w:line="6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intend to disclose any amendment to, or waiver from, a provision of the Code of Ethics that applies to our chief executive officer, chief financial officer or senior financial officers and that relates to any element of the Code of Ethics definition enumerated in Item 406 of Regulation S-K by posting such information on our website. Pursuant to NYSE Rule 303A.10, as amended, any waiver of the code of ethics for any executive officer or director must be disclosed within four business days by a press release, SEC Form 8-K, or internet posting.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3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information required by this Item is incorporated by reference from our Proxy Statement for the Annual Meeting to be held July 21, 2016. Notwithstanding the foregoing, the Compensation Committee Report included within the Proxy Statement is only being “furnished” hereunder and shall not be deemed “filed” for purposes of Section 18 of the Securities and Exchange Act of 1934.</w:t>
      </w:r>
    </w:p>
    <w:p>
      <w:pPr>
        <w:spacing w:after="0" w:line="231"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by reference from the Company’s Proxy Statement for the Annual Meeting to be held July 21, 2016.</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INDEPEDENCE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our Proxy Statement for the Annual Meeting to be held July 21,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our Proxy Statement for the Annual Meeting to be held July 21, 2016.</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130" w:right="279" w:bottom="1440" w:gutter="0" w:footer="0" w:header="0"/>
        </w:sectPr>
      </w:pPr>
    </w:p>
    <w:bookmarkStart w:id="98" w:name="page99"/>
    <w:bookmarkEnd w:id="9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gridSpan w:val="2"/>
          </w:tcPr>
          <w:p>
            <w:pPr>
              <w:spacing w:after="0"/>
              <w:rPr>
                <w:sz w:val="20"/>
                <w:szCs w:val="20"/>
                <w:color w:val="auto"/>
              </w:rPr>
            </w:pPr>
            <w:r>
              <w:rPr>
                <w:rFonts w:ascii="Arial" w:cs="Arial" w:eastAsia="Arial" w:hAnsi="Arial"/>
                <w:sz w:val="18"/>
                <w:szCs w:val="18"/>
                <w:b w:val="1"/>
                <w:bCs w:val="1"/>
                <w:color w:val="auto"/>
              </w:rPr>
              <w:t>A)</w:t>
            </w:r>
          </w:p>
        </w:tc>
        <w:tc>
          <w:tcPr>
            <w:tcW w:w="7660" w:type="dxa"/>
            <w:vAlign w:val="bottom"/>
            <w:gridSpan w:val="9"/>
          </w:tcPr>
          <w:p>
            <w:pPr>
              <w:ind w:left="320"/>
              <w:spacing w:after="0"/>
              <w:rPr>
                <w:sz w:val="20"/>
                <w:szCs w:val="20"/>
                <w:color w:val="auto"/>
              </w:rPr>
            </w:pPr>
            <w:r>
              <w:rPr>
                <w:rFonts w:ascii="Arial" w:cs="Arial" w:eastAsia="Arial" w:hAnsi="Arial"/>
                <w:sz w:val="18"/>
                <w:szCs w:val="18"/>
                <w:b w:val="1"/>
                <w:bCs w:val="1"/>
                <w:color w:val="auto"/>
              </w:rPr>
              <w:t>Financial Statements are included in Part II of this report</w:t>
            </w: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92"/>
        </w:trPr>
        <w:tc>
          <w:tcPr>
            <w:tcW w:w="8180" w:type="dxa"/>
            <w:vAlign w:val="bottom"/>
            <w:gridSpan w:val="11"/>
          </w:tcPr>
          <w:p>
            <w:pPr>
              <w:ind w:left="40"/>
              <w:spacing w:after="0"/>
              <w:rPr>
                <w:sz w:val="20"/>
                <w:szCs w:val="20"/>
                <w:color w:val="auto"/>
              </w:rPr>
            </w:pPr>
            <w:r>
              <w:rPr>
                <w:rFonts w:ascii="Arial" w:cs="Arial" w:eastAsia="Arial" w:hAnsi="Arial"/>
                <w:sz w:val="18"/>
                <w:szCs w:val="18"/>
                <w:color w:val="auto"/>
              </w:rPr>
              <w:t>Financial Statements required by Item 8 of this Form</w:t>
            </w: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8000" w:type="dxa"/>
            <w:vAlign w:val="bottom"/>
            <w:gridSpan w:val="10"/>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Report of Independent Registered Public Accounting Firm</w:t>
              </w:r>
            </w:hyperlink>
          </w:p>
        </w:tc>
        <w:tc>
          <w:tcPr>
            <w:tcW w:w="3160" w:type="dxa"/>
            <w:vAlign w:val="bottom"/>
            <w:gridSpan w:val="3"/>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0"/>
        </w:trPr>
        <w:tc>
          <w:tcPr>
            <w:tcW w:w="18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060" w:type="dxa"/>
            <w:vAlign w:val="bottom"/>
            <w:gridSpan w:val="5"/>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Consolidated Statements of (Loss) Income</w:t>
              </w:r>
            </w:hyperlink>
          </w:p>
        </w:tc>
        <w:tc>
          <w:tcPr>
            <w:tcW w:w="1140" w:type="dxa"/>
            <w:vAlign w:val="bottom"/>
            <w:gridSpan w:val="3"/>
          </w:tcPr>
          <w:p>
            <w:pPr>
              <w:spacing w:after="0"/>
              <w:rPr>
                <w:sz w:val="21"/>
                <w:szCs w:val="21"/>
                <w:color w:val="auto"/>
              </w:rPr>
            </w:pPr>
          </w:p>
        </w:tc>
        <w:tc>
          <w:tcPr>
            <w:tcW w:w="3800" w:type="dxa"/>
            <w:vAlign w:val="bottom"/>
            <w:gridSpan w:val="2"/>
          </w:tcPr>
          <w:p>
            <w:pPr>
              <w:spacing w:after="0"/>
              <w:rPr>
                <w:sz w:val="21"/>
                <w:szCs w:val="21"/>
                <w:color w:val="auto"/>
              </w:rPr>
            </w:pPr>
          </w:p>
        </w:tc>
        <w:tc>
          <w:tcPr>
            <w:tcW w:w="3160" w:type="dxa"/>
            <w:vAlign w:val="bottom"/>
            <w:gridSpan w:val="3"/>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18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240" w:type="dxa"/>
            <w:vAlign w:val="bottom"/>
            <w:gridSpan w:val="9"/>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Consolidated Statements of Comprehensive (Loss) Income</w:t>
              </w:r>
            </w:hyperlink>
          </w:p>
        </w:tc>
        <w:tc>
          <w:tcPr>
            <w:tcW w:w="3760" w:type="dxa"/>
            <w:vAlign w:val="bottom"/>
          </w:tcPr>
          <w:p>
            <w:pPr>
              <w:spacing w:after="0"/>
              <w:rPr>
                <w:sz w:val="21"/>
                <w:szCs w:val="21"/>
                <w:color w:val="auto"/>
              </w:rPr>
            </w:pPr>
          </w:p>
        </w:tc>
        <w:tc>
          <w:tcPr>
            <w:tcW w:w="3160" w:type="dxa"/>
            <w:vAlign w:val="bottom"/>
            <w:gridSpan w:val="3"/>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r>
      <w:tr>
        <w:trPr>
          <w:trHeight w:val="20"/>
        </w:trPr>
        <w:tc>
          <w:tcPr>
            <w:tcW w:w="18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080" w:type="dxa"/>
            <w:vAlign w:val="bottom"/>
            <w:gridSpan w:val="2"/>
          </w:tcPr>
          <w:p>
            <w:pPr>
              <w:spacing w:after="0"/>
              <w:rPr>
                <w:rFonts w:ascii="Arial" w:cs="Arial" w:eastAsia="Arial" w:hAnsi="Arial"/>
                <w:sz w:val="18"/>
                <w:szCs w:val="18"/>
                <w:color w:val="0000EE"/>
                <w:w w:val="87"/>
              </w:rPr>
            </w:pPr>
            <w:hyperlink w:anchor="page52">
              <w:r>
                <w:rPr>
                  <w:rFonts w:ascii="Arial" w:cs="Arial" w:eastAsia="Arial" w:hAnsi="Arial"/>
                  <w:sz w:val="18"/>
                  <w:szCs w:val="18"/>
                  <w:color w:val="0000EE"/>
                  <w:w w:val="87"/>
                </w:rPr>
                <w:t>Consolidated Balance Sheets</w:t>
              </w:r>
            </w:hyperlink>
          </w:p>
        </w:tc>
        <w:tc>
          <w:tcPr>
            <w:tcW w:w="2160" w:type="dxa"/>
            <w:vAlign w:val="bottom"/>
            <w:gridSpan w:val="7"/>
          </w:tcPr>
          <w:p>
            <w:pPr>
              <w:spacing w:after="0"/>
              <w:rPr>
                <w:sz w:val="21"/>
                <w:szCs w:val="21"/>
                <w:color w:val="auto"/>
              </w:rPr>
            </w:pPr>
          </w:p>
        </w:tc>
        <w:tc>
          <w:tcPr>
            <w:tcW w:w="3760" w:type="dxa"/>
            <w:vAlign w:val="bottom"/>
          </w:tcPr>
          <w:p>
            <w:pPr>
              <w:spacing w:after="0"/>
              <w:rPr>
                <w:sz w:val="21"/>
                <w:szCs w:val="21"/>
                <w:color w:val="auto"/>
              </w:rPr>
            </w:pPr>
          </w:p>
        </w:tc>
        <w:tc>
          <w:tcPr>
            <w:tcW w:w="3160" w:type="dxa"/>
            <w:vAlign w:val="bottom"/>
            <w:gridSpan w:val="3"/>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20"/>
        </w:trPr>
        <w:tc>
          <w:tcPr>
            <w:tcW w:w="18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540" w:type="dxa"/>
            <w:vAlign w:val="bottom"/>
            <w:gridSpan w:val="7"/>
          </w:tcPr>
          <w:p>
            <w:pPr>
              <w:spacing w:after="0"/>
              <w:rPr>
                <w:rFonts w:ascii="Arial" w:cs="Arial" w:eastAsia="Arial" w:hAnsi="Arial"/>
                <w:sz w:val="18"/>
                <w:szCs w:val="18"/>
                <w:color w:val="0000FF"/>
                <w:w w:val="90"/>
              </w:rPr>
            </w:pPr>
            <w:hyperlink w:anchor="page53">
              <w:r>
                <w:rPr>
                  <w:rFonts w:ascii="Arial" w:cs="Arial" w:eastAsia="Arial" w:hAnsi="Arial"/>
                  <w:sz w:val="18"/>
                  <w:szCs w:val="18"/>
                  <w:color w:val="0000FF"/>
                  <w:w w:val="90"/>
                </w:rPr>
                <w:t xml:space="preserve">Consolidated Statements of Stockholders’ </w:t>
              </w:r>
            </w:hyperlink>
            <w:r>
              <w:rPr>
                <w:rFonts w:ascii="Arial" w:cs="Arial" w:eastAsia="Arial" w:hAnsi="Arial"/>
                <w:sz w:val="18"/>
                <w:szCs w:val="18"/>
                <w:color w:val="0000FF"/>
                <w:w w:val="90"/>
              </w:rPr>
              <w:t>Equity</w:t>
            </w:r>
          </w:p>
        </w:tc>
        <w:tc>
          <w:tcPr>
            <w:tcW w:w="4460" w:type="dxa"/>
            <w:vAlign w:val="bottom"/>
            <w:gridSpan w:val="3"/>
          </w:tcPr>
          <w:p>
            <w:pPr>
              <w:spacing w:after="0"/>
              <w:rPr>
                <w:sz w:val="21"/>
                <w:szCs w:val="21"/>
                <w:color w:val="auto"/>
              </w:rPr>
            </w:pPr>
          </w:p>
        </w:tc>
        <w:tc>
          <w:tcPr>
            <w:tcW w:w="3160" w:type="dxa"/>
            <w:vAlign w:val="bottom"/>
            <w:gridSpan w:val="3"/>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860" w:type="dxa"/>
            <w:vAlign w:val="bottom"/>
            <w:gridSpan w:val="4"/>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Consolidated Statements of Cash Flows</w:t>
              </w:r>
            </w:hyperlink>
          </w:p>
        </w:tc>
        <w:tc>
          <w:tcPr>
            <w:tcW w:w="680" w:type="dxa"/>
            <w:vAlign w:val="bottom"/>
            <w:gridSpan w:val="3"/>
          </w:tcPr>
          <w:p>
            <w:pPr>
              <w:spacing w:after="0"/>
              <w:rPr>
                <w:sz w:val="21"/>
                <w:szCs w:val="21"/>
                <w:color w:val="auto"/>
              </w:rPr>
            </w:pPr>
          </w:p>
        </w:tc>
        <w:tc>
          <w:tcPr>
            <w:tcW w:w="4460" w:type="dxa"/>
            <w:vAlign w:val="bottom"/>
            <w:gridSpan w:val="3"/>
          </w:tcPr>
          <w:p>
            <w:pPr>
              <w:spacing w:after="0"/>
              <w:rPr>
                <w:sz w:val="21"/>
                <w:szCs w:val="21"/>
                <w:color w:val="auto"/>
              </w:rPr>
            </w:pPr>
          </w:p>
        </w:tc>
        <w:tc>
          <w:tcPr>
            <w:tcW w:w="3160" w:type="dxa"/>
            <w:vAlign w:val="bottom"/>
            <w:gridSpan w:val="3"/>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20"/>
        </w:trPr>
        <w:tc>
          <w:tcPr>
            <w:tcW w:w="18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140" w:type="dxa"/>
            <w:vAlign w:val="bottom"/>
            <w:gridSpan w:val="6"/>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Notes to Consolidated Financial Statements</w:t>
              </w:r>
            </w:hyperlink>
          </w:p>
        </w:tc>
        <w:tc>
          <w:tcPr>
            <w:tcW w:w="4860" w:type="dxa"/>
            <w:vAlign w:val="bottom"/>
            <w:gridSpan w:val="4"/>
          </w:tcPr>
          <w:p>
            <w:pPr>
              <w:spacing w:after="0"/>
              <w:rPr>
                <w:sz w:val="21"/>
                <w:szCs w:val="21"/>
                <w:color w:val="auto"/>
              </w:rPr>
            </w:pPr>
          </w:p>
        </w:tc>
        <w:tc>
          <w:tcPr>
            <w:tcW w:w="3160" w:type="dxa"/>
            <w:vAlign w:val="bottom"/>
            <w:gridSpan w:val="3"/>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53</w:t>
              </w:r>
            </w:hyperlink>
          </w:p>
        </w:tc>
      </w:tr>
      <w:tr>
        <w:trPr>
          <w:trHeight w:val="20"/>
        </w:trPr>
        <w:tc>
          <w:tcPr>
            <w:tcW w:w="18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91"/>
        </w:trPr>
        <w:tc>
          <w:tcPr>
            <w:tcW w:w="8180" w:type="dxa"/>
            <w:vAlign w:val="bottom"/>
            <w:gridSpan w:val="11"/>
          </w:tcPr>
          <w:p>
            <w:pPr>
              <w:spacing w:after="0"/>
              <w:rPr>
                <w:sz w:val="20"/>
                <w:szCs w:val="20"/>
                <w:color w:val="auto"/>
              </w:rPr>
            </w:pPr>
            <w:r>
              <w:rPr>
                <w:rFonts w:ascii="Arial" w:cs="Arial" w:eastAsia="Arial" w:hAnsi="Arial"/>
                <w:sz w:val="18"/>
                <w:szCs w:val="18"/>
                <w:color w:val="auto"/>
              </w:rPr>
              <w:t>Schedules required by Article 12 of Regulation S-X</w:t>
            </w: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27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04">
              <w:r>
                <w:rPr>
                  <w:rFonts w:ascii="Arial" w:cs="Arial" w:eastAsia="Arial" w:hAnsi="Arial"/>
                  <w:sz w:val="18"/>
                  <w:szCs w:val="18"/>
                  <w:color w:val="0000EE"/>
                  <w:w w:val="92"/>
                </w:rPr>
                <w:t>II Valuation and Qualifying Accounts</w:t>
              </w:r>
            </w:hyperlink>
          </w:p>
        </w:tc>
        <w:tc>
          <w:tcPr>
            <w:tcW w:w="5300" w:type="dxa"/>
            <w:vAlign w:val="bottom"/>
            <w:gridSpan w:val="7"/>
          </w:tcPr>
          <w:p>
            <w:pPr>
              <w:spacing w:after="0"/>
              <w:rPr>
                <w:sz w:val="19"/>
                <w:szCs w:val="19"/>
                <w:color w:val="auto"/>
              </w:rPr>
            </w:pPr>
          </w:p>
        </w:tc>
        <w:tc>
          <w:tcPr>
            <w:tcW w:w="2880" w:type="dxa"/>
            <w:vAlign w:val="bottom"/>
          </w:tcPr>
          <w:p>
            <w:pPr>
              <w:spacing w:after="0"/>
              <w:rPr>
                <w:sz w:val="19"/>
                <w:szCs w:val="19"/>
                <w:color w:val="auto"/>
              </w:rPr>
            </w:pPr>
          </w:p>
        </w:tc>
        <w:tc>
          <w:tcPr>
            <w:tcW w:w="280" w:type="dxa"/>
            <w:vAlign w:val="bottom"/>
            <w:tcBorders>
              <w:bottom w:val="single" w:sz="8" w:color="0000EE"/>
            </w:tcBorders>
            <w:gridSpan w:val="2"/>
          </w:tcPr>
          <w:p>
            <w:pPr>
              <w:jc w:val="right"/>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102</w:t>
              </w:r>
            </w:hyperlink>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All other schedules have been omitted because they are not applicable or not required.</w:t>
      </w:r>
    </w:p>
    <w:p>
      <w:pPr>
        <w:spacing w:after="0" w:line="248" w:lineRule="exact"/>
        <w:rPr>
          <w:sz w:val="20"/>
          <w:szCs w:val="20"/>
          <w:color w:val="auto"/>
        </w:rPr>
      </w:pPr>
    </w:p>
    <w:p>
      <w:pPr>
        <w:ind w:left="840" w:hanging="832"/>
        <w:spacing w:after="0"/>
        <w:tabs>
          <w:tab w:leader="none" w:pos="84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Exhibits required by Item 601 of Regulation S-K are listed in the Exhibit Index beginning at page 91, which is incorporated herein by</w:t>
      </w:r>
    </w:p>
    <w:p>
      <w:pPr>
        <w:spacing w:after="0" w:line="7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reference.</w:t>
      </w: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40"/>
          </w:cols>
          <w:pgMar w:left="240" w:top="130" w:right="319" w:bottom="1440" w:gutter="0" w:footer="0" w:header="0"/>
        </w:sectPr>
      </w:pPr>
    </w:p>
    <w:bookmarkStart w:id="99" w:name="page100"/>
    <w:bookmarkEnd w:id="9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HAEMONETICS CORPORATION</w:t>
      </w:r>
    </w:p>
    <w:p>
      <w:pPr>
        <w:spacing w:after="0" w:line="360"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/s/ Ronald Gelbman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387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Ronald Gelbman</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Director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 June 1, 2016</w:t>
      </w:r>
    </w:p>
    <w:p>
      <w:pPr>
        <w:spacing w:after="0" w:line="1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506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1140" w:type="dxa"/>
            <w:vAlign w:val="bottom"/>
          </w:tcPr>
          <w:p>
            <w:pPr>
              <w:jc w:val="center"/>
              <w:ind w:left="152"/>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471"/>
        </w:trPr>
        <w:tc>
          <w:tcPr>
            <w:tcW w:w="2820" w:type="dxa"/>
            <w:vAlign w:val="bottom"/>
          </w:tcPr>
          <w:p>
            <w:pPr>
              <w:jc w:val="center"/>
              <w:spacing w:after="0"/>
              <w:rPr>
                <w:sz w:val="20"/>
                <w:szCs w:val="20"/>
                <w:color w:val="auto"/>
              </w:rPr>
            </w:pPr>
            <w:r>
              <w:rPr>
                <w:rFonts w:ascii="Arial" w:cs="Arial" w:eastAsia="Arial" w:hAnsi="Arial"/>
                <w:sz w:val="18"/>
                <w:szCs w:val="18"/>
                <w:color w:val="auto"/>
                <w:w w:val="90"/>
              </w:rPr>
              <w:t>/s/ Ronald Gelbman</w:t>
            </w:r>
          </w:p>
        </w:tc>
        <w:tc>
          <w:tcPr>
            <w:tcW w:w="50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140" w:type="dxa"/>
            <w:vAlign w:val="bottom"/>
          </w:tcPr>
          <w:p>
            <w:pPr>
              <w:jc w:val="center"/>
              <w:ind w:left="152"/>
              <w:spacing w:after="0"/>
              <w:rPr>
                <w:sz w:val="20"/>
                <w:szCs w:val="20"/>
                <w:color w:val="auto"/>
              </w:rPr>
            </w:pPr>
            <w:r>
              <w:rPr>
                <w:rFonts w:ascii="Arial" w:cs="Arial" w:eastAsia="Arial" w:hAnsi="Arial"/>
                <w:sz w:val="18"/>
                <w:szCs w:val="18"/>
                <w:color w:val="auto"/>
                <w:w w:val="86"/>
              </w:rPr>
              <w:t>June 1, 2016</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6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Executive Officer at April 2, 2016)</w:t>
            </w: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0"/>
              </w:rPr>
              <w:t>Ronald Gelbman</w:t>
            </w:r>
          </w:p>
        </w:tc>
        <w:tc>
          <w:tcPr>
            <w:tcW w:w="506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2820" w:type="dxa"/>
            <w:vAlign w:val="bottom"/>
          </w:tcPr>
          <w:p>
            <w:pPr>
              <w:spacing w:after="0"/>
              <w:rPr>
                <w:sz w:val="24"/>
                <w:szCs w:val="24"/>
                <w:color w:val="auto"/>
              </w:rPr>
            </w:pPr>
          </w:p>
        </w:tc>
        <w:tc>
          <w:tcPr>
            <w:tcW w:w="5060" w:type="dxa"/>
            <w:vAlign w:val="bottom"/>
          </w:tcPr>
          <w:p>
            <w:pPr>
              <w:jc w:val="center"/>
              <w:spacing w:after="0"/>
              <w:rPr>
                <w:sz w:val="20"/>
                <w:szCs w:val="20"/>
                <w:color w:val="auto"/>
              </w:rPr>
            </w:pPr>
            <w:r>
              <w:rPr>
                <w:rFonts w:ascii="Arial" w:cs="Arial" w:eastAsia="Arial" w:hAnsi="Arial"/>
                <w:sz w:val="18"/>
                <w:szCs w:val="18"/>
                <w:color w:val="auto"/>
                <w:w w:val="91"/>
              </w:rPr>
              <w:t>Chief Financial Officer and Executive Vice President Business</w:t>
            </w:r>
          </w:p>
        </w:tc>
        <w:tc>
          <w:tcPr>
            <w:tcW w:w="1140" w:type="dxa"/>
            <w:vAlign w:val="bottom"/>
          </w:tcPr>
          <w:p>
            <w:pPr>
              <w:jc w:val="center"/>
              <w:ind w:left="152"/>
              <w:spacing w:after="0"/>
              <w:rPr>
                <w:sz w:val="20"/>
                <w:szCs w:val="20"/>
                <w:color w:val="auto"/>
              </w:rPr>
            </w:pPr>
            <w:r>
              <w:rPr>
                <w:rFonts w:ascii="Arial" w:cs="Arial" w:eastAsia="Arial" w:hAnsi="Arial"/>
                <w:sz w:val="18"/>
                <w:szCs w:val="18"/>
                <w:color w:val="auto"/>
                <w:w w:val="86"/>
              </w:rPr>
              <w:t>June 1, 2016</w:t>
            </w:r>
          </w:p>
        </w:tc>
        <w:tc>
          <w:tcPr>
            <w:tcW w:w="0" w:type="dxa"/>
            <w:vAlign w:val="bottom"/>
          </w:tcPr>
          <w:p>
            <w:pPr>
              <w:spacing w:after="0"/>
              <w:rPr>
                <w:sz w:val="1"/>
                <w:szCs w:val="1"/>
                <w:color w:val="auto"/>
              </w:rPr>
            </w:pPr>
          </w:p>
        </w:tc>
      </w:tr>
      <w:tr>
        <w:trPr>
          <w:trHeight w:val="230"/>
        </w:trPr>
        <w:tc>
          <w:tcPr>
            <w:tcW w:w="2820" w:type="dxa"/>
            <w:vAlign w:val="bottom"/>
          </w:tcPr>
          <w:p>
            <w:pPr>
              <w:jc w:val="center"/>
              <w:spacing w:after="0"/>
              <w:rPr>
                <w:sz w:val="20"/>
                <w:szCs w:val="20"/>
                <w:color w:val="auto"/>
              </w:rPr>
            </w:pPr>
            <w:r>
              <w:rPr>
                <w:rFonts w:ascii="Arial" w:cs="Arial" w:eastAsia="Arial" w:hAnsi="Arial"/>
                <w:sz w:val="18"/>
                <w:szCs w:val="18"/>
                <w:color w:val="auto"/>
                <w:w w:val="91"/>
              </w:rPr>
              <w:t>/s/ Christopher Lindop</w:t>
            </w:r>
          </w:p>
        </w:tc>
        <w:tc>
          <w:tcPr>
            <w:tcW w:w="5060" w:type="dxa"/>
            <w:vAlign w:val="bottom"/>
          </w:tcPr>
          <w:p>
            <w:pPr>
              <w:jc w:val="center"/>
              <w:spacing w:after="0"/>
              <w:rPr>
                <w:sz w:val="20"/>
                <w:szCs w:val="20"/>
                <w:color w:val="auto"/>
              </w:rPr>
            </w:pPr>
            <w:r>
              <w:rPr>
                <w:rFonts w:ascii="Arial" w:cs="Arial" w:eastAsia="Arial" w:hAnsi="Arial"/>
                <w:sz w:val="18"/>
                <w:szCs w:val="18"/>
                <w:color w:val="auto"/>
                <w:w w:val="90"/>
              </w:rPr>
              <w:t>Development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3"/>
              </w:rPr>
              <w:t>Christopher Lindop</w:t>
            </w:r>
          </w:p>
        </w:tc>
        <w:tc>
          <w:tcPr>
            <w:tcW w:w="50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color w:val="auto"/>
                <w:w w:val="91"/>
              </w:rPr>
              <w:t>/s/ Dan Goldstein</w:t>
            </w:r>
          </w:p>
        </w:tc>
        <w:tc>
          <w:tcPr>
            <w:tcW w:w="5060" w:type="dxa"/>
            <w:vAlign w:val="bottom"/>
          </w:tcPr>
          <w:p>
            <w:pPr>
              <w:jc w:val="center"/>
              <w:spacing w:after="0"/>
              <w:rPr>
                <w:sz w:val="20"/>
                <w:szCs w:val="20"/>
                <w:color w:val="auto"/>
              </w:rPr>
            </w:pPr>
            <w:r>
              <w:rPr>
                <w:rFonts w:ascii="Arial" w:cs="Arial" w:eastAsia="Arial" w:hAnsi="Arial"/>
                <w:sz w:val="18"/>
                <w:szCs w:val="18"/>
                <w:color w:val="auto"/>
                <w:w w:val="91"/>
              </w:rPr>
              <w:t>Vice President, Corporate Controller</w:t>
            </w:r>
          </w:p>
        </w:tc>
        <w:tc>
          <w:tcPr>
            <w:tcW w:w="1140" w:type="dxa"/>
            <w:vAlign w:val="bottom"/>
          </w:tcPr>
          <w:p>
            <w:pPr>
              <w:jc w:val="center"/>
              <w:ind w:left="152"/>
              <w:spacing w:after="0"/>
              <w:rPr>
                <w:sz w:val="20"/>
                <w:szCs w:val="20"/>
                <w:color w:val="auto"/>
              </w:rPr>
            </w:pPr>
            <w:r>
              <w:rPr>
                <w:rFonts w:ascii="Arial" w:cs="Arial" w:eastAsia="Arial" w:hAnsi="Arial"/>
                <w:sz w:val="18"/>
                <w:szCs w:val="18"/>
                <w:color w:val="auto"/>
                <w:w w:val="86"/>
              </w:rPr>
              <w:t>June 1, 2016</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1"/>
              </w:rPr>
              <w:t>Dan Goldstein</w:t>
            </w:r>
          </w:p>
        </w:tc>
        <w:tc>
          <w:tcPr>
            <w:tcW w:w="506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color w:val="auto"/>
                <w:w w:val="92"/>
              </w:rPr>
              <w:t>/s/ Charles Dockendorff</w:t>
            </w:r>
          </w:p>
        </w:tc>
        <w:tc>
          <w:tcPr>
            <w:tcW w:w="50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140" w:type="dxa"/>
            <w:vAlign w:val="bottom"/>
          </w:tcPr>
          <w:p>
            <w:pPr>
              <w:jc w:val="center"/>
              <w:ind w:left="152"/>
              <w:spacing w:after="0"/>
              <w:rPr>
                <w:sz w:val="20"/>
                <w:szCs w:val="20"/>
                <w:color w:val="auto"/>
              </w:rPr>
            </w:pPr>
            <w:r>
              <w:rPr>
                <w:rFonts w:ascii="Arial" w:cs="Arial" w:eastAsia="Arial" w:hAnsi="Arial"/>
                <w:sz w:val="18"/>
                <w:szCs w:val="18"/>
                <w:color w:val="auto"/>
                <w:w w:val="86"/>
              </w:rPr>
              <w:t>June 1, 2016</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1"/>
              </w:rPr>
              <w:t>Charles Dockendorff</w:t>
            </w:r>
          </w:p>
        </w:tc>
        <w:tc>
          <w:tcPr>
            <w:tcW w:w="5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color w:val="auto"/>
                <w:w w:val="89"/>
              </w:rPr>
              <w:t>/s/ Susan Bartlett Foote</w:t>
            </w:r>
          </w:p>
        </w:tc>
        <w:tc>
          <w:tcPr>
            <w:tcW w:w="50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140" w:type="dxa"/>
            <w:vAlign w:val="bottom"/>
          </w:tcPr>
          <w:p>
            <w:pPr>
              <w:jc w:val="center"/>
              <w:ind w:left="152"/>
              <w:spacing w:after="0"/>
              <w:rPr>
                <w:sz w:val="20"/>
                <w:szCs w:val="20"/>
                <w:color w:val="auto"/>
              </w:rPr>
            </w:pPr>
            <w:r>
              <w:rPr>
                <w:rFonts w:ascii="Arial" w:cs="Arial" w:eastAsia="Arial" w:hAnsi="Arial"/>
                <w:sz w:val="18"/>
                <w:szCs w:val="18"/>
                <w:color w:val="auto"/>
                <w:w w:val="86"/>
              </w:rPr>
              <w:t>June 1, 2016</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88"/>
              </w:rPr>
              <w:t>Susan Bartlett Foote</w:t>
            </w:r>
          </w:p>
        </w:tc>
        <w:tc>
          <w:tcPr>
            <w:tcW w:w="5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color w:val="auto"/>
                <w:w w:val="91"/>
              </w:rPr>
              <w:t>/s/ Pedro Granadillo</w:t>
            </w:r>
          </w:p>
        </w:tc>
        <w:tc>
          <w:tcPr>
            <w:tcW w:w="50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140" w:type="dxa"/>
            <w:vAlign w:val="bottom"/>
          </w:tcPr>
          <w:p>
            <w:pPr>
              <w:jc w:val="center"/>
              <w:ind w:left="152"/>
              <w:spacing w:after="0"/>
              <w:rPr>
                <w:sz w:val="20"/>
                <w:szCs w:val="20"/>
                <w:color w:val="auto"/>
              </w:rPr>
            </w:pPr>
            <w:r>
              <w:rPr>
                <w:rFonts w:ascii="Arial" w:cs="Arial" w:eastAsia="Arial" w:hAnsi="Arial"/>
                <w:sz w:val="18"/>
                <w:szCs w:val="18"/>
                <w:color w:val="auto"/>
                <w:w w:val="86"/>
              </w:rPr>
              <w:t>June 1, 2016</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0"/>
              </w:rPr>
              <w:t>Pedro Granadillo</w:t>
            </w:r>
          </w:p>
        </w:tc>
        <w:tc>
          <w:tcPr>
            <w:tcW w:w="5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color w:val="auto"/>
                <w:w w:val="97"/>
              </w:rPr>
              <w:t>/s/ Mark Kroll</w:t>
            </w:r>
          </w:p>
        </w:tc>
        <w:tc>
          <w:tcPr>
            <w:tcW w:w="50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140" w:type="dxa"/>
            <w:vAlign w:val="bottom"/>
          </w:tcPr>
          <w:p>
            <w:pPr>
              <w:jc w:val="center"/>
              <w:ind w:left="152"/>
              <w:spacing w:after="0"/>
              <w:rPr>
                <w:sz w:val="20"/>
                <w:szCs w:val="20"/>
                <w:color w:val="auto"/>
              </w:rPr>
            </w:pPr>
            <w:r>
              <w:rPr>
                <w:rFonts w:ascii="Arial" w:cs="Arial" w:eastAsia="Arial" w:hAnsi="Arial"/>
                <w:sz w:val="18"/>
                <w:szCs w:val="18"/>
                <w:color w:val="auto"/>
                <w:w w:val="86"/>
              </w:rPr>
              <w:t>June 1, 2016</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rPr>
              <w:t>Mark Kroll</w:t>
            </w:r>
          </w:p>
        </w:tc>
        <w:tc>
          <w:tcPr>
            <w:tcW w:w="5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color w:val="auto"/>
                <w:w w:val="92"/>
              </w:rPr>
              <w:t>/s/ Richard Meelia</w:t>
            </w:r>
          </w:p>
        </w:tc>
        <w:tc>
          <w:tcPr>
            <w:tcW w:w="50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140" w:type="dxa"/>
            <w:vAlign w:val="bottom"/>
          </w:tcPr>
          <w:p>
            <w:pPr>
              <w:jc w:val="center"/>
              <w:ind w:left="152"/>
              <w:spacing w:after="0"/>
              <w:rPr>
                <w:sz w:val="20"/>
                <w:szCs w:val="20"/>
                <w:color w:val="auto"/>
              </w:rPr>
            </w:pPr>
            <w:r>
              <w:rPr>
                <w:rFonts w:ascii="Arial" w:cs="Arial" w:eastAsia="Arial" w:hAnsi="Arial"/>
                <w:sz w:val="18"/>
                <w:szCs w:val="18"/>
                <w:color w:val="auto"/>
                <w:w w:val="86"/>
              </w:rPr>
              <w:t>June 1, 2016</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1"/>
              </w:rPr>
              <w:t>Richard Meelia</w:t>
            </w:r>
          </w:p>
        </w:tc>
        <w:tc>
          <w:tcPr>
            <w:tcW w:w="5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color w:val="auto"/>
                <w:w w:val="92"/>
              </w:rPr>
              <w:t>/s/ Ronald Merriman</w:t>
            </w:r>
          </w:p>
        </w:tc>
        <w:tc>
          <w:tcPr>
            <w:tcW w:w="50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140" w:type="dxa"/>
            <w:vAlign w:val="bottom"/>
          </w:tcPr>
          <w:p>
            <w:pPr>
              <w:jc w:val="center"/>
              <w:ind w:left="152"/>
              <w:spacing w:after="0"/>
              <w:rPr>
                <w:sz w:val="20"/>
                <w:szCs w:val="20"/>
                <w:color w:val="auto"/>
              </w:rPr>
            </w:pPr>
            <w:r>
              <w:rPr>
                <w:rFonts w:ascii="Arial" w:cs="Arial" w:eastAsia="Arial" w:hAnsi="Arial"/>
                <w:sz w:val="18"/>
                <w:szCs w:val="18"/>
                <w:color w:val="auto"/>
                <w:w w:val="86"/>
              </w:rPr>
              <w:t>June 1, 2016</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2"/>
              </w:rPr>
              <w:t>Ronald Merriman</w:t>
            </w:r>
          </w:p>
        </w:tc>
        <w:tc>
          <w:tcPr>
            <w:tcW w:w="5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2820" w:type="dxa"/>
            <w:vAlign w:val="bottom"/>
          </w:tcPr>
          <w:p>
            <w:pPr>
              <w:spacing w:after="0"/>
              <w:rPr>
                <w:sz w:val="24"/>
                <w:szCs w:val="24"/>
                <w:color w:val="auto"/>
              </w:rPr>
            </w:pPr>
          </w:p>
        </w:tc>
        <w:tc>
          <w:tcPr>
            <w:tcW w:w="5060" w:type="dxa"/>
            <w:vAlign w:val="bottom"/>
          </w:tcPr>
          <w:p>
            <w:pPr>
              <w:jc w:val="right"/>
              <w:ind w:right="1991"/>
              <w:spacing w:after="0"/>
              <w:rPr>
                <w:sz w:val="20"/>
                <w:szCs w:val="20"/>
                <w:color w:val="auto"/>
              </w:rPr>
            </w:pPr>
            <w:r>
              <w:rPr>
                <w:rFonts w:ascii="Arial" w:cs="Arial" w:eastAsia="Arial" w:hAnsi="Arial"/>
                <w:sz w:val="18"/>
                <w:szCs w:val="18"/>
                <w:color w:val="auto"/>
              </w:rPr>
              <w:t>98</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130" w:right="419" w:bottom="1440" w:gutter="0" w:footer="0" w:header="0"/>
        </w:sectPr>
      </w:pPr>
    </w:p>
    <w:bookmarkStart w:id="100" w:name="page101"/>
    <w:bookmarkEnd w:id="10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0520" w:type="dxa"/>
            <w:vAlign w:val="bottom"/>
          </w:tcPr>
          <w:p>
            <w:pPr>
              <w:ind w:left="1940"/>
              <w:spacing w:after="0"/>
              <w:rPr>
                <w:sz w:val="20"/>
                <w:szCs w:val="20"/>
                <w:color w:val="auto"/>
              </w:rPr>
            </w:pPr>
            <w:r>
              <w:rPr>
                <w:rFonts w:ascii="Arial" w:cs="Arial" w:eastAsia="Arial" w:hAnsi="Arial"/>
                <w:sz w:val="18"/>
                <w:szCs w:val="18"/>
                <w:b w:val="1"/>
                <w:bCs w:val="1"/>
                <w:color w:val="auto"/>
              </w:rPr>
              <w:t>EXHIBITS FILED WITH SECURITIES AND EXCHANGE COMMISSION</w:t>
            </w:r>
          </w:p>
        </w:tc>
      </w:tr>
      <w:tr>
        <w:trPr>
          <w:trHeight w:val="338"/>
        </w:trPr>
        <w:tc>
          <w:tcPr>
            <w:tcW w:w="760" w:type="dxa"/>
            <w:vAlign w:val="bottom"/>
          </w:tcPr>
          <w:p>
            <w:pPr>
              <w:spacing w:after="0"/>
              <w:rPr>
                <w:sz w:val="24"/>
                <w:szCs w:val="24"/>
                <w:color w:val="auto"/>
              </w:rPr>
            </w:pPr>
          </w:p>
        </w:tc>
        <w:tc>
          <w:tcPr>
            <w:tcW w:w="10520" w:type="dxa"/>
            <w:vAlign w:val="bottom"/>
          </w:tcPr>
          <w:p>
            <w:pPr>
              <w:ind w:left="3560"/>
              <w:spacing w:after="0"/>
              <w:rPr>
                <w:sz w:val="20"/>
                <w:szCs w:val="20"/>
                <w:color w:val="auto"/>
              </w:rPr>
            </w:pPr>
            <w:r>
              <w:rPr>
                <w:rFonts w:ascii="Arial" w:cs="Arial" w:eastAsia="Arial" w:hAnsi="Arial"/>
                <w:sz w:val="18"/>
                <w:szCs w:val="18"/>
                <w:b w:val="1"/>
                <w:bCs w:val="1"/>
                <w:color w:val="auto"/>
              </w:rPr>
              <w:t>Number and Description of Exhibit</w:t>
            </w:r>
          </w:p>
        </w:tc>
      </w:tr>
      <w:tr>
        <w:trPr>
          <w:trHeight w:val="378"/>
        </w:trPr>
        <w:tc>
          <w:tcPr>
            <w:tcW w:w="11280" w:type="dxa"/>
            <w:vAlign w:val="bottom"/>
            <w:gridSpan w:val="2"/>
          </w:tcPr>
          <w:p>
            <w:pPr>
              <w:spacing w:after="0"/>
              <w:rPr>
                <w:sz w:val="20"/>
                <w:szCs w:val="20"/>
                <w:color w:val="auto"/>
              </w:rPr>
            </w:pPr>
            <w:r>
              <w:rPr>
                <w:rFonts w:ascii="Arial" w:cs="Arial" w:eastAsia="Arial" w:hAnsi="Arial"/>
                <w:sz w:val="18"/>
                <w:szCs w:val="18"/>
                <w:b w:val="1"/>
                <w:bCs w:val="1"/>
                <w:color w:val="auto"/>
              </w:rPr>
              <w:t>1. Articles of Organization</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3A*</w:t>
            </w: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Pro forma Amended and Restated Articles of Organization of the Company reflecting Articles of Amendment dated August 23, 1993 and</w:t>
            </w:r>
          </w:p>
        </w:tc>
      </w:tr>
      <w:tr>
        <w:trPr>
          <w:trHeight w:val="216"/>
        </w:trPr>
        <w:tc>
          <w:tcPr>
            <w:tcW w:w="76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5"/>
              </w:rPr>
              <w:t>August 21, 2006 (filed as Exhibit 3.1 to the Company's Quarterly Report on Form 10-Q for the Quarter ended December 29, 2012 and</w:t>
            </w:r>
          </w:p>
        </w:tc>
      </w:tr>
      <w:tr>
        <w:trPr>
          <w:trHeight w:val="230"/>
        </w:trPr>
        <w:tc>
          <w:tcPr>
            <w:tcW w:w="76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incorporated herein by reference).</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3B*</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By-Laws of the Company, as amended through January 21, 2015 (filed as Exhibit 99.1 to the Company's Form 8-K dated January 27, 2015).</w:t>
            </w:r>
          </w:p>
        </w:tc>
      </w:tr>
      <w:tr>
        <w:trPr>
          <w:trHeight w:val="783"/>
        </w:trPr>
        <w:tc>
          <w:tcPr>
            <w:tcW w:w="11280" w:type="dxa"/>
            <w:vAlign w:val="bottom"/>
            <w:gridSpan w:val="2"/>
          </w:tcPr>
          <w:p>
            <w:pPr>
              <w:spacing w:after="0"/>
              <w:rPr>
                <w:sz w:val="20"/>
                <w:szCs w:val="20"/>
                <w:color w:val="auto"/>
              </w:rPr>
            </w:pPr>
            <w:r>
              <w:rPr>
                <w:rFonts w:ascii="Arial" w:cs="Arial" w:eastAsia="Arial" w:hAnsi="Arial"/>
                <w:sz w:val="18"/>
                <w:szCs w:val="18"/>
                <w:b w:val="1"/>
                <w:bCs w:val="1"/>
                <w:color w:val="auto"/>
              </w:rPr>
              <w:t>2. Instruments Defining the Rights of Security Holders</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4A*</w:t>
            </w: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Specimen certificate for shares of common stock (filed as Exhibit 4B to the Company's Amendment No. 1 to Form S-1 No. 33-39490 and</w:t>
            </w:r>
          </w:p>
        </w:tc>
      </w:tr>
      <w:tr>
        <w:trPr>
          <w:trHeight w:val="230"/>
        </w:trPr>
        <w:tc>
          <w:tcPr>
            <w:tcW w:w="76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incorporated herein by reference).</w:t>
            </w:r>
          </w:p>
        </w:tc>
      </w:tr>
      <w:tr>
        <w:trPr>
          <w:trHeight w:val="770"/>
        </w:trPr>
        <w:tc>
          <w:tcPr>
            <w:tcW w:w="11280" w:type="dxa"/>
            <w:vAlign w:val="bottom"/>
            <w:gridSpan w:val="2"/>
          </w:tcPr>
          <w:p>
            <w:pPr>
              <w:spacing w:after="0"/>
              <w:rPr>
                <w:sz w:val="20"/>
                <w:szCs w:val="20"/>
                <w:color w:val="auto"/>
              </w:rPr>
            </w:pPr>
            <w:r>
              <w:rPr>
                <w:rFonts w:ascii="Arial" w:cs="Arial" w:eastAsia="Arial" w:hAnsi="Arial"/>
                <w:sz w:val="18"/>
                <w:szCs w:val="18"/>
                <w:b w:val="1"/>
                <w:bCs w:val="1"/>
                <w:color w:val="auto"/>
              </w:rPr>
              <w:t>3. Material Contracts</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10A*</w:t>
            </w: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Lease dated July 17, 1990 between the Buncher Company and the Company of property in Pittsburgh, Pennsylvania (filed as Exhibit 10-K</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to the Company's Form S-1 No. 33-39490 and incorporated herein 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10B*</w:t>
            </w:r>
          </w:p>
        </w:tc>
        <w:tc>
          <w:tcPr>
            <w:tcW w:w="10520" w:type="dxa"/>
            <w:vAlign w:val="bottom"/>
          </w:tcPr>
          <w:p>
            <w:pPr>
              <w:ind w:left="380"/>
              <w:spacing w:after="0"/>
              <w:rPr>
                <w:sz w:val="20"/>
                <w:szCs w:val="20"/>
                <w:color w:val="auto"/>
              </w:rPr>
            </w:pPr>
            <w:r>
              <w:rPr>
                <w:rFonts w:ascii="Arial" w:cs="Arial" w:eastAsia="Arial" w:hAnsi="Arial"/>
                <w:sz w:val="18"/>
                <w:szCs w:val="18"/>
                <w:color w:val="auto"/>
                <w:w w:val="95"/>
              </w:rPr>
              <w:t>First Amendment to lease dated July 17, 1990, made as of July 17, 1996 between Buncher Company and the Company of property in</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Pittsburgh, Pennsylvania (filed as Exhibit 10AI to the Company's Form 10-Q for the quarter ended December 28, 1996 and incorporated</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herein 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10C*</w:t>
            </w:r>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Second Amendment to lease dated July 17, 1990, made as of October 18, 2000 between Buncher Company and the Company for the</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9"/>
              </w:rPr>
              <w:t>property in Pittsburgh, Pennsylvania (filed as Exhibit 10AG to the Company's Form 10-K for the year ended March 29, 2003 and</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10D*</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Third Amendment to lease dated July 17, 1990, made as of March 23, 2004 between Buncher Company and the Company for the property</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in Pittsburgh, Pennsylvania (filed as Exhibit 10D to the Company's Form 10-K for the year ended March 30, 2013 and incorporated herein</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10E*</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Fourth Amendment to lease dated July 17, 1990, made as of March 12, 2008 between Buncher Company and the Company for the property</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in Pittsburgh, Pennsylvania (filed as Exhibit 10E to the Company's Form 10-K for the year ended March 30, 2013 and incorporated herein</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10F*</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Fifth Amendment to lease dated July 17, 1990, made as of October 1, 2008 between Buncher Company and the Company for the property in</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Pittsburgh, Pennsylvania (filed as Exhibit 10F to the Company's Form 10-K for the year ended March 30, 2013 and incorporated herein by</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10G*</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Sixth Amendment to lease dated July 17, 1990 made as of January 8, 2010 between Buncher Company and the Company for the property in</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Pittsburgh, Pennsylvania (filed as Exhibit 10G to the Company's Form 10-K for the year ended March 30, 2013 and incorporated herein by</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10H*</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Seventh Amendment to lease dated July 17, 1990, made as of March 31, 2011 between Buncher Company and the Company for the property</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in Pittsburgh, Pennsylvania (filed as Exhibit 10H to the Company's Form 10-K for the year ended March 30, 2013 and incorporated herein</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10I*</w:t>
            </w:r>
          </w:p>
        </w:tc>
        <w:tc>
          <w:tcPr>
            <w:tcW w:w="10520" w:type="dxa"/>
            <w:vAlign w:val="bottom"/>
          </w:tcPr>
          <w:p>
            <w:pPr>
              <w:ind w:left="380"/>
              <w:spacing w:after="0"/>
              <w:rPr>
                <w:sz w:val="20"/>
                <w:szCs w:val="20"/>
                <w:color w:val="auto"/>
              </w:rPr>
            </w:pPr>
            <w:r>
              <w:rPr>
                <w:rFonts w:ascii="Arial" w:cs="Arial" w:eastAsia="Arial" w:hAnsi="Arial"/>
                <w:sz w:val="18"/>
                <w:szCs w:val="18"/>
                <w:color w:val="auto"/>
                <w:w w:val="95"/>
              </w:rPr>
              <w:t>Eighth Amendment to lease dated July 17, 1990, made as of February 26, 2013 between Buncher Company and the Company for the</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property in Pittsburgh, Pennsylvania (filed as Exhibit 10I to the Company's Form 10-K for the year ended March 30, 2013 and incorporated</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herein 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10J*</w:t>
            </w:r>
          </w:p>
        </w:tc>
        <w:tc>
          <w:tcPr>
            <w:tcW w:w="10520" w:type="dxa"/>
            <w:vAlign w:val="bottom"/>
          </w:tcPr>
          <w:p>
            <w:pPr>
              <w:ind w:left="380"/>
              <w:spacing w:after="0"/>
              <w:rPr>
                <w:sz w:val="20"/>
                <w:szCs w:val="20"/>
                <w:color w:val="auto"/>
              </w:rPr>
            </w:pPr>
            <w:r>
              <w:rPr>
                <w:rFonts w:ascii="Arial" w:cs="Arial" w:eastAsia="Arial" w:hAnsi="Arial"/>
                <w:sz w:val="18"/>
                <w:szCs w:val="18"/>
                <w:color w:val="auto"/>
                <w:w w:val="98"/>
              </w:rPr>
              <w:t>Lease dated February 21, 2000 between BBVA Bancomer Servicios, S.A., as Trustee of the “Submetropoli de Tijuana” Trust and</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Haemonetics Mexico Manufacturing, S. de R.L. de C.V., as successor in interest to Ensatec, S.A. de C.V. with authorization of El Florido</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6"/>
              </w:rPr>
              <w:t>California, S.A. de C.V., for property located in Tijuana, Mexico (filed as Exhibit 10J to the Company's Form 10-K for the year ended</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March 30, 2013 and incorporated herein 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10K*</w:t>
            </w:r>
          </w:p>
        </w:tc>
        <w:tc>
          <w:tcPr>
            <w:tcW w:w="10520" w:type="dxa"/>
            <w:vAlign w:val="bottom"/>
          </w:tcPr>
          <w:p>
            <w:pPr>
              <w:ind w:left="380"/>
              <w:spacing w:after="0"/>
              <w:rPr>
                <w:sz w:val="20"/>
                <w:szCs w:val="20"/>
                <w:color w:val="auto"/>
              </w:rPr>
            </w:pPr>
            <w:r>
              <w:rPr>
                <w:rFonts w:ascii="Arial" w:cs="Arial" w:eastAsia="Arial" w:hAnsi="Arial"/>
                <w:sz w:val="18"/>
                <w:szCs w:val="18"/>
                <w:color w:val="auto"/>
                <w:w w:val="95"/>
              </w:rPr>
              <w:t>Amendment to Lease dated February 21, 2000 made as of July 25, 2008 between BBVA Bancomer Servicios, S.A., as Trustee of the</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“Submetropoli de Tijuana” Trust Haemonetics Mexico Manufacturing, S. de R.L. de C.V., as successor in interest to Ensatec, S.A. de C.V.,</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9"/>
              </w:rPr>
              <w:t>for property located in Tijuana, Mexico (filed as Exhibit 10K to the Company's Form 10-K for the year ended March 30, 2013 and</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10L*</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Extension to Lease dated February 21, 2000, made as of August 14, 2011 between PROCADEF 1, S.A.P.I. de C.V. and Haemonetics Mexico</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Manufacturing, S. de R.L. de C.V., as successor in interest to Ensatec, S.A. de C.V., for property located in Tijuana, Mexico (Spanish to</w:t>
            </w:r>
          </w:p>
        </w:tc>
      </w:tr>
    </w:tbl>
    <w:p>
      <w:pPr>
        <w:ind w:left="1180" w:right="640"/>
        <w:spacing w:after="0" w:line="261" w:lineRule="auto"/>
        <w:rPr>
          <w:sz w:val="20"/>
          <w:szCs w:val="20"/>
          <w:color w:val="auto"/>
        </w:rPr>
      </w:pPr>
      <w:r>
        <w:rPr>
          <w:rFonts w:ascii="Arial" w:cs="Arial" w:eastAsia="Arial" w:hAnsi="Arial"/>
          <w:sz w:val="18"/>
          <w:szCs w:val="18"/>
          <w:color w:val="auto"/>
        </w:rPr>
        <w:t>English translation filed as Exhibit 10L to the Company's Form 10-K for the year ended March 30, 2013 and incorporated herein by reference).</w:t>
      </w:r>
    </w:p>
    <w:p>
      <w:pPr>
        <w:sectPr>
          <w:pgSz w:w="11900" w:h="16838" w:orient="portrait"/>
          <w:cols w:equalWidth="0" w:num="1">
            <w:col w:w="11320"/>
          </w:cols>
          <w:pgMar w:left="240" w:top="130" w:right="339" w:bottom="1440" w:gutter="0" w:footer="0" w:header="0"/>
        </w:sect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320"/>
          </w:cols>
          <w:pgMar w:left="240" w:top="130" w:right="33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20" w:type="dxa"/>
            <w:vAlign w:val="bottom"/>
          </w:tcPr>
          <w:p>
            <w:pPr>
              <w:spacing w:after="0"/>
              <w:rPr>
                <w:sz w:val="16"/>
                <w:szCs w:val="16"/>
                <w:color w:val="auto"/>
              </w:rPr>
            </w:pPr>
          </w:p>
        </w:tc>
        <w:tc>
          <w:tcPr>
            <w:tcW w:w="10140" w:type="dxa"/>
            <w:vAlign w:val="bottom"/>
          </w:tcPr>
          <w:p>
            <w:pPr>
              <w:spacing w:after="0"/>
              <w:rPr>
                <w:sz w:val="16"/>
                <w:szCs w:val="16"/>
                <w:color w:val="auto"/>
              </w:rPr>
            </w:pPr>
          </w:p>
        </w:tc>
      </w:tr>
      <w:tr>
        <w:trPr>
          <w:trHeight w:val="614"/>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10M*</w:t>
            </w:r>
          </w:p>
        </w:tc>
        <w:tc>
          <w:tcPr>
            <w:tcW w:w="10140" w:type="dxa"/>
            <w:vAlign w:val="bottom"/>
          </w:tcPr>
          <w:p>
            <w:pPr>
              <w:spacing w:after="0"/>
              <w:rPr>
                <w:sz w:val="20"/>
                <w:szCs w:val="20"/>
                <w:color w:val="auto"/>
              </w:rPr>
            </w:pPr>
            <w:r>
              <w:rPr>
                <w:rFonts w:ascii="Arial" w:cs="Arial" w:eastAsia="Arial" w:hAnsi="Arial"/>
                <w:sz w:val="18"/>
                <w:szCs w:val="18"/>
                <w:color w:val="auto"/>
                <w:w w:val="91"/>
              </w:rPr>
              <w:t>Amendment Letter to Lease dated February 21, 2000, made as of August 14, 2011 between BBVA Bancomer Servicios, S.A., as Trustee of</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the “Submetropoli de Tijuana” Trust and Haemonetics Mexico Manufacturing, S. de R.L. de C.V., as successor in interest to Ensatec, S.A.</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de C.V., for property located in Tijuana, Mexico (filed as Exhibit 10M to the Company's Form 10-K for the year ended March 30, 2013 and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10N*</w:t>
            </w:r>
          </w:p>
        </w:tc>
        <w:tc>
          <w:tcPr>
            <w:tcW w:w="10140" w:type="dxa"/>
            <w:vAlign w:val="bottom"/>
          </w:tcPr>
          <w:p>
            <w:pPr>
              <w:spacing w:after="0"/>
              <w:rPr>
                <w:sz w:val="20"/>
                <w:szCs w:val="20"/>
                <w:color w:val="auto"/>
              </w:rPr>
            </w:pPr>
            <w:r>
              <w:rPr>
                <w:rFonts w:ascii="Arial" w:cs="Arial" w:eastAsia="Arial" w:hAnsi="Arial"/>
                <w:sz w:val="18"/>
                <w:szCs w:val="18"/>
                <w:color w:val="auto"/>
                <w:w w:val="95"/>
              </w:rPr>
              <w:t>Notice of Assignment to Lease dated February 21, 2000, made as of February 23, 2012 between BBVA Bancomer Servicios, S.A., as</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4"/>
              </w:rPr>
              <w:t>Trustee of the “Submetropoli de Tijuana” Trust and Haemonetics Mexico Manufacturing, S. de R.L. de C.V., as successor in interest to</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Ensatec, S.A. de C.V. for property located in Tijuana, Mexico (Spanish to English translation filed as Exhibit 10N to the Company's Form</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10-K for the year ended March 30,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10O*</w:t>
            </w:r>
          </w:p>
        </w:tc>
        <w:tc>
          <w:tcPr>
            <w:tcW w:w="10140" w:type="dxa"/>
            <w:vAlign w:val="bottom"/>
          </w:tcPr>
          <w:p>
            <w:pPr>
              <w:spacing w:after="0"/>
              <w:rPr>
                <w:sz w:val="20"/>
                <w:szCs w:val="20"/>
                <w:color w:val="auto"/>
              </w:rPr>
            </w:pPr>
            <w:r>
              <w:rPr>
                <w:rFonts w:ascii="Arial" w:cs="Arial" w:eastAsia="Arial" w:hAnsi="Arial"/>
                <w:sz w:val="18"/>
                <w:szCs w:val="18"/>
                <w:color w:val="auto"/>
                <w:w w:val="93"/>
              </w:rPr>
              <w:t>Lease Agreement effective December 3, 2007 between Mrs. Blanca Estela Colunga Santelices, by her own right, and Pall Life Sciences</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9"/>
              </w:rPr>
              <w:t>Mexico, S.de R.L. de C.V., for the property located in Tijuana, Mexico (Spanish to English translation filed as Exhibit 10W to the</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Company's Form 10-K for the year ended March 30,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10P*</w:t>
            </w:r>
          </w:p>
        </w:tc>
        <w:tc>
          <w:tcPr>
            <w:tcW w:w="10140" w:type="dxa"/>
            <w:vAlign w:val="bottom"/>
          </w:tcPr>
          <w:p>
            <w:pPr>
              <w:spacing w:after="0"/>
              <w:rPr>
                <w:sz w:val="20"/>
                <w:szCs w:val="20"/>
                <w:color w:val="auto"/>
              </w:rPr>
            </w:pPr>
            <w:r>
              <w:rPr>
                <w:rFonts w:ascii="Arial" w:cs="Arial" w:eastAsia="Arial" w:hAnsi="Arial"/>
                <w:sz w:val="18"/>
                <w:szCs w:val="18"/>
                <w:color w:val="auto"/>
                <w:w w:val="97"/>
              </w:rPr>
              <w:t>Assignment to Lease Agreement effective December 3, 2007, made as of December 2, 2011 between Mrs. Blanca Estela Colunga</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4"/>
              </w:rPr>
              <w:t>Santelices, by her own right, Pall Life Sciences Mexico, S.de R.L. de C.V., (“Assignor”) and Haemonetics Mexico Manufacturing, S. de</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R.L. de C.V.as successor in interest to Pall Mexico Manufacturing S. de R.L. de C.V., (“Assignee”) assigned in favor of the property located</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6"/>
              </w:rPr>
              <w:t>in Tijuana, Mexico (filed as Exhibit 10X to the Company's Form 10-K for the year ended March 30, 2013 and incorporated herein by</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10Q*</w:t>
            </w:r>
          </w:p>
        </w:tc>
        <w:tc>
          <w:tcPr>
            <w:tcW w:w="10140" w:type="dxa"/>
            <w:vAlign w:val="bottom"/>
          </w:tcPr>
          <w:p>
            <w:pPr>
              <w:spacing w:after="0"/>
              <w:rPr>
                <w:sz w:val="20"/>
                <w:szCs w:val="20"/>
                <w:color w:val="auto"/>
              </w:rPr>
            </w:pPr>
            <w:r>
              <w:rPr>
                <w:rFonts w:ascii="Arial" w:cs="Arial" w:eastAsia="Arial" w:hAnsi="Arial"/>
                <w:sz w:val="18"/>
                <w:szCs w:val="18"/>
                <w:color w:val="auto"/>
                <w:w w:val="97"/>
              </w:rPr>
              <w:t>Sublease Contract to Lease Agreement effective December 3, 2007, made as of December 3, 2011 between Haemonetics Mexico</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Manufacturing, S. de R.L. de C.V. as successor in interest to Pall Mexico Manufacturing, S.de R.L. de C.V., and Pall Life Sciences Mexico,</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7"/>
              </w:rPr>
              <w:t>S. de R.L. de C.V., for the property located in Tijuana, Mexico (filed as Exhibit 10Y to the Company's Form 10-K for the year ended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March 30,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10R*</w:t>
            </w:r>
          </w:p>
        </w:tc>
        <w:tc>
          <w:tcPr>
            <w:tcW w:w="10140" w:type="dxa"/>
            <w:vAlign w:val="bottom"/>
          </w:tcPr>
          <w:p>
            <w:pPr>
              <w:spacing w:after="0"/>
              <w:rPr>
                <w:sz w:val="20"/>
                <w:szCs w:val="20"/>
                <w:color w:val="auto"/>
              </w:rPr>
            </w:pPr>
            <w:r>
              <w:rPr>
                <w:rFonts w:ascii="Arial" w:cs="Arial" w:eastAsia="Arial" w:hAnsi="Arial"/>
                <w:sz w:val="18"/>
                <w:szCs w:val="18"/>
                <w:color w:val="auto"/>
                <w:w w:val="97"/>
              </w:rPr>
              <w:t>Sublease Contract to Lease Agreement effective December 3, 2007, made as of February 23, 2012 between Haemonetics Mexico</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Manufacturing, S. de R.L. de C.V. as successor in interest to Pall Mexico Manufacturing S. de R.L. de C.V. and Ensatec, S.A. de C.V., for</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8"/>
              </w:rPr>
              <w:t>the property located in Tijuana, Mexico (filed as Exhibit 10Z to the Company's Form 10-K for the year ended March 30, 2013 and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10S*</w:t>
            </w:r>
          </w:p>
        </w:tc>
        <w:tc>
          <w:tcPr>
            <w:tcW w:w="10140" w:type="dxa"/>
            <w:vAlign w:val="bottom"/>
          </w:tcPr>
          <w:p>
            <w:pPr>
              <w:spacing w:after="0"/>
              <w:rPr>
                <w:sz w:val="20"/>
                <w:szCs w:val="20"/>
                <w:color w:val="auto"/>
              </w:rPr>
            </w:pPr>
            <w:r>
              <w:rPr>
                <w:rFonts w:ascii="Arial" w:cs="Arial" w:eastAsia="Arial" w:hAnsi="Arial"/>
                <w:sz w:val="18"/>
                <w:szCs w:val="18"/>
                <w:color w:val="auto"/>
                <w:w w:val="90"/>
              </w:rPr>
              <w:t>Lease dated August 20, 2009 between Price Logistics Center Draper One, LLC and the Company for property located in Draper, Utah. (filed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as Exhibit 10AA to the Company's Form 10-K for the year ended March 30,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10T*</w:t>
            </w:r>
          </w:p>
        </w:tc>
        <w:tc>
          <w:tcPr>
            <w:tcW w:w="10140" w:type="dxa"/>
            <w:vAlign w:val="bottom"/>
          </w:tcPr>
          <w:p>
            <w:pPr>
              <w:spacing w:after="0"/>
              <w:rPr>
                <w:sz w:val="20"/>
                <w:szCs w:val="20"/>
                <w:color w:val="auto"/>
              </w:rPr>
            </w:pPr>
            <w:r>
              <w:rPr>
                <w:rFonts w:ascii="Arial" w:cs="Arial" w:eastAsia="Arial" w:hAnsi="Arial"/>
                <w:sz w:val="18"/>
                <w:szCs w:val="18"/>
                <w:color w:val="auto"/>
                <w:w w:val="90"/>
              </w:rPr>
              <w:t>Lease dated September 19, 2013 between the Penang Development Corporation ("Lessor") and Haemonetics Malaysia Sdn Bhd ("Lessee")</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8"/>
              </w:rPr>
              <w:t>of the property located in Penang, Malaysia (filed as Exhibit 10D to the Company's 10-Q for the quarter ended June 28, 2014 and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10U*†</w:t>
            </w:r>
          </w:p>
        </w:tc>
        <w:tc>
          <w:tcPr>
            <w:tcW w:w="10140" w:type="dxa"/>
            <w:vAlign w:val="bottom"/>
          </w:tcPr>
          <w:p>
            <w:pPr>
              <w:spacing w:after="0"/>
              <w:rPr>
                <w:sz w:val="20"/>
                <w:szCs w:val="20"/>
                <w:color w:val="auto"/>
              </w:rPr>
            </w:pPr>
            <w:r>
              <w:rPr>
                <w:rFonts w:ascii="Arial" w:cs="Arial" w:eastAsia="Arial" w:hAnsi="Arial"/>
                <w:sz w:val="18"/>
                <w:szCs w:val="18"/>
                <w:color w:val="auto"/>
                <w:w w:val="92"/>
              </w:rPr>
              <w:t>Pro Forma Haemonetics Corporation 2005 Long-Term Incentive Compensation Plan, reflecting amendments dated July 31, 2008, July 29,</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2009, July 21, 2011, November 30, 2012, July 24, 2013 and January 21, 2014 (filed as Exhibit 10AE to the Company's Form 10-K for the</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fiscal year ended March 29, 2014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10V*†</w:t>
            </w:r>
          </w:p>
        </w:tc>
        <w:tc>
          <w:tcPr>
            <w:tcW w:w="10140" w:type="dxa"/>
            <w:vAlign w:val="bottom"/>
          </w:tcPr>
          <w:p>
            <w:pPr>
              <w:spacing w:after="0"/>
              <w:rPr>
                <w:sz w:val="20"/>
                <w:szCs w:val="20"/>
                <w:color w:val="auto"/>
              </w:rPr>
            </w:pPr>
            <w:r>
              <w:rPr>
                <w:rFonts w:ascii="Arial" w:cs="Arial" w:eastAsia="Arial" w:hAnsi="Arial"/>
                <w:sz w:val="18"/>
                <w:szCs w:val="18"/>
                <w:color w:val="auto"/>
                <w:w w:val="96"/>
              </w:rPr>
              <w:t>Form of Option Agreement for Non-Qualified stock options for the 2005 Long Term-Incentive Compensation Plan for Non-employee</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Directors (filed as Exhibit 10.1 to the Company's Form 10-Q for the quarter ended October 1, 2005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10W*†</w:t>
            </w:r>
          </w:p>
        </w:tc>
        <w:tc>
          <w:tcPr>
            <w:tcW w:w="10140" w:type="dxa"/>
            <w:vAlign w:val="bottom"/>
          </w:tcPr>
          <w:p>
            <w:pPr>
              <w:spacing w:after="0"/>
              <w:rPr>
                <w:sz w:val="20"/>
                <w:szCs w:val="20"/>
                <w:color w:val="auto"/>
              </w:rPr>
            </w:pPr>
            <w:r>
              <w:rPr>
                <w:rFonts w:ascii="Arial" w:cs="Arial" w:eastAsia="Arial" w:hAnsi="Arial"/>
                <w:sz w:val="18"/>
                <w:szCs w:val="18"/>
                <w:color w:val="auto"/>
                <w:w w:val="92"/>
              </w:rPr>
              <w:t>Form of Option Agreement for Non-Qualified stock options for the 2005 Long-Term Incentive Compensation Plan for Employees. (filed as</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Exhibit 10S to the Company's Form 10-K for the fiscal year ended March 30, 2010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10X*†</w:t>
            </w:r>
          </w:p>
        </w:tc>
        <w:tc>
          <w:tcPr>
            <w:tcW w:w="10140" w:type="dxa"/>
            <w:vAlign w:val="bottom"/>
          </w:tcPr>
          <w:p>
            <w:pPr>
              <w:spacing w:after="0"/>
              <w:rPr>
                <w:sz w:val="20"/>
                <w:szCs w:val="20"/>
                <w:color w:val="auto"/>
              </w:rPr>
            </w:pPr>
            <w:r>
              <w:rPr>
                <w:rFonts w:ascii="Arial" w:cs="Arial" w:eastAsia="Arial" w:hAnsi="Arial"/>
                <w:sz w:val="18"/>
                <w:szCs w:val="18"/>
                <w:color w:val="auto"/>
                <w:w w:val="93"/>
              </w:rPr>
              <w:t>Form of Option Agreement for Non-Qualified stock options for the 2005 Long-Term Incentive Compensation Plan for the Chief Executive</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4"/>
              </w:rPr>
              <w:t>Officer (filed as Exhibit 10.3 to the Company's Form 10-Q for the quarter ended October 1, 2005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10Y*†</w:t>
            </w:r>
          </w:p>
        </w:tc>
        <w:tc>
          <w:tcPr>
            <w:tcW w:w="10140" w:type="dxa"/>
            <w:vAlign w:val="bottom"/>
          </w:tcPr>
          <w:p>
            <w:pPr>
              <w:spacing w:after="0"/>
              <w:rPr>
                <w:sz w:val="20"/>
                <w:szCs w:val="20"/>
                <w:color w:val="auto"/>
              </w:rPr>
            </w:pPr>
            <w:r>
              <w:rPr>
                <w:rFonts w:ascii="Arial" w:cs="Arial" w:eastAsia="Arial" w:hAnsi="Arial"/>
                <w:sz w:val="18"/>
                <w:szCs w:val="18"/>
                <w:color w:val="auto"/>
                <w:w w:val="94"/>
              </w:rPr>
              <w:t>Form of Restricted Stock Agreement with Employees under 2005 Long-Term Incentive Compensation Plan. (filed as Exhibit 10U to the</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Company's Form 10-K for the year ended April 3, 20`0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10Z*†</w:t>
            </w:r>
          </w:p>
        </w:tc>
        <w:tc>
          <w:tcPr>
            <w:tcW w:w="10140" w:type="dxa"/>
            <w:vAlign w:val="bottom"/>
          </w:tcPr>
          <w:p>
            <w:pPr>
              <w:spacing w:after="0"/>
              <w:rPr>
                <w:sz w:val="20"/>
                <w:szCs w:val="20"/>
                <w:color w:val="auto"/>
              </w:rPr>
            </w:pPr>
            <w:r>
              <w:rPr>
                <w:rFonts w:ascii="Arial" w:cs="Arial" w:eastAsia="Arial" w:hAnsi="Arial"/>
                <w:sz w:val="18"/>
                <w:szCs w:val="18"/>
                <w:color w:val="auto"/>
                <w:w w:val="90"/>
              </w:rPr>
              <w:t>Form of Amended and Restated Change in Control Agreement made effective on April 2, 2009 between the Company and Brian Concannon</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(filed as Exhibit 10Y to the Company's Form 10-Q for the quarter ended June 27, 2009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10AA*†</w:t>
            </w:r>
          </w:p>
        </w:tc>
        <w:tc>
          <w:tcPr>
            <w:tcW w:w="10140" w:type="dxa"/>
            <w:vAlign w:val="bottom"/>
          </w:tcPr>
          <w:p>
            <w:pPr>
              <w:spacing w:after="0"/>
              <w:rPr>
                <w:sz w:val="20"/>
                <w:szCs w:val="20"/>
                <w:color w:val="auto"/>
              </w:rPr>
            </w:pPr>
            <w:r>
              <w:rPr>
                <w:rFonts w:ascii="Arial" w:cs="Arial" w:eastAsia="Arial" w:hAnsi="Arial"/>
                <w:sz w:val="18"/>
                <w:szCs w:val="18"/>
                <w:color w:val="auto"/>
                <w:w w:val="93"/>
              </w:rPr>
              <w:t>Form of Market Stock Unit Agreement for the 2005 Long-Term Incentive Compensation Plan (filed as Exhibit 10.3 to the Company's 8-K,</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dated July 26,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10AB*†</w:t>
            </w:r>
          </w:p>
        </w:tc>
        <w:tc>
          <w:tcPr>
            <w:tcW w:w="10140" w:type="dxa"/>
            <w:vAlign w:val="bottom"/>
          </w:tcPr>
          <w:p>
            <w:pPr>
              <w:spacing w:after="0"/>
              <w:rPr>
                <w:sz w:val="20"/>
                <w:szCs w:val="20"/>
                <w:color w:val="auto"/>
              </w:rPr>
            </w:pPr>
            <w:r>
              <w:rPr>
                <w:rFonts w:ascii="Arial" w:cs="Arial" w:eastAsia="Arial" w:hAnsi="Arial"/>
                <w:sz w:val="18"/>
                <w:szCs w:val="18"/>
                <w:color w:val="auto"/>
                <w:w w:val="95"/>
              </w:rPr>
              <w:t>Form of Amended and Restated Change in Control Agreement (filed as exhibit 10AK to the Company's Form 10-K, for the year-ended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March 31,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10AC*†</w:t>
            </w:r>
          </w:p>
        </w:tc>
        <w:tc>
          <w:tcPr>
            <w:tcW w:w="10140" w:type="dxa"/>
            <w:vAlign w:val="bottom"/>
          </w:tcPr>
          <w:p>
            <w:pPr>
              <w:spacing w:after="0"/>
              <w:rPr>
                <w:sz w:val="20"/>
                <w:szCs w:val="20"/>
                <w:color w:val="auto"/>
              </w:rPr>
            </w:pPr>
            <w:r>
              <w:rPr>
                <w:rFonts w:ascii="Arial" w:cs="Arial" w:eastAsia="Arial" w:hAnsi="Arial"/>
                <w:sz w:val="18"/>
                <w:szCs w:val="18"/>
                <w:color w:val="auto"/>
                <w:w w:val="94"/>
              </w:rPr>
              <w:t>2007 Employee Stock Purchase Plan (filed as Exhibit 10AS to the Company's Form 10-K for the fiscal year ended March 29, 2008 and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486"/>
        </w:trPr>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tcPr>
          <w:p>
            <w:pPr>
              <w:ind w:left="4400"/>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11320"/>
          </w:cols>
          <w:pgMar w:left="240" w:top="118" w:right="33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20" w:type="dxa"/>
            <w:vAlign w:val="bottom"/>
          </w:tcPr>
          <w:p>
            <w:pPr>
              <w:spacing w:after="0"/>
              <w:rPr>
                <w:sz w:val="16"/>
                <w:szCs w:val="16"/>
                <w:color w:val="auto"/>
              </w:rPr>
            </w:pPr>
          </w:p>
        </w:tc>
        <w:tc>
          <w:tcPr>
            <w:tcW w:w="10120" w:type="dxa"/>
            <w:vAlign w:val="bottom"/>
          </w:tcPr>
          <w:p>
            <w:pPr>
              <w:spacing w:after="0"/>
              <w:rPr>
                <w:sz w:val="16"/>
                <w:szCs w:val="16"/>
                <w:color w:val="auto"/>
              </w:rPr>
            </w:pPr>
          </w:p>
        </w:tc>
      </w:tr>
      <w:tr>
        <w:trPr>
          <w:trHeight w:val="614"/>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10AD*†</w:t>
            </w:r>
          </w:p>
        </w:tc>
        <w:tc>
          <w:tcPr>
            <w:tcW w:w="10120" w:type="dxa"/>
            <w:vAlign w:val="bottom"/>
          </w:tcPr>
          <w:p>
            <w:pPr>
              <w:spacing w:after="0"/>
              <w:rPr>
                <w:sz w:val="20"/>
                <w:szCs w:val="20"/>
                <w:color w:val="auto"/>
              </w:rPr>
            </w:pPr>
            <w:r>
              <w:rPr>
                <w:rFonts w:ascii="Arial" w:cs="Arial" w:eastAsia="Arial" w:hAnsi="Arial"/>
                <w:sz w:val="18"/>
                <w:szCs w:val="18"/>
                <w:color w:val="auto"/>
                <w:w w:val="91"/>
              </w:rPr>
              <w:t>Pro Forma Amended and Restated Non-Qualified Deferred Compensation Plan as amended and restated on July 24, 2013 (filed as Exhibit</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10B to the Company's Form 10-Q for the quarter ended September 27, 2014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10AO*</w:t>
            </w:r>
          </w:p>
        </w:tc>
        <w:tc>
          <w:tcPr>
            <w:tcW w:w="10120" w:type="dxa"/>
            <w:vAlign w:val="bottom"/>
          </w:tcPr>
          <w:p>
            <w:pPr>
              <w:spacing w:after="0"/>
              <w:rPr>
                <w:sz w:val="20"/>
                <w:szCs w:val="20"/>
                <w:color w:val="auto"/>
              </w:rPr>
            </w:pPr>
            <w:r>
              <w:rPr>
                <w:rFonts w:ascii="Arial" w:cs="Arial" w:eastAsia="Arial" w:hAnsi="Arial"/>
                <w:sz w:val="18"/>
                <w:szCs w:val="18"/>
                <w:color w:val="auto"/>
                <w:w w:val="90"/>
              </w:rPr>
              <w:t>Asset Purchase Agreement, dated as of April 28, 2012, by and between Haemonetics Corporation and Pall Corporation (filed as Exhibit 10Z</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to the Company's Form 10-K for the fiscal year ended March 31, 2012 and incorporated herein by reference).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Subsidiary Certifications and Consents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21.1</w:t>
            </w:r>
          </w:p>
        </w:tc>
        <w:tc>
          <w:tcPr>
            <w:tcW w:w="10540" w:type="dxa"/>
            <w:vAlign w:val="bottom"/>
          </w:tcPr>
          <w:p>
            <w:pPr>
              <w:ind w:left="400"/>
              <w:spacing w:after="0"/>
              <w:rPr>
                <w:sz w:val="20"/>
                <w:szCs w:val="20"/>
                <w:color w:val="auto"/>
              </w:rPr>
            </w:pPr>
            <w:r>
              <w:rPr>
                <w:rFonts w:ascii="Arial" w:cs="Arial" w:eastAsia="Arial" w:hAnsi="Arial"/>
                <w:sz w:val="18"/>
                <w:szCs w:val="18"/>
                <w:color w:val="auto"/>
              </w:rPr>
              <w:t>Subsidiaries of the Company.</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23.1</w:t>
            </w:r>
          </w:p>
        </w:tc>
        <w:tc>
          <w:tcPr>
            <w:tcW w:w="10540" w:type="dxa"/>
            <w:vAlign w:val="bottom"/>
          </w:tcPr>
          <w:p>
            <w:pPr>
              <w:ind w:left="400"/>
              <w:spacing w:after="0"/>
              <w:rPr>
                <w:sz w:val="20"/>
                <w:szCs w:val="20"/>
                <w:color w:val="auto"/>
              </w:rPr>
            </w:pPr>
            <w:r>
              <w:rPr>
                <w:rFonts w:ascii="Arial" w:cs="Arial" w:eastAsia="Arial" w:hAnsi="Arial"/>
                <w:sz w:val="18"/>
                <w:szCs w:val="18"/>
                <w:color w:val="auto"/>
              </w:rPr>
              <w:t>Consent of the Independent Registered Public Accounting Firm.</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10540" w:type="dxa"/>
            <w:vAlign w:val="bottom"/>
          </w:tcPr>
          <w:p>
            <w:pPr>
              <w:ind w:left="400"/>
              <w:spacing w:after="0"/>
              <w:rPr>
                <w:sz w:val="20"/>
                <w:szCs w:val="20"/>
                <w:color w:val="auto"/>
              </w:rPr>
            </w:pPr>
            <w:r>
              <w:rPr>
                <w:rFonts w:ascii="Arial" w:cs="Arial" w:eastAsia="Arial" w:hAnsi="Arial"/>
                <w:sz w:val="18"/>
                <w:szCs w:val="18"/>
                <w:color w:val="auto"/>
                <w:w w:val="93"/>
              </w:rPr>
              <w:t>Certification pursuant to Section 302 of Sarbanes-Oxley Act of 2002, of Christopher Simon, President and Chief Executive Officer of the</w:t>
            </w:r>
          </w:p>
        </w:tc>
      </w:tr>
      <w:tr>
        <w:trPr>
          <w:trHeight w:val="230"/>
        </w:trPr>
        <w:tc>
          <w:tcPr>
            <w:tcW w:w="740" w:type="dxa"/>
            <w:vAlign w:val="bottom"/>
          </w:tcPr>
          <w:p>
            <w:pPr>
              <w:spacing w:after="0"/>
              <w:rPr>
                <w:sz w:val="20"/>
                <w:szCs w:val="20"/>
                <w:color w:val="auto"/>
              </w:rPr>
            </w:pPr>
          </w:p>
        </w:tc>
        <w:tc>
          <w:tcPr>
            <w:tcW w:w="10540" w:type="dxa"/>
            <w:vAlign w:val="bottom"/>
          </w:tcPr>
          <w:p>
            <w:pPr>
              <w:ind w:left="400"/>
              <w:spacing w:after="0"/>
              <w:rPr>
                <w:sz w:val="20"/>
                <w:szCs w:val="20"/>
                <w:color w:val="auto"/>
              </w:rPr>
            </w:pPr>
            <w:r>
              <w:rPr>
                <w:rFonts w:ascii="Arial" w:cs="Arial" w:eastAsia="Arial" w:hAnsi="Arial"/>
                <w:sz w:val="18"/>
                <w:szCs w:val="18"/>
                <w:color w:val="auto"/>
              </w:rPr>
              <w:t>Company.</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10540" w:type="dxa"/>
            <w:vAlign w:val="bottom"/>
          </w:tcPr>
          <w:p>
            <w:pPr>
              <w:ind w:left="400"/>
              <w:spacing w:after="0"/>
              <w:rPr>
                <w:sz w:val="20"/>
                <w:szCs w:val="20"/>
                <w:color w:val="auto"/>
              </w:rPr>
            </w:pPr>
            <w:r>
              <w:rPr>
                <w:rFonts w:ascii="Arial" w:cs="Arial" w:eastAsia="Arial" w:hAnsi="Arial"/>
                <w:sz w:val="18"/>
                <w:szCs w:val="18"/>
                <w:color w:val="auto"/>
                <w:w w:val="97"/>
              </w:rPr>
              <w:t>Certification pursuant to Section 302 of Sarbanes-Oxley of 2002, of Christopher Lindop, Chief Financial Officer and Executive Vice</w:t>
            </w:r>
          </w:p>
        </w:tc>
      </w:tr>
      <w:tr>
        <w:trPr>
          <w:trHeight w:val="230"/>
        </w:trPr>
        <w:tc>
          <w:tcPr>
            <w:tcW w:w="740" w:type="dxa"/>
            <w:vAlign w:val="bottom"/>
          </w:tcPr>
          <w:p>
            <w:pPr>
              <w:spacing w:after="0"/>
              <w:rPr>
                <w:sz w:val="20"/>
                <w:szCs w:val="20"/>
                <w:color w:val="auto"/>
              </w:rPr>
            </w:pPr>
          </w:p>
        </w:tc>
        <w:tc>
          <w:tcPr>
            <w:tcW w:w="10540" w:type="dxa"/>
            <w:vAlign w:val="bottom"/>
          </w:tcPr>
          <w:p>
            <w:pPr>
              <w:ind w:left="400"/>
              <w:spacing w:after="0"/>
              <w:rPr>
                <w:sz w:val="20"/>
                <w:szCs w:val="20"/>
                <w:color w:val="auto"/>
              </w:rPr>
            </w:pPr>
            <w:r>
              <w:rPr>
                <w:rFonts w:ascii="Arial" w:cs="Arial" w:eastAsia="Arial" w:hAnsi="Arial"/>
                <w:sz w:val="18"/>
                <w:szCs w:val="18"/>
                <w:color w:val="auto"/>
              </w:rPr>
              <w:t>President Business Development of the Company.</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32.1</w:t>
            </w:r>
          </w:p>
        </w:tc>
        <w:tc>
          <w:tcPr>
            <w:tcW w:w="10540" w:type="dxa"/>
            <w:vAlign w:val="bottom"/>
          </w:tcPr>
          <w:p>
            <w:pPr>
              <w:ind w:left="400"/>
              <w:spacing w:after="0"/>
              <w:rPr>
                <w:sz w:val="20"/>
                <w:szCs w:val="20"/>
                <w:color w:val="auto"/>
              </w:rPr>
            </w:pPr>
            <w:r>
              <w:rPr>
                <w:rFonts w:ascii="Arial" w:cs="Arial" w:eastAsia="Arial" w:hAnsi="Arial"/>
                <w:sz w:val="18"/>
                <w:szCs w:val="18"/>
                <w:color w:val="auto"/>
                <w:w w:val="92"/>
              </w:rPr>
              <w:t>Certification Pursuant to 18 United States Code Section 1350, as adopted Pursuant to Section 906 of the Sarbanes-Oxley Act of 2002, of</w:t>
            </w:r>
          </w:p>
        </w:tc>
      </w:tr>
      <w:tr>
        <w:trPr>
          <w:trHeight w:val="230"/>
        </w:trPr>
        <w:tc>
          <w:tcPr>
            <w:tcW w:w="740" w:type="dxa"/>
            <w:vAlign w:val="bottom"/>
          </w:tcPr>
          <w:p>
            <w:pPr>
              <w:spacing w:after="0"/>
              <w:rPr>
                <w:sz w:val="20"/>
                <w:szCs w:val="20"/>
                <w:color w:val="auto"/>
              </w:rPr>
            </w:pPr>
          </w:p>
        </w:tc>
        <w:tc>
          <w:tcPr>
            <w:tcW w:w="10540" w:type="dxa"/>
            <w:vAlign w:val="bottom"/>
          </w:tcPr>
          <w:p>
            <w:pPr>
              <w:ind w:left="400"/>
              <w:spacing w:after="0"/>
              <w:rPr>
                <w:sz w:val="20"/>
                <w:szCs w:val="20"/>
                <w:color w:val="auto"/>
              </w:rPr>
            </w:pPr>
            <w:r>
              <w:rPr>
                <w:rFonts w:ascii="Arial" w:cs="Arial" w:eastAsia="Arial" w:hAnsi="Arial"/>
                <w:sz w:val="18"/>
                <w:szCs w:val="18"/>
                <w:color w:val="auto"/>
              </w:rPr>
              <w:t>Christopher Simon, President and Chief Executive Officer of the Company.</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32.2</w:t>
            </w:r>
          </w:p>
        </w:tc>
        <w:tc>
          <w:tcPr>
            <w:tcW w:w="10540" w:type="dxa"/>
            <w:vAlign w:val="bottom"/>
          </w:tcPr>
          <w:p>
            <w:pPr>
              <w:ind w:left="400"/>
              <w:spacing w:after="0"/>
              <w:rPr>
                <w:sz w:val="20"/>
                <w:szCs w:val="20"/>
                <w:color w:val="auto"/>
              </w:rPr>
            </w:pPr>
            <w:r>
              <w:rPr>
                <w:rFonts w:ascii="Arial" w:cs="Arial" w:eastAsia="Arial" w:hAnsi="Arial"/>
                <w:sz w:val="18"/>
                <w:szCs w:val="18"/>
                <w:color w:val="auto"/>
                <w:w w:val="92"/>
              </w:rPr>
              <w:t>Certification Pursuant to 18 United States Code Section 1350, as adopted Pursuant to Section 906 of the Sarbanes-Oxley Act of 2002, of</w:t>
            </w:r>
          </w:p>
        </w:tc>
      </w:tr>
      <w:tr>
        <w:trPr>
          <w:trHeight w:val="230"/>
        </w:trPr>
        <w:tc>
          <w:tcPr>
            <w:tcW w:w="740" w:type="dxa"/>
            <w:vAlign w:val="bottom"/>
          </w:tcPr>
          <w:p>
            <w:pPr>
              <w:spacing w:after="0"/>
              <w:rPr>
                <w:sz w:val="20"/>
                <w:szCs w:val="20"/>
                <w:color w:val="auto"/>
              </w:rPr>
            </w:pPr>
          </w:p>
        </w:tc>
        <w:tc>
          <w:tcPr>
            <w:tcW w:w="10540" w:type="dxa"/>
            <w:vAlign w:val="bottom"/>
          </w:tcPr>
          <w:p>
            <w:pPr>
              <w:ind w:left="400"/>
              <w:spacing w:after="0"/>
              <w:rPr>
                <w:sz w:val="20"/>
                <w:szCs w:val="20"/>
                <w:color w:val="auto"/>
              </w:rPr>
            </w:pPr>
            <w:r>
              <w:rPr>
                <w:rFonts w:ascii="Arial" w:cs="Arial" w:eastAsia="Arial" w:hAnsi="Arial"/>
                <w:sz w:val="18"/>
                <w:szCs w:val="18"/>
                <w:color w:val="auto"/>
              </w:rPr>
              <w:t>Christopher Lindop, Chief Financial Officer and Executive Vice President Business Development of the Company.</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101ˆ</w:t>
            </w:r>
          </w:p>
        </w:tc>
        <w:tc>
          <w:tcPr>
            <w:tcW w:w="10540" w:type="dxa"/>
            <w:vAlign w:val="bottom"/>
          </w:tcPr>
          <w:p>
            <w:pPr>
              <w:ind w:left="400"/>
              <w:spacing w:after="0"/>
              <w:rPr>
                <w:sz w:val="20"/>
                <w:szCs w:val="20"/>
                <w:color w:val="auto"/>
              </w:rPr>
            </w:pPr>
            <w:r>
              <w:rPr>
                <w:rFonts w:ascii="Arial" w:cs="Arial" w:eastAsia="Arial" w:hAnsi="Arial"/>
                <w:sz w:val="18"/>
                <w:szCs w:val="18"/>
                <w:color w:val="auto"/>
                <w:w w:val="94"/>
              </w:rPr>
              <w:t>The following materials from Haemonetics Corporation on Form 10-K for the year ended April 2, 2016, formatted in Extensive Business</w:t>
            </w:r>
          </w:p>
        </w:tc>
      </w:tr>
      <w:tr>
        <w:trPr>
          <w:trHeight w:val="230"/>
        </w:trPr>
        <w:tc>
          <w:tcPr>
            <w:tcW w:w="740" w:type="dxa"/>
            <w:vAlign w:val="bottom"/>
          </w:tcPr>
          <w:p>
            <w:pPr>
              <w:spacing w:after="0"/>
              <w:rPr>
                <w:sz w:val="20"/>
                <w:szCs w:val="20"/>
                <w:color w:val="auto"/>
              </w:rPr>
            </w:pPr>
          </w:p>
        </w:tc>
        <w:tc>
          <w:tcPr>
            <w:tcW w:w="10540" w:type="dxa"/>
            <w:vAlign w:val="bottom"/>
          </w:tcPr>
          <w:p>
            <w:pPr>
              <w:ind w:left="400"/>
              <w:spacing w:after="0"/>
              <w:rPr>
                <w:sz w:val="20"/>
                <w:szCs w:val="20"/>
                <w:color w:val="auto"/>
              </w:rPr>
            </w:pPr>
            <w:r>
              <w:rPr>
                <w:rFonts w:ascii="Arial" w:cs="Arial" w:eastAsia="Arial" w:hAnsi="Arial"/>
                <w:sz w:val="18"/>
                <w:szCs w:val="18"/>
                <w:color w:val="auto"/>
                <w:w w:val="91"/>
              </w:rPr>
              <w:t>Reporting Language (XBRL): (i) Consolidated Statements of (Loss) Income, (ii) Consolidated Statements of Comprehensive (Loss) Income,</w:t>
            </w:r>
          </w:p>
        </w:tc>
      </w:tr>
    </w:tbl>
    <w:p>
      <w:pPr>
        <w:ind w:left="1500" w:hanging="317"/>
        <w:spacing w:after="0"/>
        <w:tabs>
          <w:tab w:leader="none" w:pos="15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Consolidated Balance Sheets, (iv) Consolidated Statement of Stockholders' Equity, (v) Consolidated Statements of Cash Flows, and</w:t>
      </w:r>
    </w:p>
    <w:p>
      <w:pPr>
        <w:spacing w:after="0" w:line="32" w:lineRule="exact"/>
        <w:rPr>
          <w:rFonts w:ascii="Arial" w:cs="Arial" w:eastAsia="Arial" w:hAnsi="Arial"/>
          <w:sz w:val="16"/>
          <w:szCs w:val="16"/>
          <w:color w:val="auto"/>
        </w:rPr>
      </w:pPr>
    </w:p>
    <w:p>
      <w:pPr>
        <w:ind w:left="40" w:right="4840" w:firstLine="1143"/>
        <w:spacing w:after="0" w:line="383" w:lineRule="auto"/>
        <w:tabs>
          <w:tab w:leader="none" w:pos="1493"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Notes to Consolidated Financial Statements, tagged as blocks of text. * Incorporated by reference</w:t>
      </w:r>
    </w:p>
    <w:p>
      <w:pPr>
        <w:ind w:left="40"/>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Agreement, plan, or arrangement related to the compensation of officers or directors</w:t>
      </w:r>
    </w:p>
    <w:p>
      <w:pPr>
        <w:spacing w:after="0" w:line="63" w:lineRule="exact"/>
        <w:rPr>
          <w:sz w:val="20"/>
          <w:szCs w:val="20"/>
          <w:color w:val="auto"/>
        </w:rPr>
      </w:pPr>
    </w:p>
    <w:p>
      <w:pPr>
        <w:ind w:left="260" w:right="600" w:hanging="225"/>
        <w:spacing w:after="0" w:line="264" w:lineRule="auto"/>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10-K is deemed not filed or part of a registration statement or prospectus for purposes of sections 11 or 12 of the Securities Act, is deemed not filed for purposes of section 18 of the Exchange Act, and otherwise is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20"/>
          </w:cols>
          <w:pgMar w:left="240" w:top="117" w:right="339" w:bottom="1440" w:gutter="0" w:footer="0" w:header="0"/>
        </w:sectPr>
      </w:pPr>
    </w:p>
    <w:bookmarkStart w:id="103" w:name="page104"/>
    <w:bookmarkEnd w:id="10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SCHEDULE II</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HAEMONETICS CORPORATION</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VALUATION AND QUALIFYING ACCOUNTS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Charged to</w:t>
            </w:r>
          </w:p>
        </w:tc>
        <w:tc>
          <w:tcPr>
            <w:tcW w:w="16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Write-Offs</w:t>
            </w:r>
          </w:p>
        </w:tc>
        <w:tc>
          <w:tcPr>
            <w:tcW w:w="160" w:type="dxa"/>
            <w:vAlign w:val="bottom"/>
          </w:tcPr>
          <w:p>
            <w:pPr>
              <w:spacing w:after="0"/>
              <w:rPr>
                <w:sz w:val="14"/>
                <w:szCs w:val="14"/>
                <w:color w:val="auto"/>
              </w:rPr>
            </w:pPr>
          </w:p>
        </w:tc>
        <w:tc>
          <w:tcPr>
            <w:tcW w:w="12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7"/>
              </w:rPr>
              <w:t>Balance at End</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Costs and</w:t>
            </w: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Fiscal Year</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Expenses</w:t>
            </w:r>
          </w:p>
        </w:tc>
        <w:tc>
          <w:tcPr>
            <w:tcW w:w="16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(Net of Recoveries)</w:t>
            </w:r>
          </w:p>
        </w:tc>
        <w:tc>
          <w:tcPr>
            <w:tcW w:w="160" w:type="dxa"/>
            <w:vAlign w:val="bottom"/>
          </w:tcPr>
          <w:p>
            <w:pPr>
              <w:spacing w:after="0"/>
              <w:rPr>
                <w:sz w:val="16"/>
                <w:szCs w:val="16"/>
                <w:color w:val="auto"/>
              </w:rPr>
            </w:pPr>
          </w:p>
        </w:tc>
        <w:tc>
          <w:tcPr>
            <w:tcW w:w="1200" w:type="dxa"/>
            <w:vAlign w:val="bottom"/>
          </w:tcPr>
          <w:p>
            <w:pPr>
              <w:jc w:val="right"/>
              <w:ind w:right="177"/>
              <w:spacing w:after="0"/>
              <w:rPr>
                <w:sz w:val="20"/>
                <w:szCs w:val="20"/>
                <w:color w:val="auto"/>
              </w:rPr>
            </w:pPr>
            <w:r>
              <w:rPr>
                <w:rFonts w:ascii="Arial" w:cs="Arial" w:eastAsia="Arial" w:hAnsi="Arial"/>
                <w:sz w:val="14"/>
                <w:szCs w:val="14"/>
                <w:b w:val="1"/>
                <w:bCs w:val="1"/>
                <w:color w:val="auto"/>
              </w:rPr>
              <w:t>of Fiscal Year</w:t>
            </w:r>
          </w:p>
        </w:tc>
        <w:tc>
          <w:tcPr>
            <w:tcW w:w="0" w:type="dxa"/>
            <w:vAlign w:val="bottom"/>
          </w:tcPr>
          <w:p>
            <w:pPr>
              <w:spacing w:after="0"/>
              <w:rPr>
                <w:sz w:val="1"/>
                <w:szCs w:val="1"/>
                <w:color w:val="auto"/>
              </w:rPr>
            </w:pPr>
          </w:p>
        </w:tc>
      </w:tr>
      <w:tr>
        <w:trPr>
          <w:trHeight w:val="250"/>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Year Ended April 2, 2016</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Year Ended March 28, 2015</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Year Ended March 29, 2014</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130" w:right="299" w:bottom="1440" w:gutter="0" w:footer="0" w:header="0"/>
        </w:sectPr>
      </w:pPr>
    </w:p>
    <w:bookmarkStart w:id="104" w:name="page105"/>
    <w:bookmarkEnd w:id="104"/>
    <w:p>
      <w:pPr>
        <w:spacing w:after="0"/>
        <w:rPr>
          <w:sz w:val="20"/>
          <w:szCs w:val="20"/>
          <w:color w:val="auto"/>
        </w:rPr>
      </w:pPr>
      <w:r>
        <w:rPr>
          <w:rFonts w:ascii="Arial" w:cs="Arial" w:eastAsia="Arial" w:hAnsi="Arial"/>
          <w:sz w:val="20"/>
          <w:szCs w:val="20"/>
          <w:color w:val="F2F2F2"/>
        </w:rPr>
        <w:t>Exhibit 21.1</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color w:val="auto"/>
        </w:rPr>
        <w:t>Exhibit 21.1 - Subsidiaries of the Company</w:t>
      </w:r>
    </w:p>
    <w:p>
      <w:pPr>
        <w:spacing w:after="0" w:line="341"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6180" w:type="dxa"/>
            <w:vAlign w:val="bottom"/>
            <w:shd w:val="clear" w:color="auto" w:fill="666699"/>
          </w:tcPr>
          <w:p>
            <w:pPr>
              <w:ind w:left="40"/>
              <w:spacing w:after="0"/>
              <w:rPr>
                <w:sz w:val="20"/>
                <w:szCs w:val="20"/>
                <w:color w:val="auto"/>
              </w:rPr>
            </w:pPr>
            <w:r>
              <w:rPr>
                <w:rFonts w:ascii="Arial" w:cs="Arial" w:eastAsia="Arial" w:hAnsi="Arial"/>
                <w:sz w:val="15"/>
                <w:szCs w:val="15"/>
                <w:b w:val="1"/>
                <w:bCs w:val="1"/>
                <w:color w:val="FFFFFF"/>
              </w:rPr>
              <w:t>Entity Name</w:t>
            </w:r>
          </w:p>
        </w:tc>
        <w:tc>
          <w:tcPr>
            <w:tcW w:w="4520" w:type="dxa"/>
            <w:vAlign w:val="bottom"/>
            <w:shd w:val="clear" w:color="auto" w:fill="666699"/>
          </w:tcPr>
          <w:p>
            <w:pPr>
              <w:ind w:left="1240"/>
              <w:spacing w:after="0"/>
              <w:rPr>
                <w:sz w:val="20"/>
                <w:szCs w:val="20"/>
                <w:color w:val="auto"/>
              </w:rPr>
            </w:pPr>
            <w:r>
              <w:rPr>
                <w:rFonts w:ascii="Arial" w:cs="Arial" w:eastAsia="Arial" w:hAnsi="Arial"/>
                <w:sz w:val="15"/>
                <w:szCs w:val="15"/>
                <w:b w:val="1"/>
                <w:bCs w:val="1"/>
                <w:color w:val="FFFFFF"/>
              </w:rPr>
              <w:t>Jurisdiction of Incorporation</w:t>
            </w:r>
          </w:p>
        </w:tc>
      </w:tr>
      <w:tr>
        <w:trPr>
          <w:trHeight w:val="208"/>
        </w:trPr>
        <w:tc>
          <w:tcPr>
            <w:tcW w:w="6180" w:type="dxa"/>
            <w:vAlign w:val="bottom"/>
          </w:tcPr>
          <w:p>
            <w:pPr>
              <w:ind w:left="40"/>
              <w:spacing w:after="0"/>
              <w:rPr>
                <w:sz w:val="20"/>
                <w:szCs w:val="20"/>
                <w:color w:val="auto"/>
              </w:rPr>
            </w:pPr>
            <w:r>
              <w:rPr>
                <w:rFonts w:ascii="Arial" w:cs="Arial" w:eastAsia="Arial" w:hAnsi="Arial"/>
                <w:sz w:val="15"/>
                <w:szCs w:val="15"/>
                <w:color w:val="auto"/>
              </w:rPr>
              <w:t>5D Information Management, Inc.</w:t>
            </w:r>
          </w:p>
        </w:tc>
        <w:tc>
          <w:tcPr>
            <w:tcW w:w="4520" w:type="dxa"/>
            <w:vAlign w:val="bottom"/>
          </w:tcPr>
          <w:p>
            <w:pPr>
              <w:ind w:left="1240"/>
              <w:spacing w:after="0"/>
              <w:rPr>
                <w:sz w:val="20"/>
                <w:szCs w:val="20"/>
                <w:color w:val="auto"/>
              </w:rPr>
            </w:pPr>
            <w:r>
              <w:rPr>
                <w:rFonts w:ascii="Arial" w:cs="Arial" w:eastAsia="Arial" w:hAnsi="Arial"/>
                <w:sz w:val="15"/>
                <w:szCs w:val="15"/>
                <w:color w:val="auto"/>
              </w:rPr>
              <w:t>Delaware</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Arryx, Inc.</w:t>
            </w:r>
          </w:p>
        </w:tc>
        <w:tc>
          <w:tcPr>
            <w:tcW w:w="4520" w:type="dxa"/>
            <w:vAlign w:val="bottom"/>
          </w:tcPr>
          <w:p>
            <w:pPr>
              <w:ind w:left="1240"/>
              <w:spacing w:after="0"/>
              <w:rPr>
                <w:sz w:val="20"/>
                <w:szCs w:val="20"/>
                <w:color w:val="auto"/>
              </w:rPr>
            </w:pPr>
            <w:r>
              <w:rPr>
                <w:rFonts w:ascii="Arial" w:cs="Arial" w:eastAsia="Arial" w:hAnsi="Arial"/>
                <w:sz w:val="15"/>
                <w:szCs w:val="15"/>
                <w:color w:val="auto"/>
              </w:rPr>
              <w:t>Nevada</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Global Med Technologies, Inc.</w:t>
            </w:r>
          </w:p>
        </w:tc>
        <w:tc>
          <w:tcPr>
            <w:tcW w:w="4520" w:type="dxa"/>
            <w:vAlign w:val="bottom"/>
          </w:tcPr>
          <w:p>
            <w:pPr>
              <w:ind w:left="1240"/>
              <w:spacing w:after="0"/>
              <w:rPr>
                <w:sz w:val="20"/>
                <w:szCs w:val="20"/>
                <w:color w:val="auto"/>
              </w:rPr>
            </w:pPr>
            <w:r>
              <w:rPr>
                <w:rFonts w:ascii="Arial" w:cs="Arial" w:eastAsia="Arial" w:hAnsi="Arial"/>
                <w:sz w:val="15"/>
                <w:szCs w:val="15"/>
                <w:color w:val="auto"/>
              </w:rPr>
              <w:t>Colorado</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(Hong Kong) Limited</w:t>
            </w:r>
          </w:p>
        </w:tc>
        <w:tc>
          <w:tcPr>
            <w:tcW w:w="4520" w:type="dxa"/>
            <w:vAlign w:val="bottom"/>
          </w:tcPr>
          <w:p>
            <w:pPr>
              <w:ind w:left="1240"/>
              <w:spacing w:after="0"/>
              <w:rPr>
                <w:sz w:val="20"/>
                <w:szCs w:val="20"/>
                <w:color w:val="auto"/>
              </w:rPr>
            </w:pPr>
            <w:r>
              <w:rPr>
                <w:rFonts w:ascii="Arial" w:cs="Arial" w:eastAsia="Arial" w:hAnsi="Arial"/>
                <w:sz w:val="15"/>
                <w:szCs w:val="15"/>
                <w:color w:val="auto"/>
              </w:rPr>
              <w:t>Hong Kong</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(UK) Limited</w:t>
            </w:r>
          </w:p>
        </w:tc>
        <w:tc>
          <w:tcPr>
            <w:tcW w:w="4520" w:type="dxa"/>
            <w:vAlign w:val="bottom"/>
          </w:tcPr>
          <w:p>
            <w:pPr>
              <w:ind w:left="1240"/>
              <w:spacing w:after="0"/>
              <w:rPr>
                <w:sz w:val="20"/>
                <w:szCs w:val="20"/>
                <w:color w:val="auto"/>
              </w:rPr>
            </w:pPr>
            <w:r>
              <w:rPr>
                <w:rFonts w:ascii="Arial" w:cs="Arial" w:eastAsia="Arial" w:hAnsi="Arial"/>
                <w:sz w:val="15"/>
                <w:szCs w:val="15"/>
                <w:color w:val="auto"/>
              </w:rPr>
              <w:t>United Kingdom</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Asia Incorporated</w:t>
            </w:r>
          </w:p>
        </w:tc>
        <w:tc>
          <w:tcPr>
            <w:tcW w:w="4520" w:type="dxa"/>
            <w:vAlign w:val="bottom"/>
          </w:tcPr>
          <w:p>
            <w:pPr>
              <w:ind w:left="1240"/>
              <w:spacing w:after="0"/>
              <w:rPr>
                <w:sz w:val="20"/>
                <w:szCs w:val="20"/>
                <w:color w:val="auto"/>
              </w:rPr>
            </w:pPr>
            <w:r>
              <w:rPr>
                <w:rFonts w:ascii="Arial" w:cs="Arial" w:eastAsia="Arial" w:hAnsi="Arial"/>
                <w:sz w:val="15"/>
                <w:szCs w:val="15"/>
                <w:color w:val="auto"/>
              </w:rPr>
              <w:t>Delaware</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Asia UK Ltd.</w:t>
            </w:r>
          </w:p>
        </w:tc>
        <w:tc>
          <w:tcPr>
            <w:tcW w:w="4520" w:type="dxa"/>
            <w:vAlign w:val="bottom"/>
          </w:tcPr>
          <w:p>
            <w:pPr>
              <w:ind w:left="1240"/>
              <w:spacing w:after="0"/>
              <w:rPr>
                <w:sz w:val="20"/>
                <w:szCs w:val="20"/>
                <w:color w:val="auto"/>
              </w:rPr>
            </w:pPr>
            <w:r>
              <w:rPr>
                <w:rFonts w:ascii="Arial" w:cs="Arial" w:eastAsia="Arial" w:hAnsi="Arial"/>
                <w:sz w:val="15"/>
                <w:szCs w:val="15"/>
                <w:color w:val="auto"/>
              </w:rPr>
              <w:t>England/Wales</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Australia PTY Ltd.</w:t>
            </w:r>
          </w:p>
        </w:tc>
        <w:tc>
          <w:tcPr>
            <w:tcW w:w="4520" w:type="dxa"/>
            <w:vAlign w:val="bottom"/>
          </w:tcPr>
          <w:p>
            <w:pPr>
              <w:ind w:left="1240"/>
              <w:spacing w:after="0"/>
              <w:rPr>
                <w:sz w:val="20"/>
                <w:szCs w:val="20"/>
                <w:color w:val="auto"/>
              </w:rPr>
            </w:pPr>
            <w:r>
              <w:rPr>
                <w:rFonts w:ascii="Arial" w:cs="Arial" w:eastAsia="Arial" w:hAnsi="Arial"/>
                <w:sz w:val="15"/>
                <w:szCs w:val="15"/>
                <w:color w:val="auto"/>
              </w:rPr>
              <w:t>Victoria</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Belgium NV</w:t>
            </w:r>
          </w:p>
        </w:tc>
        <w:tc>
          <w:tcPr>
            <w:tcW w:w="4520" w:type="dxa"/>
            <w:vAlign w:val="bottom"/>
          </w:tcPr>
          <w:p>
            <w:pPr>
              <w:ind w:left="1240"/>
              <w:spacing w:after="0"/>
              <w:rPr>
                <w:sz w:val="20"/>
                <w:szCs w:val="20"/>
                <w:color w:val="auto"/>
              </w:rPr>
            </w:pPr>
            <w:r>
              <w:rPr>
                <w:rFonts w:ascii="Arial" w:cs="Arial" w:eastAsia="Arial" w:hAnsi="Arial"/>
                <w:sz w:val="15"/>
                <w:szCs w:val="15"/>
                <w:color w:val="auto"/>
              </w:rPr>
              <w:t>Brussels - Belgium</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BV</w:t>
            </w:r>
          </w:p>
        </w:tc>
        <w:tc>
          <w:tcPr>
            <w:tcW w:w="4520" w:type="dxa"/>
            <w:vAlign w:val="bottom"/>
          </w:tcPr>
          <w:p>
            <w:pPr>
              <w:ind w:left="1240"/>
              <w:spacing w:after="0"/>
              <w:rPr>
                <w:sz w:val="20"/>
                <w:szCs w:val="20"/>
                <w:color w:val="auto"/>
              </w:rPr>
            </w:pPr>
            <w:r>
              <w:rPr>
                <w:rFonts w:ascii="Arial" w:cs="Arial" w:eastAsia="Arial" w:hAnsi="Arial"/>
                <w:sz w:val="15"/>
                <w:szCs w:val="15"/>
                <w:color w:val="auto"/>
              </w:rPr>
              <w:t>Breda - Netherlands</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Canada Ltd.</w:t>
            </w:r>
          </w:p>
        </w:tc>
        <w:tc>
          <w:tcPr>
            <w:tcW w:w="4520" w:type="dxa"/>
            <w:vAlign w:val="bottom"/>
          </w:tcPr>
          <w:p>
            <w:pPr>
              <w:ind w:left="1240"/>
              <w:spacing w:after="0"/>
              <w:rPr>
                <w:sz w:val="20"/>
                <w:szCs w:val="20"/>
                <w:color w:val="auto"/>
              </w:rPr>
            </w:pPr>
            <w:r>
              <w:rPr>
                <w:rFonts w:ascii="Arial" w:cs="Arial" w:eastAsia="Arial" w:hAnsi="Arial"/>
                <w:sz w:val="15"/>
                <w:szCs w:val="15"/>
                <w:color w:val="auto"/>
              </w:rPr>
              <w:t>British Columbia</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CZ, spol. s.r.o.</w:t>
            </w:r>
          </w:p>
        </w:tc>
        <w:tc>
          <w:tcPr>
            <w:tcW w:w="4520" w:type="dxa"/>
            <w:vAlign w:val="bottom"/>
          </w:tcPr>
          <w:p>
            <w:pPr>
              <w:ind w:left="1240"/>
              <w:spacing w:after="0"/>
              <w:rPr>
                <w:sz w:val="20"/>
                <w:szCs w:val="20"/>
                <w:color w:val="auto"/>
              </w:rPr>
            </w:pPr>
            <w:r>
              <w:rPr>
                <w:rFonts w:ascii="Arial" w:cs="Arial" w:eastAsia="Arial" w:hAnsi="Arial"/>
                <w:sz w:val="15"/>
                <w:szCs w:val="15"/>
                <w:color w:val="auto"/>
              </w:rPr>
              <w:t>Brno - Czech Republic</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France S.a.r.l</w:t>
            </w:r>
          </w:p>
        </w:tc>
        <w:tc>
          <w:tcPr>
            <w:tcW w:w="4520" w:type="dxa"/>
            <w:vAlign w:val="bottom"/>
          </w:tcPr>
          <w:p>
            <w:pPr>
              <w:ind w:left="1240"/>
              <w:spacing w:after="0"/>
              <w:rPr>
                <w:sz w:val="20"/>
                <w:szCs w:val="20"/>
                <w:color w:val="auto"/>
              </w:rPr>
            </w:pPr>
            <w:r>
              <w:rPr>
                <w:rFonts w:ascii="Arial" w:cs="Arial" w:eastAsia="Arial" w:hAnsi="Arial"/>
                <w:sz w:val="15"/>
                <w:szCs w:val="15"/>
                <w:color w:val="auto"/>
              </w:rPr>
              <w:t>Plaisir - France</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GmbH</w:t>
            </w:r>
          </w:p>
        </w:tc>
        <w:tc>
          <w:tcPr>
            <w:tcW w:w="4520" w:type="dxa"/>
            <w:vAlign w:val="bottom"/>
          </w:tcPr>
          <w:p>
            <w:pPr>
              <w:ind w:left="1240"/>
              <w:spacing w:after="0"/>
              <w:rPr>
                <w:sz w:val="20"/>
                <w:szCs w:val="20"/>
                <w:color w:val="auto"/>
              </w:rPr>
            </w:pPr>
            <w:r>
              <w:rPr>
                <w:rFonts w:ascii="Arial" w:cs="Arial" w:eastAsia="Arial" w:hAnsi="Arial"/>
                <w:sz w:val="15"/>
                <w:szCs w:val="15"/>
                <w:color w:val="auto"/>
              </w:rPr>
              <w:t>Munich - Germany</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Handelsgesellschaft m.b.H.</w:t>
            </w:r>
          </w:p>
        </w:tc>
        <w:tc>
          <w:tcPr>
            <w:tcW w:w="4520" w:type="dxa"/>
            <w:vAlign w:val="bottom"/>
          </w:tcPr>
          <w:p>
            <w:pPr>
              <w:ind w:left="1240"/>
              <w:spacing w:after="0"/>
              <w:rPr>
                <w:sz w:val="20"/>
                <w:szCs w:val="20"/>
                <w:color w:val="auto"/>
              </w:rPr>
            </w:pPr>
            <w:r>
              <w:rPr>
                <w:rFonts w:ascii="Arial" w:cs="Arial" w:eastAsia="Arial" w:hAnsi="Arial"/>
                <w:sz w:val="15"/>
                <w:szCs w:val="15"/>
                <w:color w:val="auto"/>
              </w:rPr>
              <w:t>Vienna - Austria</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Healthcare India Private Limited</w:t>
            </w:r>
          </w:p>
        </w:tc>
        <w:tc>
          <w:tcPr>
            <w:tcW w:w="4520" w:type="dxa"/>
            <w:vAlign w:val="bottom"/>
          </w:tcPr>
          <w:p>
            <w:pPr>
              <w:ind w:left="1240"/>
              <w:spacing w:after="0"/>
              <w:rPr>
                <w:sz w:val="20"/>
                <w:szCs w:val="20"/>
                <w:color w:val="auto"/>
              </w:rPr>
            </w:pPr>
            <w:r>
              <w:rPr>
                <w:rFonts w:ascii="Arial" w:cs="Arial" w:eastAsia="Arial" w:hAnsi="Arial"/>
                <w:sz w:val="15"/>
                <w:szCs w:val="15"/>
                <w:color w:val="auto"/>
              </w:rPr>
              <w:t>India</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Hospitalar Ltda.</w:t>
            </w:r>
          </w:p>
        </w:tc>
        <w:tc>
          <w:tcPr>
            <w:tcW w:w="4520" w:type="dxa"/>
            <w:vAlign w:val="bottom"/>
          </w:tcPr>
          <w:p>
            <w:pPr>
              <w:ind w:left="1240"/>
              <w:spacing w:after="0"/>
              <w:rPr>
                <w:sz w:val="20"/>
                <w:szCs w:val="20"/>
                <w:color w:val="auto"/>
              </w:rPr>
            </w:pPr>
            <w:r>
              <w:rPr>
                <w:rFonts w:ascii="Arial" w:cs="Arial" w:eastAsia="Arial" w:hAnsi="Arial"/>
                <w:sz w:val="15"/>
                <w:szCs w:val="15"/>
                <w:color w:val="auto"/>
              </w:rPr>
              <w:t>Sao Paulo - Brazil</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International Finance S.a.r.l.</w:t>
            </w:r>
          </w:p>
        </w:tc>
        <w:tc>
          <w:tcPr>
            <w:tcW w:w="4520" w:type="dxa"/>
            <w:vAlign w:val="bottom"/>
          </w:tcPr>
          <w:p>
            <w:pPr>
              <w:ind w:left="1240"/>
              <w:spacing w:after="0"/>
              <w:rPr>
                <w:sz w:val="20"/>
                <w:szCs w:val="20"/>
                <w:color w:val="auto"/>
              </w:rPr>
            </w:pPr>
            <w:r>
              <w:rPr>
                <w:rFonts w:ascii="Arial" w:cs="Arial" w:eastAsia="Arial" w:hAnsi="Arial"/>
                <w:sz w:val="15"/>
                <w:szCs w:val="15"/>
                <w:color w:val="auto"/>
              </w:rPr>
              <w:t>Luxembourg</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International Holdings GmbH</w:t>
            </w:r>
          </w:p>
        </w:tc>
        <w:tc>
          <w:tcPr>
            <w:tcW w:w="4520" w:type="dxa"/>
            <w:vAlign w:val="bottom"/>
          </w:tcPr>
          <w:p>
            <w:pPr>
              <w:ind w:left="1240"/>
              <w:spacing w:after="0"/>
              <w:rPr>
                <w:sz w:val="20"/>
                <w:szCs w:val="20"/>
                <w:color w:val="auto"/>
              </w:rPr>
            </w:pPr>
            <w:r>
              <w:rPr>
                <w:rFonts w:ascii="Arial" w:cs="Arial" w:eastAsia="Arial" w:hAnsi="Arial"/>
                <w:sz w:val="15"/>
                <w:szCs w:val="15"/>
                <w:color w:val="auto"/>
              </w:rPr>
              <w:t>Luzern, Switzerland</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IP HC Sarl</w:t>
            </w:r>
          </w:p>
        </w:tc>
        <w:tc>
          <w:tcPr>
            <w:tcW w:w="4520" w:type="dxa"/>
            <w:vAlign w:val="bottom"/>
          </w:tcPr>
          <w:p>
            <w:pPr>
              <w:ind w:left="1240"/>
              <w:spacing w:after="0"/>
              <w:rPr>
                <w:sz w:val="20"/>
                <w:szCs w:val="20"/>
                <w:color w:val="auto"/>
              </w:rPr>
            </w:pPr>
            <w:r>
              <w:rPr>
                <w:rFonts w:ascii="Arial" w:cs="Arial" w:eastAsia="Arial" w:hAnsi="Arial"/>
                <w:sz w:val="15"/>
                <w:szCs w:val="15"/>
                <w:color w:val="auto"/>
              </w:rPr>
              <w:t>Signy - Switzerland</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Italia s.r.l.</w:t>
            </w:r>
          </w:p>
        </w:tc>
        <w:tc>
          <w:tcPr>
            <w:tcW w:w="4520" w:type="dxa"/>
            <w:vAlign w:val="bottom"/>
          </w:tcPr>
          <w:p>
            <w:pPr>
              <w:ind w:left="1240"/>
              <w:spacing w:after="0"/>
              <w:rPr>
                <w:sz w:val="20"/>
                <w:szCs w:val="20"/>
                <w:color w:val="auto"/>
              </w:rPr>
            </w:pPr>
            <w:r>
              <w:rPr>
                <w:rFonts w:ascii="Arial" w:cs="Arial" w:eastAsia="Arial" w:hAnsi="Arial"/>
                <w:sz w:val="15"/>
                <w:szCs w:val="15"/>
                <w:color w:val="auto"/>
              </w:rPr>
              <w:t>Milan - Italy</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Japan GK</w:t>
            </w:r>
          </w:p>
        </w:tc>
        <w:tc>
          <w:tcPr>
            <w:tcW w:w="4520" w:type="dxa"/>
            <w:vAlign w:val="bottom"/>
          </w:tcPr>
          <w:p>
            <w:pPr>
              <w:ind w:left="1240"/>
              <w:spacing w:after="0"/>
              <w:rPr>
                <w:sz w:val="20"/>
                <w:szCs w:val="20"/>
                <w:color w:val="auto"/>
              </w:rPr>
            </w:pPr>
            <w:r>
              <w:rPr>
                <w:rFonts w:ascii="Arial" w:cs="Arial" w:eastAsia="Arial" w:hAnsi="Arial"/>
                <w:sz w:val="15"/>
                <w:szCs w:val="15"/>
                <w:color w:val="auto"/>
              </w:rPr>
              <w:t>Toyko - Japan</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Korea, Inc.</w:t>
            </w:r>
          </w:p>
        </w:tc>
        <w:tc>
          <w:tcPr>
            <w:tcW w:w="4520" w:type="dxa"/>
            <w:vAlign w:val="bottom"/>
          </w:tcPr>
          <w:p>
            <w:pPr>
              <w:ind w:left="1240"/>
              <w:spacing w:after="0"/>
              <w:rPr>
                <w:sz w:val="20"/>
                <w:szCs w:val="20"/>
                <w:color w:val="auto"/>
              </w:rPr>
            </w:pPr>
            <w:r>
              <w:rPr>
                <w:rFonts w:ascii="Arial" w:cs="Arial" w:eastAsia="Arial" w:hAnsi="Arial"/>
                <w:sz w:val="15"/>
                <w:szCs w:val="15"/>
                <w:color w:val="auto"/>
              </w:rPr>
              <w:t>Seoul - Korea</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Limited</w:t>
            </w:r>
          </w:p>
        </w:tc>
        <w:tc>
          <w:tcPr>
            <w:tcW w:w="4520" w:type="dxa"/>
            <w:vAlign w:val="bottom"/>
          </w:tcPr>
          <w:p>
            <w:pPr>
              <w:ind w:left="1240"/>
              <w:spacing w:after="0"/>
              <w:rPr>
                <w:sz w:val="20"/>
                <w:szCs w:val="20"/>
                <w:color w:val="auto"/>
              </w:rPr>
            </w:pPr>
            <w:r>
              <w:rPr>
                <w:rFonts w:ascii="Arial" w:cs="Arial" w:eastAsia="Arial" w:hAnsi="Arial"/>
                <w:sz w:val="15"/>
                <w:szCs w:val="15"/>
                <w:color w:val="auto"/>
              </w:rPr>
              <w:t>Bedfordshire - United Kingdom</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Malaysia Sdn. Bhd.</w:t>
            </w:r>
          </w:p>
        </w:tc>
        <w:tc>
          <w:tcPr>
            <w:tcW w:w="4520" w:type="dxa"/>
            <w:vAlign w:val="bottom"/>
          </w:tcPr>
          <w:p>
            <w:pPr>
              <w:ind w:left="1240"/>
              <w:spacing w:after="0"/>
              <w:rPr>
                <w:sz w:val="20"/>
                <w:szCs w:val="20"/>
                <w:color w:val="auto"/>
              </w:rPr>
            </w:pPr>
            <w:r>
              <w:rPr>
                <w:rFonts w:ascii="Arial" w:cs="Arial" w:eastAsia="Arial" w:hAnsi="Arial"/>
                <w:sz w:val="15"/>
                <w:szCs w:val="15"/>
                <w:color w:val="auto"/>
              </w:rPr>
              <w:t>Malaysia</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Manufacturing, Inc.</w:t>
            </w:r>
          </w:p>
        </w:tc>
        <w:tc>
          <w:tcPr>
            <w:tcW w:w="4520" w:type="dxa"/>
            <w:vAlign w:val="bottom"/>
          </w:tcPr>
          <w:p>
            <w:pPr>
              <w:ind w:left="1240"/>
              <w:spacing w:after="0"/>
              <w:rPr>
                <w:sz w:val="20"/>
                <w:szCs w:val="20"/>
                <w:color w:val="auto"/>
              </w:rPr>
            </w:pPr>
            <w:r>
              <w:rPr>
                <w:rFonts w:ascii="Arial" w:cs="Arial" w:eastAsia="Arial" w:hAnsi="Arial"/>
                <w:sz w:val="15"/>
                <w:szCs w:val="15"/>
                <w:color w:val="auto"/>
              </w:rPr>
              <w:t>Delaware</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Medical Devices (Shanghai) International Trading Co., Ltd.</w:t>
            </w:r>
          </w:p>
        </w:tc>
        <w:tc>
          <w:tcPr>
            <w:tcW w:w="4520" w:type="dxa"/>
            <w:vAlign w:val="bottom"/>
          </w:tcPr>
          <w:p>
            <w:pPr>
              <w:ind w:left="1240"/>
              <w:spacing w:after="0"/>
              <w:rPr>
                <w:sz w:val="20"/>
                <w:szCs w:val="20"/>
                <w:color w:val="auto"/>
              </w:rPr>
            </w:pPr>
            <w:r>
              <w:rPr>
                <w:rFonts w:ascii="Arial" w:cs="Arial" w:eastAsia="Arial" w:hAnsi="Arial"/>
                <w:sz w:val="15"/>
                <w:szCs w:val="15"/>
                <w:color w:val="auto"/>
              </w:rPr>
              <w:t>Shanghai - China</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Mexico Manufacturing, S.de R.L. de C.V.</w:t>
            </w:r>
          </w:p>
        </w:tc>
        <w:tc>
          <w:tcPr>
            <w:tcW w:w="4520" w:type="dxa"/>
            <w:vAlign w:val="bottom"/>
          </w:tcPr>
          <w:p>
            <w:pPr>
              <w:ind w:left="1240"/>
              <w:spacing w:after="0"/>
              <w:rPr>
                <w:sz w:val="20"/>
                <w:szCs w:val="20"/>
                <w:color w:val="auto"/>
              </w:rPr>
            </w:pPr>
            <w:r>
              <w:rPr>
                <w:rFonts w:ascii="Arial" w:cs="Arial" w:eastAsia="Arial" w:hAnsi="Arial"/>
                <w:sz w:val="15"/>
                <w:szCs w:val="15"/>
                <w:color w:val="auto"/>
              </w:rPr>
              <w:t>Mexico</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New Zealand Limited</w:t>
            </w:r>
          </w:p>
        </w:tc>
        <w:tc>
          <w:tcPr>
            <w:tcW w:w="4520" w:type="dxa"/>
            <w:vAlign w:val="bottom"/>
          </w:tcPr>
          <w:p>
            <w:pPr>
              <w:ind w:left="1240"/>
              <w:spacing w:after="0"/>
              <w:rPr>
                <w:sz w:val="20"/>
                <w:szCs w:val="20"/>
                <w:color w:val="auto"/>
              </w:rPr>
            </w:pPr>
            <w:r>
              <w:rPr>
                <w:rFonts w:ascii="Arial" w:cs="Arial" w:eastAsia="Arial" w:hAnsi="Arial"/>
                <w:sz w:val="15"/>
                <w:szCs w:val="15"/>
                <w:color w:val="auto"/>
              </w:rPr>
              <w:t>New Zealand</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Produzione Italia S.r.l.</w:t>
            </w:r>
          </w:p>
        </w:tc>
        <w:tc>
          <w:tcPr>
            <w:tcW w:w="4520" w:type="dxa"/>
            <w:vAlign w:val="bottom"/>
          </w:tcPr>
          <w:p>
            <w:pPr>
              <w:ind w:left="1240"/>
              <w:spacing w:after="0"/>
              <w:rPr>
                <w:sz w:val="20"/>
                <w:szCs w:val="20"/>
                <w:color w:val="auto"/>
              </w:rPr>
            </w:pPr>
            <w:r>
              <w:rPr>
                <w:rFonts w:ascii="Arial" w:cs="Arial" w:eastAsia="Arial" w:hAnsi="Arial"/>
                <w:sz w:val="15"/>
                <w:szCs w:val="15"/>
                <w:color w:val="auto"/>
              </w:rPr>
              <w:t>Italy</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Puerto Rico LLC</w:t>
            </w:r>
          </w:p>
        </w:tc>
        <w:tc>
          <w:tcPr>
            <w:tcW w:w="4520" w:type="dxa"/>
            <w:vAlign w:val="bottom"/>
          </w:tcPr>
          <w:p>
            <w:pPr>
              <w:ind w:left="1240"/>
              <w:spacing w:after="0"/>
              <w:rPr>
                <w:sz w:val="20"/>
                <w:szCs w:val="20"/>
                <w:color w:val="auto"/>
              </w:rPr>
            </w:pPr>
            <w:r>
              <w:rPr>
                <w:rFonts w:ascii="Arial" w:cs="Arial" w:eastAsia="Arial" w:hAnsi="Arial"/>
                <w:sz w:val="15"/>
                <w:szCs w:val="15"/>
                <w:color w:val="auto"/>
              </w:rPr>
              <w:t>Puerto Rico</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S.A.</w:t>
            </w:r>
          </w:p>
        </w:tc>
        <w:tc>
          <w:tcPr>
            <w:tcW w:w="4520" w:type="dxa"/>
            <w:vAlign w:val="bottom"/>
          </w:tcPr>
          <w:p>
            <w:pPr>
              <w:ind w:left="1240"/>
              <w:spacing w:after="0"/>
              <w:rPr>
                <w:sz w:val="20"/>
                <w:szCs w:val="20"/>
                <w:color w:val="auto"/>
              </w:rPr>
            </w:pPr>
            <w:r>
              <w:rPr>
                <w:rFonts w:ascii="Arial" w:cs="Arial" w:eastAsia="Arial" w:hAnsi="Arial"/>
                <w:sz w:val="15"/>
                <w:szCs w:val="15"/>
                <w:color w:val="auto"/>
              </w:rPr>
              <w:t>Signy - Switzerland</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Scandinavia AB</w:t>
            </w:r>
          </w:p>
        </w:tc>
        <w:tc>
          <w:tcPr>
            <w:tcW w:w="4520" w:type="dxa"/>
            <w:vAlign w:val="bottom"/>
          </w:tcPr>
          <w:p>
            <w:pPr>
              <w:ind w:left="1240"/>
              <w:spacing w:after="0"/>
              <w:rPr>
                <w:sz w:val="20"/>
                <w:szCs w:val="20"/>
                <w:color w:val="auto"/>
              </w:rPr>
            </w:pPr>
            <w:r>
              <w:rPr>
                <w:rFonts w:ascii="Arial" w:cs="Arial" w:eastAsia="Arial" w:hAnsi="Arial"/>
                <w:sz w:val="15"/>
                <w:szCs w:val="15"/>
                <w:color w:val="auto"/>
              </w:rPr>
              <w:t>Lund - Sweden</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Singapore Pte. Ltd.</w:t>
            </w:r>
          </w:p>
        </w:tc>
        <w:tc>
          <w:tcPr>
            <w:tcW w:w="4520" w:type="dxa"/>
            <w:vAlign w:val="bottom"/>
          </w:tcPr>
          <w:p>
            <w:pPr>
              <w:ind w:left="1240"/>
              <w:spacing w:after="0"/>
              <w:rPr>
                <w:sz w:val="20"/>
                <w:szCs w:val="20"/>
                <w:color w:val="auto"/>
              </w:rPr>
            </w:pPr>
            <w:r>
              <w:rPr>
                <w:rFonts w:ascii="Arial" w:cs="Arial" w:eastAsia="Arial" w:hAnsi="Arial"/>
                <w:sz w:val="15"/>
                <w:szCs w:val="15"/>
                <w:color w:val="auto"/>
              </w:rPr>
              <w:t>Singapore</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Haemoscope Corporation</w:t>
            </w:r>
          </w:p>
        </w:tc>
        <w:tc>
          <w:tcPr>
            <w:tcW w:w="4520" w:type="dxa"/>
            <w:vAlign w:val="bottom"/>
          </w:tcPr>
          <w:p>
            <w:pPr>
              <w:ind w:left="1240"/>
              <w:spacing w:after="0"/>
              <w:rPr>
                <w:sz w:val="20"/>
                <w:szCs w:val="20"/>
                <w:color w:val="auto"/>
              </w:rPr>
            </w:pPr>
            <w:r>
              <w:rPr>
                <w:rFonts w:ascii="Arial" w:cs="Arial" w:eastAsia="Arial" w:hAnsi="Arial"/>
                <w:sz w:val="15"/>
                <w:szCs w:val="15"/>
                <w:color w:val="auto"/>
              </w:rPr>
              <w:t>Massachusetts</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Inlog SAS</w:t>
            </w:r>
          </w:p>
        </w:tc>
        <w:tc>
          <w:tcPr>
            <w:tcW w:w="4520" w:type="dxa"/>
            <w:vAlign w:val="bottom"/>
          </w:tcPr>
          <w:p>
            <w:pPr>
              <w:ind w:left="1240"/>
              <w:spacing w:after="0"/>
              <w:rPr>
                <w:sz w:val="20"/>
                <w:szCs w:val="20"/>
                <w:color w:val="auto"/>
              </w:rPr>
            </w:pPr>
            <w:r>
              <w:rPr>
                <w:rFonts w:ascii="Arial" w:cs="Arial" w:eastAsia="Arial" w:hAnsi="Arial"/>
                <w:sz w:val="15"/>
                <w:szCs w:val="15"/>
                <w:color w:val="auto"/>
              </w:rPr>
              <w:t>France</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Inlog Holdings France SAS</w:t>
            </w:r>
          </w:p>
        </w:tc>
        <w:tc>
          <w:tcPr>
            <w:tcW w:w="4520" w:type="dxa"/>
            <w:vAlign w:val="bottom"/>
          </w:tcPr>
          <w:p>
            <w:pPr>
              <w:ind w:left="1240"/>
              <w:spacing w:after="0"/>
              <w:rPr>
                <w:sz w:val="20"/>
                <w:szCs w:val="20"/>
                <w:color w:val="auto"/>
              </w:rPr>
            </w:pPr>
            <w:r>
              <w:rPr>
                <w:rFonts w:ascii="Arial" w:cs="Arial" w:eastAsia="Arial" w:hAnsi="Arial"/>
                <w:sz w:val="15"/>
                <w:szCs w:val="15"/>
                <w:color w:val="auto"/>
              </w:rPr>
              <w:t>France</w:t>
            </w:r>
          </w:p>
        </w:tc>
      </w:tr>
    </w:tbl>
    <w:p>
      <w:pPr>
        <w:sectPr>
          <w:pgSz w:w="11900" w:h="16838" w:orient="portrait"/>
          <w:cols w:equalWidth="0" w:num="1">
            <w:col w:w="10780"/>
          </w:cols>
          <w:pgMar w:left="240" w:top="121" w:right="879" w:bottom="1440" w:gutter="0" w:footer="0" w:header="0"/>
        </w:sectPr>
      </w:pPr>
    </w:p>
    <w:bookmarkStart w:id="105" w:name="page106"/>
    <w:bookmarkEnd w:id="105"/>
    <w:p>
      <w:pPr>
        <w:jc w:val="center"/>
        <w:ind w:right="-27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(Form S-8 Nos. 333-200226, 333-181847, 333-136839, 333-149205, and 333-159434) of our reports dated June 1, 2016, with respect to the consolidated financial statements and schedule of Haemonetics Corporation and the effectiveness of internal control over financial reporting of Haemonetics Corporation, included in this Annual Report (Form 10-K) of Haemonetics Corporation for the fiscal year ended April 2, 2016.</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 2016</w:t>
      </w:r>
    </w:p>
    <w:p>
      <w:pPr>
        <w:sectPr>
          <w:pgSz w:w="11900" w:h="16838" w:orient="portrait"/>
          <w:cols w:equalWidth="0" w:num="1">
            <w:col w:w="11140"/>
          </w:cols>
          <w:pgMar w:left="240" w:top="796" w:right="51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Simon, certify that:</w:t>
      </w:r>
    </w:p>
    <w:p>
      <w:pPr>
        <w:spacing w:after="0" w:line="117"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 June 1, 2016</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Simon, President and Chief</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Executive Officer (Principal Executive Officer)</w:t>
      </w:r>
    </w:p>
    <w:p>
      <w:pPr>
        <w:sectPr>
          <w:pgSz w:w="11900" w:h="16838" w:orient="portrait"/>
          <w:cols w:equalWidth="0" w:num="1">
            <w:col w:w="11420"/>
          </w:cols>
          <w:pgMar w:left="240" w:top="905"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Lindop, certify that:</w:t>
      </w:r>
    </w:p>
    <w:p>
      <w:pPr>
        <w:spacing w:after="0" w:line="117"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 June 1, 2016</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Lindop, Chief Financial Officer and</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Executive Vice President Business Development</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4"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Annual Report of Haemonetics Corporation (the “Company”) on Form 10-K for the period ended April 2, 2016 as filed with the Securities and Exchange Commission on the date hereof (the “Report”), I, Christopher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 June 1, 2016</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Simon,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the Annual Report of Haemonetics Corporation (the “Company”) on Form 10-K for the period ended April 2, 2016 as filed with the Securities and Exchange Commission on the date hereof (the “Report”), I, Christopher Lindop, Chief Financial Officer and Vice President Business Development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 June 1, 2016</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Lindop,</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 and Executive Vice President</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Business Development</w:t>
      </w:r>
    </w:p>
    <w:p>
      <w:pPr>
        <w:spacing w:after="0" w:line="200" w:lineRule="exact"/>
        <w:rPr>
          <w:sz w:val="20"/>
          <w:szCs w:val="20"/>
          <w:color w:val="auto"/>
        </w:rPr>
      </w:pPr>
    </w:p>
    <w:p>
      <w:pPr>
        <w:spacing w:after="0" w:line="2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12"/>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upperLetter"/>
      <w:start w:val="2"/>
    </w:lvl>
  </w:abstractNum>
  <w:abstractNum w:abstractNumId="22">
    <w:nsid w:val="79838CB2"/>
    <w:multiLevelType w:val="hybridMultilevel"/>
    <w:lvl w:ilvl="0">
      <w:lvlJc w:val="left"/>
      <w:lvlText w:val="*"/>
      <w:numFmt w:val="bullet"/>
      <w:start w:val="1"/>
    </w:lvl>
    <w:lvl w:ilvl="1">
      <w:lvlJc w:val="left"/>
      <w:lvlText w:val="(%2)"/>
      <w:numFmt w:val="lowerRoman"/>
      <w:start w:val="3"/>
    </w:lvl>
  </w:abstractNum>
  <w:abstractNum w:abstractNumId="23">
    <w:nsid w:val="4353D0CD"/>
    <w:multiLevelType w:val="hybridMultilevel"/>
    <w:lvl w:ilvl="0">
      <w:lvlJc w:val="left"/>
      <w:lvlText w:val="*"/>
      <w:numFmt w:val="bullet"/>
      <w:start w:val="1"/>
    </w:lvl>
    <w:lvl w:ilvl="1">
      <w:lvlJc w:val="left"/>
      <w:lvlText w:val="(%2)"/>
      <w:numFmt w:val="lowerRoman"/>
      <w:start w:val="6"/>
    </w:lvl>
  </w:abstractNum>
  <w:abstractNum w:abstractNumId="24">
    <w:nsid w:val="B03E0C6"/>
    <w:multiLevelType w:val="hybridMultilevel"/>
    <w:lvl w:ilvl="0">
      <w:lvlJc w:val="left"/>
      <w:lvlText w:val="ˆ"/>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2019-12-29T11:11:43Z</dcterms:created>
  <dcterms:modified xsi:type="dcterms:W3CDTF">2019-12-29T11:11:43Z</dcterms:modified>
</cp:coreProperties>
</file>